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AA73" w14:textId="77777777" w:rsidR="00166963" w:rsidRDefault="00000000">
      <w:pPr>
        <w:spacing w:after="146" w:line="259" w:lineRule="auto"/>
        <w:ind w:left="0" w:right="1762" w:firstLine="0"/>
        <w:jc w:val="center"/>
      </w:pPr>
      <w:r>
        <w:rPr>
          <w:rFonts w:ascii="Calibri" w:eastAsia="Calibri" w:hAnsi="Calibri" w:cs="Calibri"/>
          <w:noProof/>
          <w:sz w:val="22"/>
        </w:rPr>
        <mc:AlternateContent>
          <mc:Choice Requires="wpg">
            <w:drawing>
              <wp:inline distT="0" distB="0" distL="0" distR="0" wp14:anchorId="3C0639A2" wp14:editId="55DDD564">
                <wp:extent cx="4582033" cy="1398143"/>
                <wp:effectExtent l="0" t="0" r="0" b="0"/>
                <wp:docPr id="3411" name="Group 3411"/>
                <wp:cNvGraphicFramePr/>
                <a:graphic xmlns:a="http://schemas.openxmlformats.org/drawingml/2006/main">
                  <a:graphicData uri="http://schemas.microsoft.com/office/word/2010/wordprocessingGroup">
                    <wpg:wgp>
                      <wpg:cNvGrpSpPr/>
                      <wpg:grpSpPr>
                        <a:xfrm>
                          <a:off x="0" y="0"/>
                          <a:ext cx="4582033" cy="1398143"/>
                          <a:chOff x="0" y="0"/>
                          <a:chExt cx="4582033" cy="1398143"/>
                        </a:xfrm>
                      </wpg:grpSpPr>
                      <pic:pic xmlns:pic="http://schemas.openxmlformats.org/drawingml/2006/picture">
                        <pic:nvPicPr>
                          <pic:cNvPr id="102" name="Picture 102"/>
                          <pic:cNvPicPr/>
                        </pic:nvPicPr>
                        <pic:blipFill>
                          <a:blip r:embed="rId5"/>
                          <a:stretch>
                            <a:fillRect/>
                          </a:stretch>
                        </pic:blipFill>
                        <pic:spPr>
                          <a:xfrm>
                            <a:off x="0" y="0"/>
                            <a:ext cx="1952625" cy="1398143"/>
                          </a:xfrm>
                          <a:prstGeom prst="rect">
                            <a:avLst/>
                          </a:prstGeom>
                        </pic:spPr>
                      </pic:pic>
                      <pic:pic xmlns:pic="http://schemas.openxmlformats.org/drawingml/2006/picture">
                        <pic:nvPicPr>
                          <pic:cNvPr id="104" name="Picture 104"/>
                          <pic:cNvPicPr/>
                        </pic:nvPicPr>
                        <pic:blipFill>
                          <a:blip r:embed="rId6"/>
                          <a:stretch>
                            <a:fillRect/>
                          </a:stretch>
                        </pic:blipFill>
                        <pic:spPr>
                          <a:xfrm>
                            <a:off x="1952625" y="236093"/>
                            <a:ext cx="2629408" cy="1162050"/>
                          </a:xfrm>
                          <a:prstGeom prst="rect">
                            <a:avLst/>
                          </a:prstGeom>
                        </pic:spPr>
                      </pic:pic>
                    </wpg:wgp>
                  </a:graphicData>
                </a:graphic>
              </wp:inline>
            </w:drawing>
          </mc:Choice>
          <mc:Fallback xmlns:a="http://schemas.openxmlformats.org/drawingml/2006/main">
            <w:pict>
              <v:group id="Group 3411" style="width:360.79pt;height:110.09pt;mso-position-horizontal-relative:char;mso-position-vertical-relative:line" coordsize="45820,13981">
                <v:shape id="Picture 102" style="position:absolute;width:19526;height:13981;left:0;top:0;" filled="f">
                  <v:imagedata r:id="rId7"/>
                </v:shape>
                <v:shape id="Picture 104" style="position:absolute;width:26294;height:11620;left:19526;top:2360;" filled="f">
                  <v:imagedata r:id="rId8"/>
                </v:shape>
              </v:group>
            </w:pict>
          </mc:Fallback>
        </mc:AlternateContent>
      </w:r>
      <w:r>
        <w:rPr>
          <w:rFonts w:ascii="Calibri" w:eastAsia="Calibri" w:hAnsi="Calibri" w:cs="Calibri"/>
          <w:sz w:val="22"/>
        </w:rPr>
        <w:t xml:space="preserve"> </w:t>
      </w:r>
    </w:p>
    <w:p w14:paraId="43880A1E" w14:textId="77777777" w:rsidR="00166963" w:rsidRDefault="00000000">
      <w:pPr>
        <w:spacing w:after="156" w:line="259" w:lineRule="auto"/>
        <w:ind w:left="0" w:firstLine="0"/>
        <w:jc w:val="left"/>
      </w:pPr>
      <w:r>
        <w:rPr>
          <w:b/>
          <w:sz w:val="28"/>
        </w:rPr>
        <w:t xml:space="preserve"> </w:t>
      </w:r>
    </w:p>
    <w:p w14:paraId="54F902FB" w14:textId="77777777" w:rsidR="00166963" w:rsidRDefault="00000000">
      <w:pPr>
        <w:spacing w:after="0" w:line="259" w:lineRule="auto"/>
        <w:ind w:left="0" w:firstLine="0"/>
        <w:jc w:val="left"/>
      </w:pPr>
      <w:r>
        <w:rPr>
          <w:b/>
          <w:sz w:val="28"/>
        </w:rPr>
        <w:t>COMMUNIQUÉ DE PRESSE</w:t>
      </w:r>
      <w:r>
        <w:rPr>
          <w:b/>
          <w:sz w:val="24"/>
        </w:rPr>
        <w:t xml:space="preserve"> </w:t>
      </w:r>
    </w:p>
    <w:p w14:paraId="6FF4281B" w14:textId="77777777" w:rsidR="00166963" w:rsidRDefault="00000000">
      <w:pPr>
        <w:spacing w:after="380" w:line="259" w:lineRule="auto"/>
        <w:ind w:left="0" w:firstLine="0"/>
        <w:jc w:val="left"/>
      </w:pPr>
      <w:r>
        <w:rPr>
          <w:b/>
          <w:sz w:val="4"/>
        </w:rPr>
        <w:t xml:space="preserve"> </w:t>
      </w:r>
    </w:p>
    <w:p w14:paraId="04B3743F" w14:textId="77777777" w:rsidR="00166963" w:rsidRDefault="00000000">
      <w:pPr>
        <w:spacing w:after="0" w:line="244" w:lineRule="auto"/>
        <w:ind w:left="0" w:firstLine="0"/>
        <w:jc w:val="center"/>
      </w:pPr>
      <w:r>
        <w:rPr>
          <w:b/>
          <w:sz w:val="28"/>
        </w:rPr>
        <w:t xml:space="preserve">Le Québec doit se doter rapidement d'outils pour réguler la </w:t>
      </w:r>
      <w:proofErr w:type="gramStart"/>
      <w:r>
        <w:rPr>
          <w:b/>
          <w:sz w:val="28"/>
        </w:rPr>
        <w:t>sensibilité</w:t>
      </w:r>
      <w:proofErr w:type="gramEnd"/>
      <w:r>
        <w:rPr>
          <w:b/>
          <w:sz w:val="28"/>
        </w:rPr>
        <w:t xml:space="preserve"> chimique multiple (SCM)</w:t>
      </w:r>
      <w:r>
        <w:rPr>
          <w:rFonts w:ascii="Calibri" w:eastAsia="Calibri" w:hAnsi="Calibri" w:cs="Calibri"/>
          <w:sz w:val="28"/>
          <w:vertAlign w:val="subscript"/>
        </w:rPr>
        <w:t xml:space="preserve"> </w:t>
      </w:r>
    </w:p>
    <w:p w14:paraId="737F3FAB" w14:textId="77777777" w:rsidR="00166963" w:rsidRDefault="00000000">
      <w:pPr>
        <w:spacing w:after="357" w:line="259" w:lineRule="auto"/>
        <w:ind w:left="0" w:firstLine="0"/>
        <w:jc w:val="left"/>
      </w:pPr>
      <w:r>
        <w:rPr>
          <w:rFonts w:ascii="Calibri" w:eastAsia="Calibri" w:hAnsi="Calibri" w:cs="Calibri"/>
          <w:sz w:val="2"/>
        </w:rPr>
        <w:t xml:space="preserve"> </w:t>
      </w:r>
    </w:p>
    <w:p w14:paraId="73BA7875" w14:textId="77777777" w:rsidR="00166963" w:rsidRDefault="00000000">
      <w:pPr>
        <w:ind w:left="-5"/>
      </w:pPr>
      <w:r>
        <w:t xml:space="preserve">Montréal, le 23 août 2022 — La </w:t>
      </w:r>
      <w:r>
        <w:rPr>
          <w:color w:val="201F1E"/>
        </w:rPr>
        <w:t>Confédération des organismes de personnes handicapées du Québec (COPHAN)</w:t>
      </w:r>
      <w:r>
        <w:t xml:space="preserve"> et l'Association pour la santé environnementale du Québec (ASEQ) demandent au Gouvernement du Québec de prendre immédiatement les moyens pour empêcher tout préjudice aux personnes diagnostiquées touchées par la sensibilité chimique multiple (SCM). De nombreux québécois et québécoises atteints de SCM sont actuellement laissés à eux-mêmes sans mesure de soutien ou d'aide. Des actions sont attendues sans tarder dans ce dossier qui traine en longueur depuis plus d'une décennie.</w:t>
      </w:r>
      <w:r>
        <w:rPr>
          <w:rFonts w:ascii="Calibri" w:eastAsia="Calibri" w:hAnsi="Calibri" w:cs="Calibri"/>
          <w:sz w:val="22"/>
        </w:rPr>
        <w:t xml:space="preserve"> </w:t>
      </w:r>
    </w:p>
    <w:p w14:paraId="53AC0BBA" w14:textId="77777777" w:rsidR="00166963" w:rsidRDefault="00000000">
      <w:pPr>
        <w:spacing w:after="166" w:line="259" w:lineRule="auto"/>
        <w:ind w:left="-5"/>
        <w:jc w:val="left"/>
      </w:pPr>
      <w:r>
        <w:rPr>
          <w:b/>
        </w:rPr>
        <w:t>La sensibilité chimique multiple</w:t>
      </w:r>
      <w:r>
        <w:t xml:space="preserve"> (</w:t>
      </w:r>
      <w:r>
        <w:rPr>
          <w:b/>
        </w:rPr>
        <w:t>SCM)</w:t>
      </w:r>
      <w:r>
        <w:rPr>
          <w:rFonts w:ascii="Calibri" w:eastAsia="Calibri" w:hAnsi="Calibri" w:cs="Calibri"/>
          <w:sz w:val="22"/>
        </w:rPr>
        <w:t xml:space="preserve"> </w:t>
      </w:r>
    </w:p>
    <w:p w14:paraId="0A4AB5B7" w14:textId="77777777" w:rsidR="00166963" w:rsidRDefault="00000000">
      <w:pPr>
        <w:ind w:left="-5"/>
      </w:pPr>
      <w:r>
        <w:t xml:space="preserve">La sensibilité chimique multiple est </w:t>
      </w:r>
      <w:hyperlink r:id="rId9">
        <w:r>
          <w:rPr>
            <w:color w:val="0563C1"/>
            <w:u w:val="single" w:color="0563C1"/>
          </w:rPr>
          <w:t>une condition médicale et un handicap médical</w:t>
        </w:r>
      </w:hyperlink>
      <w:hyperlink r:id="rId10">
        <w:r>
          <w:rPr>
            <w:color w:val="0563C1"/>
          </w:rPr>
          <w:t xml:space="preserve"> </w:t>
        </w:r>
      </w:hyperlink>
      <w:hyperlink r:id="rId11">
        <w:r>
          <w:rPr>
            <w:color w:val="0563C1"/>
            <w:u w:val="single" w:color="0563C1"/>
          </w:rPr>
          <w:t>protégé par la Loi canadienne sur les droits de la personne</w:t>
        </w:r>
      </w:hyperlink>
      <w:hyperlink r:id="rId12">
        <w:r>
          <w:t>.</w:t>
        </w:r>
      </w:hyperlink>
      <w:r>
        <w:t xml:space="preserve"> Au Canada, 1 130 800 personnes de 12 ans et plus sont diagnostiquées comme souffrant de SCM ; 72 % sont des femmes et environ 50 % ont plus de 55 ans. La prévalence est en augmentation et des statistiques font état de 251 000 personnes diagnostiquées seulement au Québec (Stat Can, ESCC, 2020).</w:t>
      </w:r>
      <w:r>
        <w:rPr>
          <w:rFonts w:ascii="Calibri" w:eastAsia="Calibri" w:hAnsi="Calibri" w:cs="Calibri"/>
          <w:sz w:val="22"/>
        </w:rPr>
        <w:t xml:space="preserve"> </w:t>
      </w:r>
    </w:p>
    <w:p w14:paraId="6F29EA78" w14:textId="77777777" w:rsidR="00166963" w:rsidRDefault="00000000">
      <w:pPr>
        <w:ind w:left="-5"/>
      </w:pPr>
      <w:r>
        <w:t xml:space="preserve">La SCM est causée par une </w:t>
      </w:r>
      <w:r>
        <w:rPr>
          <w:b/>
          <w:i/>
        </w:rPr>
        <w:t xml:space="preserve">sensibilisation </w:t>
      </w:r>
      <w:r>
        <w:t>à une variété de produits chimiques présents dans des produits d'usage courant, notamment les parfums et les produits parfumés utilisés pour diverses applications, dont l'usage personnel, la lessive, le nettoyage, l'entretien et les rénovations. L'exposition peut déclencher des symptômes, qui peuvent être multiples et se manifester dans plusieurs systèmes corporels, notamment le cerveau. L'incapacité qui en résulte s'aggrave avec les expositions répétées. Près de 41% des personnes atteintes de SCM sont au chômage en raison de leur handicap et 65% de ces personnes ont un revenu inférieur à 20 000 dollars (Stat Can, ESCC, 2015-2016).</w:t>
      </w:r>
      <w:r>
        <w:rPr>
          <w:rFonts w:ascii="Calibri" w:eastAsia="Calibri" w:hAnsi="Calibri" w:cs="Calibri"/>
          <w:sz w:val="22"/>
        </w:rPr>
        <w:t xml:space="preserve"> </w:t>
      </w:r>
    </w:p>
    <w:p w14:paraId="3614F841" w14:textId="77777777" w:rsidR="00166963" w:rsidRDefault="00000000">
      <w:pPr>
        <w:spacing w:after="189" w:line="259" w:lineRule="auto"/>
        <w:ind w:left="-5"/>
        <w:jc w:val="left"/>
      </w:pPr>
      <w:r>
        <w:rPr>
          <w:b/>
        </w:rPr>
        <w:t>Le Québec pas outillé pour faire face à la SCM</w:t>
      </w:r>
      <w:r>
        <w:rPr>
          <w:rFonts w:ascii="Calibri" w:eastAsia="Calibri" w:hAnsi="Calibri" w:cs="Calibri"/>
          <w:sz w:val="22"/>
        </w:rPr>
        <w:t xml:space="preserve"> </w:t>
      </w:r>
    </w:p>
    <w:p w14:paraId="5D84966D" w14:textId="77777777" w:rsidR="00166963" w:rsidRDefault="00000000">
      <w:pPr>
        <w:ind w:left="-5"/>
      </w:pPr>
      <w:r>
        <w:t xml:space="preserve">Le Québec n’a pas l’expertise nécessaire pour cette condition de santé, ni de mesures d’adaptation et d’accessibilité pour cette population handicapée. En 2011, le Dr Bolduc, ministre de la Santé et des Services sociaux, a informé le leader parlementaire qu’il </w:t>
      </w:r>
      <w:r>
        <w:lastRenderedPageBreak/>
        <w:t>donnerait le mandat à l’Institut national de santé publique de produire un document sur la SCM afin de découvrir ce qui se fait ou existe dans d’autres provinces ou pays.</w:t>
      </w:r>
      <w:r>
        <w:rPr>
          <w:rFonts w:ascii="Calibri" w:eastAsia="Calibri" w:hAnsi="Calibri" w:cs="Calibri"/>
          <w:sz w:val="22"/>
        </w:rPr>
        <w:t xml:space="preserve"> </w:t>
      </w:r>
      <w:r>
        <w:t>L’ASEQ a immédiatement soulevé de fortes inquiétudes quant à ce mandat en raison d’un manque d’expertise en SCM au Québec. Malgré plusieurs engagements écrits de la part du MSSS d'impliquer et de consulter l’ASEQ et les experts de la condition de santé, rien de tout cela ne s'est matérialisé. Le rapport publié le 29 juin 2021 montre qu'aucun expert en SCM n’a été inclus à aucun stade et pas même dans le processus d'analyse. De nombreux articles sur la SCM ont été laissés de côté également. Les résultats du rapport sont erronés pour toutes ces raisons. Les conclusions du rapport de l’INSPQ suggèrent que la SCM serait causée par l’anxiété et non par des expositions chimiques, ce qui est une offense à la science en raison d'une méthodologie scientifique défectueuse. Cela est offensant et stigmatisant pour les personnes atteintes de ce handicap.</w:t>
      </w:r>
      <w:r>
        <w:rPr>
          <w:rFonts w:ascii="Calibri" w:eastAsia="Calibri" w:hAnsi="Calibri" w:cs="Calibri"/>
          <w:sz w:val="22"/>
        </w:rPr>
        <w:t xml:space="preserve"> </w:t>
      </w:r>
    </w:p>
    <w:p w14:paraId="428BB202" w14:textId="77777777" w:rsidR="00166963" w:rsidRDefault="00000000">
      <w:pPr>
        <w:spacing w:after="189" w:line="259" w:lineRule="auto"/>
        <w:ind w:left="-5"/>
        <w:jc w:val="left"/>
      </w:pPr>
      <w:r>
        <w:rPr>
          <w:b/>
        </w:rPr>
        <w:t>Un rapport bâclé à retirer sans tarder</w:t>
      </w:r>
      <w:r>
        <w:rPr>
          <w:rFonts w:ascii="Calibri" w:eastAsia="Calibri" w:hAnsi="Calibri" w:cs="Calibri"/>
          <w:sz w:val="22"/>
        </w:rPr>
        <w:t xml:space="preserve"> </w:t>
      </w:r>
    </w:p>
    <w:p w14:paraId="0438CB79" w14:textId="77777777" w:rsidR="00166963" w:rsidRDefault="00000000">
      <w:pPr>
        <w:spacing w:after="206"/>
        <w:ind w:left="-5"/>
      </w:pPr>
      <w:r>
        <w:t>Afin d’empêcher tout préjudice aux personnes touchées, il est demandé, sans plus tarder de :</w:t>
      </w:r>
      <w:r>
        <w:rPr>
          <w:rFonts w:ascii="Calibri" w:eastAsia="Calibri" w:hAnsi="Calibri" w:cs="Calibri"/>
          <w:sz w:val="22"/>
        </w:rPr>
        <w:t xml:space="preserve"> </w:t>
      </w:r>
    </w:p>
    <w:p w14:paraId="11E2A525" w14:textId="77777777" w:rsidR="00166963" w:rsidRDefault="00000000">
      <w:pPr>
        <w:numPr>
          <w:ilvl w:val="0"/>
          <w:numId w:val="1"/>
        </w:numPr>
        <w:spacing w:after="0"/>
        <w:ind w:hanging="360"/>
        <w:jc w:val="left"/>
      </w:pPr>
      <w:r>
        <w:t>Retirer immédiatement du site de l’INSPQ ce rapport pour empêcher tout préjudice aux personnes chez qui un diagnostic de SCM a été porté ;</w:t>
      </w:r>
      <w:r>
        <w:rPr>
          <w:rFonts w:ascii="Calibri" w:eastAsia="Calibri" w:hAnsi="Calibri" w:cs="Calibri"/>
        </w:rPr>
        <w:t xml:space="preserve"> </w:t>
      </w:r>
    </w:p>
    <w:p w14:paraId="3EE63B28" w14:textId="77777777" w:rsidR="00166963" w:rsidRDefault="00000000">
      <w:pPr>
        <w:numPr>
          <w:ilvl w:val="0"/>
          <w:numId w:val="1"/>
        </w:numPr>
        <w:spacing w:after="3" w:line="257" w:lineRule="auto"/>
        <w:ind w:hanging="360"/>
        <w:jc w:val="left"/>
      </w:pPr>
      <w:r>
        <w:t>Mettre en place un comité indépendant comprenant des experts et des personnes ayant une expérience vécue de la SCM pour vérifier la valeur et la justesse de tous les aspects du rapport, y compris les délais engendrés, qui retardent les mesures d'aide (logement, contrôle des parfums dans les lieux publics et les soins de santé, etc.) ;</w:t>
      </w:r>
      <w:r>
        <w:rPr>
          <w:rFonts w:ascii="Calibri" w:eastAsia="Calibri" w:hAnsi="Calibri" w:cs="Calibri"/>
        </w:rPr>
        <w:t xml:space="preserve"> </w:t>
      </w:r>
    </w:p>
    <w:p w14:paraId="217848A5" w14:textId="77777777" w:rsidR="00166963" w:rsidRDefault="00000000">
      <w:pPr>
        <w:numPr>
          <w:ilvl w:val="0"/>
          <w:numId w:val="1"/>
        </w:numPr>
        <w:spacing w:after="3" w:line="257" w:lineRule="auto"/>
        <w:ind w:hanging="360"/>
        <w:jc w:val="left"/>
      </w:pPr>
      <w:r>
        <w:t>Confier sur la décision du ministre un autre mandat à un groupe de travail indépendant composé d’experts de l’état de santé et de personnes ayant une expérience vécue (une exigence des IRSC pour la recherche), afin qu’il rédige un rapport sur les meilleures pratiques et les soins centrés sur le patient ;</w:t>
      </w:r>
      <w:r>
        <w:rPr>
          <w:rFonts w:ascii="Calibri" w:eastAsia="Calibri" w:hAnsi="Calibri" w:cs="Calibri"/>
        </w:rPr>
        <w:t xml:space="preserve"> </w:t>
      </w:r>
    </w:p>
    <w:p w14:paraId="1E87B6FD" w14:textId="77777777" w:rsidR="00166963" w:rsidRDefault="00000000">
      <w:pPr>
        <w:numPr>
          <w:ilvl w:val="0"/>
          <w:numId w:val="1"/>
        </w:numPr>
        <w:spacing w:after="3" w:line="257" w:lineRule="auto"/>
        <w:ind w:hanging="360"/>
        <w:jc w:val="left"/>
      </w:pPr>
      <w:r>
        <w:t>Revoir les politiques publiques concernées pour une bonne gestion des SCM (environnement sain sans parfums, et où seules les solutions les moins toxiques sont utilisées) ;</w:t>
      </w:r>
      <w:r>
        <w:rPr>
          <w:rFonts w:ascii="Calibri" w:eastAsia="Calibri" w:hAnsi="Calibri" w:cs="Calibri"/>
        </w:rPr>
        <w:t xml:space="preserve"> </w:t>
      </w:r>
    </w:p>
    <w:p w14:paraId="5783C19B" w14:textId="77777777" w:rsidR="00166963" w:rsidRDefault="00000000">
      <w:pPr>
        <w:numPr>
          <w:ilvl w:val="0"/>
          <w:numId w:val="1"/>
        </w:numPr>
        <w:ind w:hanging="360"/>
        <w:jc w:val="left"/>
      </w:pPr>
      <w:r>
        <w:t>Promouvoir et construire les logements sains et abordables pour les personnes souffrant de SCM.</w:t>
      </w:r>
      <w:r>
        <w:rPr>
          <w:rFonts w:ascii="Calibri" w:eastAsia="Calibri" w:hAnsi="Calibri" w:cs="Calibri"/>
        </w:rPr>
        <w:t xml:space="preserve"> </w:t>
      </w:r>
    </w:p>
    <w:p w14:paraId="74A72BE6" w14:textId="77777777" w:rsidR="00166963" w:rsidRDefault="00000000">
      <w:pPr>
        <w:spacing w:after="125"/>
        <w:ind w:left="-5"/>
      </w:pPr>
      <w:r>
        <w:t>Le MSSS doit éviter de retarder encore davantage la mise en place des actions requises dans ce dossier. Il faut diminuer maintenant chez la communauté SCM les préjudices et retirer toutes les barrières bureaucratiques aux handicaps et surtout travailler ensemble à l’accessibilité. Nous avons besoin d'un Québec qui favorise l’utilisation des solutions les moins toxiques pour toutes les applications et utilisations, et des politiques sans parfum, notamment pour les soins de santé et les services essentiels.</w:t>
      </w:r>
      <w:r>
        <w:rPr>
          <w:rFonts w:ascii="Calibri" w:eastAsia="Calibri" w:hAnsi="Calibri" w:cs="Calibri"/>
          <w:sz w:val="22"/>
        </w:rPr>
        <w:t xml:space="preserve"> </w:t>
      </w:r>
      <w:r>
        <w:t>− 30 -</w:t>
      </w:r>
      <w:r>
        <w:rPr>
          <w:rFonts w:ascii="Calibri" w:eastAsia="Calibri" w:hAnsi="Calibri" w:cs="Calibri"/>
          <w:sz w:val="22"/>
        </w:rPr>
        <w:t xml:space="preserve"> </w:t>
      </w:r>
    </w:p>
    <w:p w14:paraId="4C4C1987" w14:textId="77777777" w:rsidR="00166963" w:rsidRDefault="00000000">
      <w:pPr>
        <w:spacing w:after="182" w:line="259" w:lineRule="auto"/>
        <w:ind w:left="0" w:firstLine="0"/>
        <w:jc w:val="left"/>
      </w:pPr>
      <w:r>
        <w:rPr>
          <w:b/>
          <w:sz w:val="18"/>
        </w:rPr>
        <w:t>Renseignements</w:t>
      </w:r>
      <w:r>
        <w:rPr>
          <w:sz w:val="18"/>
        </w:rPr>
        <w:t xml:space="preserve"> : </w:t>
      </w:r>
    </w:p>
    <w:p w14:paraId="1E7C3D5E" w14:textId="77777777" w:rsidR="00166963" w:rsidRDefault="00000000">
      <w:pPr>
        <w:spacing w:after="3" w:line="259" w:lineRule="auto"/>
        <w:ind w:left="-5" w:right="1844"/>
        <w:jc w:val="left"/>
      </w:pPr>
      <w:r>
        <w:rPr>
          <w:sz w:val="18"/>
        </w:rPr>
        <w:t xml:space="preserve">Michel Gaudet, / téléphone : </w:t>
      </w:r>
      <w:r>
        <w:rPr>
          <w:color w:val="404040"/>
          <w:sz w:val="18"/>
        </w:rPr>
        <w:t xml:space="preserve">514 332-4320 </w:t>
      </w:r>
    </w:p>
    <w:p w14:paraId="1F4AF327" w14:textId="77777777" w:rsidR="00166963" w:rsidRDefault="00000000">
      <w:pPr>
        <w:spacing w:after="3" w:line="259" w:lineRule="auto"/>
        <w:ind w:left="-5" w:right="1844"/>
        <w:jc w:val="left"/>
      </w:pPr>
      <w:r>
        <w:rPr>
          <w:sz w:val="18"/>
        </w:rPr>
        <w:t xml:space="preserve">Directeur </w:t>
      </w:r>
      <w:proofErr w:type="gramStart"/>
      <w:r>
        <w:rPr>
          <w:sz w:val="18"/>
        </w:rPr>
        <w:t>exécutif</w:t>
      </w:r>
      <w:proofErr w:type="gramEnd"/>
      <w:r>
        <w:rPr>
          <w:sz w:val="18"/>
        </w:rPr>
        <w:t xml:space="preserve"> Association pour la santé environnementale du Québec - </w:t>
      </w:r>
      <w:proofErr w:type="spellStart"/>
      <w:r>
        <w:rPr>
          <w:sz w:val="18"/>
        </w:rPr>
        <w:t>Environmental</w:t>
      </w:r>
      <w:proofErr w:type="spellEnd"/>
      <w:r>
        <w:rPr>
          <w:sz w:val="18"/>
        </w:rPr>
        <w:t xml:space="preserve"> </w:t>
      </w:r>
      <w:proofErr w:type="spellStart"/>
      <w:r>
        <w:rPr>
          <w:sz w:val="18"/>
        </w:rPr>
        <w:t>Health</w:t>
      </w:r>
      <w:proofErr w:type="spellEnd"/>
      <w:r>
        <w:rPr>
          <w:sz w:val="18"/>
        </w:rPr>
        <w:t xml:space="preserve"> Association of Québec (ASEQ-EHAQ) </w:t>
      </w:r>
    </w:p>
    <w:p w14:paraId="195ED4E5" w14:textId="77777777" w:rsidR="00166963" w:rsidRDefault="00000000">
      <w:pPr>
        <w:spacing w:after="76" w:line="259" w:lineRule="auto"/>
        <w:ind w:left="0" w:firstLine="0"/>
        <w:jc w:val="left"/>
      </w:pPr>
      <w:r>
        <w:rPr>
          <w:sz w:val="10"/>
        </w:rPr>
        <w:t xml:space="preserve"> </w:t>
      </w:r>
    </w:p>
    <w:p w14:paraId="661A11BB" w14:textId="77777777" w:rsidR="00166963" w:rsidRDefault="00000000">
      <w:pPr>
        <w:spacing w:after="3" w:line="259" w:lineRule="auto"/>
        <w:ind w:left="-5" w:right="1844"/>
        <w:jc w:val="left"/>
      </w:pPr>
      <w:r>
        <w:rPr>
          <w:sz w:val="18"/>
        </w:rPr>
        <w:t xml:space="preserve">André Prévost, / téléphone : 514-284-0155 poste1 </w:t>
      </w:r>
    </w:p>
    <w:p w14:paraId="11272A26" w14:textId="77777777" w:rsidR="00166963" w:rsidRDefault="00000000">
      <w:pPr>
        <w:spacing w:after="3" w:line="259" w:lineRule="auto"/>
        <w:ind w:left="-5" w:right="1844"/>
        <w:jc w:val="left"/>
      </w:pPr>
      <w:r>
        <w:rPr>
          <w:sz w:val="18"/>
        </w:rPr>
        <w:t xml:space="preserve">Directeur général COPHAN </w:t>
      </w:r>
    </w:p>
    <w:p w14:paraId="2688A6E8" w14:textId="77777777" w:rsidR="00166963" w:rsidRDefault="00000000">
      <w:pPr>
        <w:pStyle w:val="Titre1"/>
      </w:pPr>
      <w:r>
        <w:lastRenderedPageBreak/>
        <w:t>Informations complémentaires / références</w:t>
      </w:r>
      <w:r>
        <w:rPr>
          <w:rFonts w:ascii="Arial" w:eastAsia="Arial" w:hAnsi="Arial" w:cs="Arial"/>
          <w:b w:val="0"/>
          <w:sz w:val="23"/>
        </w:rPr>
        <w:t xml:space="preserve"> </w:t>
      </w:r>
    </w:p>
    <w:p w14:paraId="6377E779" w14:textId="77777777" w:rsidR="00166963" w:rsidRDefault="00000000">
      <w:pPr>
        <w:spacing w:after="190" w:line="259" w:lineRule="auto"/>
        <w:ind w:left="0" w:firstLine="0"/>
        <w:jc w:val="left"/>
      </w:pPr>
      <w:r>
        <w:rPr>
          <w:rFonts w:ascii="Calibri" w:eastAsia="Calibri" w:hAnsi="Calibri" w:cs="Calibri"/>
          <w:sz w:val="22"/>
        </w:rPr>
        <w:t xml:space="preserve"> </w:t>
      </w:r>
    </w:p>
    <w:p w14:paraId="09F7FAF5" w14:textId="77777777" w:rsidR="00166963" w:rsidRDefault="00000000">
      <w:pPr>
        <w:numPr>
          <w:ilvl w:val="0"/>
          <w:numId w:val="2"/>
        </w:numPr>
        <w:spacing w:after="10" w:line="252" w:lineRule="auto"/>
        <w:ind w:hanging="360"/>
        <w:jc w:val="left"/>
      </w:pPr>
      <w:r>
        <w:rPr>
          <w:color w:val="0563C1"/>
          <w:sz w:val="24"/>
          <w:u w:val="single" w:color="0563C1"/>
        </w:rPr>
        <w:t>Statistique Canada (2015-2016) Enquête sur la santé dans les collectivités</w:t>
      </w:r>
      <w:r>
        <w:rPr>
          <w:color w:val="0563C1"/>
          <w:sz w:val="24"/>
        </w:rPr>
        <w:t xml:space="preserve"> </w:t>
      </w:r>
      <w:r>
        <w:rPr>
          <w:color w:val="0563C1"/>
          <w:sz w:val="24"/>
          <w:u w:val="single" w:color="0563C1"/>
        </w:rPr>
        <w:t>canadiennes (ESCC), fichier</w:t>
      </w:r>
      <w:r>
        <w:rPr>
          <w:color w:val="0563C1"/>
          <w:sz w:val="24"/>
        </w:rPr>
        <w:t xml:space="preserve"> </w:t>
      </w:r>
    </w:p>
    <w:p w14:paraId="09632EFF" w14:textId="77777777" w:rsidR="00166963" w:rsidRDefault="00000000">
      <w:pPr>
        <w:spacing w:after="0" w:line="259" w:lineRule="auto"/>
        <w:ind w:left="720" w:firstLine="0"/>
        <w:jc w:val="left"/>
      </w:pPr>
      <w:r>
        <w:rPr>
          <w:color w:val="0563C1"/>
          <w:sz w:val="24"/>
        </w:rPr>
        <w:t xml:space="preserve"> </w:t>
      </w:r>
    </w:p>
    <w:p w14:paraId="3D0EA3A2" w14:textId="77777777" w:rsidR="00166963" w:rsidRDefault="00000000">
      <w:pPr>
        <w:spacing w:after="15" w:line="259" w:lineRule="auto"/>
        <w:ind w:left="720" w:firstLine="0"/>
        <w:jc w:val="left"/>
      </w:pPr>
      <w:r>
        <w:rPr>
          <w:color w:val="0563C1"/>
          <w:sz w:val="24"/>
        </w:rPr>
        <w:t xml:space="preserve"> </w:t>
      </w:r>
    </w:p>
    <w:p w14:paraId="75A86420" w14:textId="77777777" w:rsidR="00166963" w:rsidRDefault="00000000">
      <w:pPr>
        <w:numPr>
          <w:ilvl w:val="0"/>
          <w:numId w:val="2"/>
        </w:numPr>
        <w:spacing w:after="150" w:line="252" w:lineRule="auto"/>
        <w:ind w:hanging="360"/>
        <w:jc w:val="left"/>
      </w:pPr>
      <w:r>
        <w:rPr>
          <w:color w:val="0563C1"/>
          <w:sz w:val="24"/>
          <w:u w:val="single" w:color="0563C1"/>
        </w:rPr>
        <w:t>Statistique Canada (2020) Enquête sur la santé dans les collectivités</w:t>
      </w:r>
      <w:r>
        <w:rPr>
          <w:color w:val="0563C1"/>
          <w:sz w:val="24"/>
        </w:rPr>
        <w:t xml:space="preserve"> </w:t>
      </w:r>
      <w:r>
        <w:rPr>
          <w:color w:val="0563C1"/>
          <w:sz w:val="24"/>
          <w:u w:val="single" w:color="0563C1"/>
        </w:rPr>
        <w:t>canadiennes (ESCC), fichier</w:t>
      </w:r>
      <w:r>
        <w:rPr>
          <w:color w:val="0563C1"/>
          <w:sz w:val="24"/>
        </w:rPr>
        <w:t xml:space="preserve"> </w:t>
      </w:r>
    </w:p>
    <w:p w14:paraId="58161D81" w14:textId="77777777" w:rsidR="00166963" w:rsidRDefault="00000000">
      <w:pPr>
        <w:spacing w:after="178" w:line="259" w:lineRule="auto"/>
        <w:ind w:left="360" w:firstLine="0"/>
        <w:jc w:val="left"/>
      </w:pPr>
      <w:r>
        <w:rPr>
          <w:color w:val="0563C1"/>
          <w:sz w:val="24"/>
        </w:rPr>
        <w:t xml:space="preserve"> </w:t>
      </w:r>
    </w:p>
    <w:p w14:paraId="6376BDB2" w14:textId="77777777" w:rsidR="00166963" w:rsidRDefault="00000000">
      <w:pPr>
        <w:numPr>
          <w:ilvl w:val="0"/>
          <w:numId w:val="2"/>
        </w:numPr>
        <w:spacing w:after="2" w:line="261" w:lineRule="auto"/>
        <w:ind w:hanging="360"/>
        <w:jc w:val="left"/>
      </w:pPr>
      <w:r>
        <w:rPr>
          <w:color w:val="201F1E"/>
          <w:sz w:val="24"/>
        </w:rPr>
        <w:t xml:space="preserve">Les arguments en faveur de la création de soins de santé sans fragrance au Québec : </w:t>
      </w:r>
      <w:hyperlink r:id="rId13">
        <w:r>
          <w:rPr>
            <w:color w:val="0563C1"/>
            <w:sz w:val="24"/>
            <w:u w:val="single" w:color="0563C1"/>
          </w:rPr>
          <w:t>https://aseq</w:t>
        </w:r>
      </w:hyperlink>
      <w:hyperlink r:id="rId14">
        <w:r>
          <w:rPr>
            <w:color w:val="0563C1"/>
            <w:sz w:val="24"/>
            <w:u w:val="single" w:color="0563C1"/>
          </w:rPr>
          <w:t>-</w:t>
        </w:r>
      </w:hyperlink>
      <w:hyperlink r:id="rId15">
        <w:r>
          <w:rPr>
            <w:color w:val="0563C1"/>
            <w:sz w:val="24"/>
            <w:u w:val="single" w:color="0563C1"/>
          </w:rPr>
          <w:t>ehaq.ca/ressources/fragrances/</w:t>
        </w:r>
      </w:hyperlink>
      <w:hyperlink r:id="rId16">
        <w:r>
          <w:rPr>
            <w:color w:val="0563C1"/>
            <w:sz w:val="24"/>
          </w:rPr>
          <w:t xml:space="preserve"> </w:t>
        </w:r>
      </w:hyperlink>
    </w:p>
    <w:p w14:paraId="5D583BB7" w14:textId="77777777" w:rsidR="00166963" w:rsidRDefault="00000000">
      <w:pPr>
        <w:spacing w:after="0" w:line="259" w:lineRule="auto"/>
        <w:ind w:left="720" w:firstLine="0"/>
        <w:jc w:val="left"/>
      </w:pPr>
      <w:r>
        <w:rPr>
          <w:color w:val="0563C1"/>
          <w:sz w:val="24"/>
        </w:rPr>
        <w:t xml:space="preserve"> </w:t>
      </w:r>
    </w:p>
    <w:p w14:paraId="1CF7C475" w14:textId="77777777" w:rsidR="00166963" w:rsidRDefault="00000000">
      <w:pPr>
        <w:spacing w:after="15" w:line="259" w:lineRule="auto"/>
        <w:ind w:left="720" w:firstLine="0"/>
        <w:jc w:val="left"/>
      </w:pPr>
      <w:r>
        <w:rPr>
          <w:color w:val="0563C1"/>
          <w:sz w:val="24"/>
        </w:rPr>
        <w:t xml:space="preserve"> </w:t>
      </w:r>
    </w:p>
    <w:p w14:paraId="68388256" w14:textId="77777777" w:rsidR="00166963" w:rsidRDefault="00000000">
      <w:pPr>
        <w:numPr>
          <w:ilvl w:val="0"/>
          <w:numId w:val="2"/>
        </w:numPr>
        <w:spacing w:after="150" w:line="252" w:lineRule="auto"/>
        <w:ind w:hanging="360"/>
        <w:jc w:val="left"/>
      </w:pPr>
      <w:r>
        <w:rPr>
          <w:color w:val="201F1E"/>
          <w:sz w:val="24"/>
        </w:rPr>
        <w:t>Statistiques canadiennes :</w:t>
      </w:r>
      <w:r>
        <w:rPr>
          <w:color w:val="0563C1"/>
          <w:sz w:val="24"/>
          <w:u w:val="single" w:color="0563C1"/>
        </w:rPr>
        <w:t xml:space="preserve"> https://aseq-ehaq.ca/hypersensibilitesenvironnementales/statistiques/</w:t>
      </w:r>
      <w:r>
        <w:rPr>
          <w:color w:val="0563C1"/>
          <w:sz w:val="24"/>
        </w:rPr>
        <w:t xml:space="preserve"> </w:t>
      </w:r>
    </w:p>
    <w:p w14:paraId="5AED022B" w14:textId="77777777" w:rsidR="00166963" w:rsidRDefault="00000000">
      <w:pPr>
        <w:spacing w:after="192" w:line="259" w:lineRule="auto"/>
        <w:ind w:left="0" w:firstLine="0"/>
        <w:jc w:val="left"/>
      </w:pPr>
      <w:r>
        <w:rPr>
          <w:rFonts w:ascii="Calibri" w:eastAsia="Calibri" w:hAnsi="Calibri" w:cs="Calibri"/>
          <w:sz w:val="22"/>
        </w:rPr>
        <w:t xml:space="preserve"> </w:t>
      </w:r>
    </w:p>
    <w:p w14:paraId="51791F29" w14:textId="77777777" w:rsidR="00166963" w:rsidRDefault="00000000">
      <w:pPr>
        <w:numPr>
          <w:ilvl w:val="0"/>
          <w:numId w:val="2"/>
        </w:numPr>
        <w:spacing w:after="150" w:line="252" w:lineRule="auto"/>
        <w:ind w:hanging="360"/>
        <w:jc w:val="left"/>
      </w:pPr>
      <w:r>
        <w:rPr>
          <w:color w:val="201F1E"/>
          <w:sz w:val="24"/>
        </w:rPr>
        <w:t xml:space="preserve">Commission canadienne des droits de la personne Politique : </w:t>
      </w:r>
      <w:hyperlink r:id="rId17">
        <w:r>
          <w:rPr>
            <w:color w:val="0563C1"/>
            <w:sz w:val="24"/>
            <w:u w:val="single" w:color="0563C1"/>
          </w:rPr>
          <w:t>https://www.chrc</w:t>
        </w:r>
      </w:hyperlink>
      <w:hyperlink r:id="rId18">
        <w:r>
          <w:rPr>
            <w:color w:val="0563C1"/>
            <w:sz w:val="24"/>
            <w:u w:val="single" w:color="0563C1"/>
          </w:rPr>
          <w:t>-</w:t>
        </w:r>
      </w:hyperlink>
      <w:hyperlink r:id="rId19">
        <w:r>
          <w:rPr>
            <w:color w:val="0563C1"/>
            <w:sz w:val="24"/>
            <w:u w:val="single" w:color="0563C1"/>
          </w:rPr>
          <w:t>ccdp.gc.ca/fr/ressources/publications/politique</w:t>
        </w:r>
      </w:hyperlink>
      <w:hyperlink r:id="rId20">
        <w:r>
          <w:rPr>
            <w:color w:val="0563C1"/>
            <w:sz w:val="24"/>
            <w:u w:val="single" w:color="0563C1"/>
          </w:rPr>
          <w:t>-</w:t>
        </w:r>
      </w:hyperlink>
      <w:hyperlink r:id="rId21">
        <w:r>
          <w:rPr>
            <w:color w:val="0563C1"/>
            <w:sz w:val="24"/>
            <w:u w:val="single" w:color="0563C1"/>
          </w:rPr>
          <w:t>concernant</w:t>
        </w:r>
      </w:hyperlink>
      <w:hyperlink r:id="rId22"/>
      <w:hyperlink r:id="rId23">
        <w:r>
          <w:rPr>
            <w:color w:val="0563C1"/>
            <w:sz w:val="24"/>
            <w:u w:val="single" w:color="0563C1"/>
          </w:rPr>
          <w:t>lhypersensibilite</w:t>
        </w:r>
      </w:hyperlink>
      <w:hyperlink r:id="rId24">
        <w:r>
          <w:rPr>
            <w:color w:val="0563C1"/>
            <w:sz w:val="24"/>
            <w:u w:val="single" w:color="0563C1"/>
          </w:rPr>
          <w:t>-</w:t>
        </w:r>
      </w:hyperlink>
      <w:hyperlink r:id="rId25">
        <w:r>
          <w:rPr>
            <w:color w:val="0563C1"/>
            <w:sz w:val="24"/>
            <w:u w:val="single" w:color="0563C1"/>
          </w:rPr>
          <w:t>environnementale</w:t>
        </w:r>
      </w:hyperlink>
      <w:hyperlink r:id="rId26">
        <w:r>
          <w:rPr>
            <w:rFonts w:ascii="Calibri" w:eastAsia="Calibri" w:hAnsi="Calibri" w:cs="Calibri"/>
            <w:color w:val="0563C1"/>
            <w:sz w:val="24"/>
          </w:rPr>
          <w:t xml:space="preserve"> </w:t>
        </w:r>
      </w:hyperlink>
    </w:p>
    <w:p w14:paraId="2EAD452E" w14:textId="77777777" w:rsidR="00166963" w:rsidRDefault="00000000">
      <w:pPr>
        <w:spacing w:after="192" w:line="259" w:lineRule="auto"/>
        <w:ind w:left="0" w:firstLine="0"/>
        <w:jc w:val="left"/>
      </w:pPr>
      <w:r>
        <w:rPr>
          <w:rFonts w:ascii="Calibri" w:eastAsia="Calibri" w:hAnsi="Calibri" w:cs="Calibri"/>
          <w:sz w:val="22"/>
        </w:rPr>
        <w:t xml:space="preserve"> </w:t>
      </w:r>
    </w:p>
    <w:p w14:paraId="4843D505" w14:textId="77777777" w:rsidR="00166963" w:rsidRDefault="00000000">
      <w:pPr>
        <w:numPr>
          <w:ilvl w:val="0"/>
          <w:numId w:val="2"/>
        </w:numPr>
        <w:spacing w:after="150" w:line="252" w:lineRule="auto"/>
        <w:ind w:hanging="360"/>
        <w:jc w:val="left"/>
      </w:pPr>
      <w:r>
        <w:rPr>
          <w:color w:val="201F1E"/>
          <w:sz w:val="24"/>
        </w:rPr>
        <w:t xml:space="preserve">Commission des droits de la personne et des droits de la jeunesse Lettre à l’ASEQ : </w:t>
      </w:r>
      <w:hyperlink r:id="rId27">
        <w:r>
          <w:rPr>
            <w:color w:val="0563C1"/>
            <w:sz w:val="24"/>
            <w:u w:val="single" w:color="0563C1"/>
          </w:rPr>
          <w:t>https://hypersensibiliteenvironnementale.com/old/images/pdfs/6</w:t>
        </w:r>
      </w:hyperlink>
      <w:hyperlink r:id="rId28"/>
      <w:hyperlink r:id="rId29">
        <w:r>
          <w:rPr>
            <w:color w:val="0563C1"/>
            <w:sz w:val="24"/>
            <w:u w:val="single" w:color="0563C1"/>
          </w:rPr>
          <w:t>HES_Com_droits_personneNov2011.pdf</w:t>
        </w:r>
      </w:hyperlink>
      <w:hyperlink r:id="rId30">
        <w:r>
          <w:rPr>
            <w:rFonts w:ascii="Calibri" w:eastAsia="Calibri" w:hAnsi="Calibri" w:cs="Calibri"/>
            <w:color w:val="0563C1"/>
            <w:sz w:val="24"/>
          </w:rPr>
          <w:t xml:space="preserve"> </w:t>
        </w:r>
      </w:hyperlink>
    </w:p>
    <w:p w14:paraId="6D4FFC74" w14:textId="77777777" w:rsidR="00166963" w:rsidRDefault="00000000">
      <w:pPr>
        <w:spacing w:after="190" w:line="259" w:lineRule="auto"/>
        <w:ind w:left="0" w:firstLine="0"/>
        <w:jc w:val="left"/>
      </w:pPr>
      <w:r>
        <w:rPr>
          <w:rFonts w:ascii="Calibri" w:eastAsia="Calibri" w:hAnsi="Calibri" w:cs="Calibri"/>
          <w:sz w:val="22"/>
        </w:rPr>
        <w:t xml:space="preserve"> </w:t>
      </w:r>
    </w:p>
    <w:p w14:paraId="3094CD9A" w14:textId="77777777" w:rsidR="00166963" w:rsidRDefault="00000000">
      <w:pPr>
        <w:numPr>
          <w:ilvl w:val="0"/>
          <w:numId w:val="2"/>
        </w:numPr>
        <w:spacing w:after="146" w:line="254" w:lineRule="auto"/>
        <w:ind w:hanging="360"/>
        <w:jc w:val="left"/>
      </w:pPr>
      <w:r>
        <w:rPr>
          <w:color w:val="201F1E"/>
          <w:sz w:val="24"/>
        </w:rPr>
        <w:t xml:space="preserve">Ontario Ministère de la Santé, Ministère des Soins de longue durée : </w:t>
      </w:r>
      <w:hyperlink r:id="rId31">
        <w:r>
          <w:rPr>
            <w:color w:val="0563C1"/>
            <w:sz w:val="24"/>
            <w:u w:val="single" w:color="0563C1"/>
          </w:rPr>
          <w:t xml:space="preserve">https://www.health.gov.on.ca/fr/public/programs/environmentalhealth/default.a </w:t>
        </w:r>
      </w:hyperlink>
      <w:hyperlink r:id="rId32">
        <w:proofErr w:type="spellStart"/>
        <w:r>
          <w:rPr>
            <w:color w:val="0563C1"/>
            <w:sz w:val="24"/>
            <w:u w:val="single" w:color="0563C1"/>
          </w:rPr>
          <w:t>spx</w:t>
        </w:r>
        <w:proofErr w:type="spellEnd"/>
      </w:hyperlink>
      <w:hyperlink r:id="rId33">
        <w:r>
          <w:rPr>
            <w:rFonts w:ascii="Calibri" w:eastAsia="Calibri" w:hAnsi="Calibri" w:cs="Calibri"/>
            <w:color w:val="0563C1"/>
            <w:sz w:val="24"/>
          </w:rPr>
          <w:t xml:space="preserve"> </w:t>
        </w:r>
      </w:hyperlink>
    </w:p>
    <w:p w14:paraId="57A0504E" w14:textId="77777777" w:rsidR="00166963" w:rsidRDefault="00000000">
      <w:pPr>
        <w:spacing w:after="190" w:line="259" w:lineRule="auto"/>
        <w:ind w:left="0" w:firstLine="0"/>
        <w:jc w:val="left"/>
      </w:pPr>
      <w:r>
        <w:rPr>
          <w:rFonts w:ascii="Calibri" w:eastAsia="Calibri" w:hAnsi="Calibri" w:cs="Calibri"/>
          <w:sz w:val="22"/>
        </w:rPr>
        <w:t xml:space="preserve"> </w:t>
      </w:r>
    </w:p>
    <w:p w14:paraId="3C35A57D" w14:textId="77777777" w:rsidR="00166963" w:rsidRDefault="00000000">
      <w:pPr>
        <w:numPr>
          <w:ilvl w:val="0"/>
          <w:numId w:val="2"/>
        </w:numPr>
        <w:spacing w:after="2" w:line="261" w:lineRule="auto"/>
        <w:ind w:hanging="360"/>
        <w:jc w:val="left"/>
      </w:pPr>
      <w:r>
        <w:rPr>
          <w:color w:val="201F1E"/>
          <w:sz w:val="24"/>
        </w:rPr>
        <w:t xml:space="preserve">Ontario </w:t>
      </w:r>
      <w:proofErr w:type="gramStart"/>
      <w:r>
        <w:rPr>
          <w:color w:val="201F1E"/>
          <w:sz w:val="24"/>
        </w:rPr>
        <w:t>Ministère</w:t>
      </w:r>
      <w:proofErr w:type="gramEnd"/>
      <w:r>
        <w:rPr>
          <w:color w:val="201F1E"/>
          <w:sz w:val="24"/>
        </w:rPr>
        <w:t xml:space="preserve"> de la Santé, Ministère des Soins de longue durée- RAPPORT FINAL : </w:t>
      </w:r>
    </w:p>
    <w:p w14:paraId="711A8E7D" w14:textId="77777777" w:rsidR="00166963" w:rsidRPr="00E00797" w:rsidRDefault="00000000">
      <w:pPr>
        <w:spacing w:after="150" w:line="252" w:lineRule="auto"/>
        <w:ind w:left="720" w:firstLine="0"/>
        <w:jc w:val="left"/>
        <w:rPr>
          <w:lang w:val="en-CA"/>
        </w:rPr>
      </w:pPr>
      <w:hyperlink r:id="rId34">
        <w:r w:rsidRPr="00E00797">
          <w:rPr>
            <w:color w:val="0563C1"/>
            <w:sz w:val="24"/>
            <w:u w:val="single" w:color="0563C1"/>
            <w:lang w:val="en-CA"/>
          </w:rPr>
          <w:t xml:space="preserve">https://www.health.gov.on.ca/fr/common/ministry/publications/reports/environ </w:t>
        </w:r>
      </w:hyperlink>
      <w:hyperlink r:id="rId35">
        <w:r w:rsidRPr="00E00797">
          <w:rPr>
            <w:color w:val="0563C1"/>
            <w:sz w:val="24"/>
            <w:u w:val="single" w:color="0563C1"/>
            <w:lang w:val="en-CA"/>
          </w:rPr>
          <w:t>mental_health_2018/default.aspx</w:t>
        </w:r>
      </w:hyperlink>
      <w:hyperlink r:id="rId36">
        <w:r w:rsidRPr="00E00797">
          <w:rPr>
            <w:rFonts w:ascii="Calibri" w:eastAsia="Calibri" w:hAnsi="Calibri" w:cs="Calibri"/>
            <w:color w:val="0563C1"/>
            <w:sz w:val="24"/>
            <w:lang w:val="en-CA"/>
          </w:rPr>
          <w:t xml:space="preserve"> </w:t>
        </w:r>
      </w:hyperlink>
    </w:p>
    <w:p w14:paraId="22D948B3" w14:textId="77777777" w:rsidR="00166963" w:rsidRPr="00E00797" w:rsidRDefault="00000000">
      <w:pPr>
        <w:spacing w:after="190" w:line="259" w:lineRule="auto"/>
        <w:ind w:left="0" w:firstLine="0"/>
        <w:jc w:val="left"/>
        <w:rPr>
          <w:lang w:val="en-CA"/>
        </w:rPr>
      </w:pPr>
      <w:r w:rsidRPr="00E00797">
        <w:rPr>
          <w:rFonts w:ascii="Calibri" w:eastAsia="Calibri" w:hAnsi="Calibri" w:cs="Calibri"/>
          <w:sz w:val="22"/>
          <w:lang w:val="en-CA"/>
        </w:rPr>
        <w:t xml:space="preserve"> </w:t>
      </w:r>
    </w:p>
    <w:p w14:paraId="04C6B51A" w14:textId="77777777" w:rsidR="00166963" w:rsidRDefault="00000000">
      <w:pPr>
        <w:numPr>
          <w:ilvl w:val="0"/>
          <w:numId w:val="2"/>
        </w:numPr>
        <w:spacing w:after="15" w:line="252" w:lineRule="auto"/>
        <w:ind w:hanging="360"/>
        <w:jc w:val="left"/>
      </w:pPr>
      <w:hyperlink r:id="rId37">
        <w:r>
          <w:rPr>
            <w:color w:val="0563C1"/>
            <w:sz w:val="24"/>
            <w:u w:val="single" w:color="0563C1"/>
          </w:rPr>
          <w:t>Des soins, maintenant : Plan d'action pour améliorer les soins aux personnes</w:t>
        </w:r>
      </w:hyperlink>
      <w:hyperlink r:id="rId38">
        <w:r>
          <w:rPr>
            <w:color w:val="0563C1"/>
            <w:sz w:val="24"/>
          </w:rPr>
          <w:t xml:space="preserve"> </w:t>
        </w:r>
      </w:hyperlink>
      <w:hyperlink r:id="rId39">
        <w:r>
          <w:rPr>
            <w:color w:val="0563C1"/>
            <w:sz w:val="24"/>
            <w:u w:val="single" w:color="0563C1"/>
          </w:rPr>
          <w:t>atteintes d'encéphalomyélite/du syndrome de fatigue chronique, de</w:t>
        </w:r>
      </w:hyperlink>
      <w:hyperlink r:id="rId40">
        <w:r>
          <w:rPr>
            <w:color w:val="0563C1"/>
            <w:sz w:val="24"/>
          </w:rPr>
          <w:t xml:space="preserve"> </w:t>
        </w:r>
      </w:hyperlink>
      <w:hyperlink r:id="rId41">
        <w:r>
          <w:rPr>
            <w:color w:val="0563C1"/>
            <w:sz w:val="24"/>
            <w:u w:val="single" w:color="0563C1"/>
          </w:rPr>
          <w:t>fibromyalgie et de manifestations d'intolérance au milieu/de sensibilité</w:t>
        </w:r>
      </w:hyperlink>
      <w:hyperlink r:id="rId42">
        <w:r>
          <w:rPr>
            <w:color w:val="0563C1"/>
            <w:sz w:val="24"/>
          </w:rPr>
          <w:t xml:space="preserve"> </w:t>
        </w:r>
      </w:hyperlink>
      <w:hyperlink r:id="rId43">
        <w:r>
          <w:rPr>
            <w:color w:val="0563C1"/>
            <w:sz w:val="24"/>
            <w:u w:val="single" w:color="0563C1"/>
          </w:rPr>
          <w:t>chimique multiple</w:t>
        </w:r>
      </w:hyperlink>
      <w:hyperlink r:id="rId44">
        <w:r>
          <w:rPr>
            <w:rFonts w:ascii="Calibri" w:eastAsia="Calibri" w:hAnsi="Calibri" w:cs="Calibri"/>
            <w:sz w:val="22"/>
          </w:rPr>
          <w:t xml:space="preserve"> </w:t>
        </w:r>
      </w:hyperlink>
    </w:p>
    <w:p w14:paraId="561E5127" w14:textId="77777777" w:rsidR="00166963" w:rsidRPr="00E00797" w:rsidRDefault="00000000">
      <w:pPr>
        <w:spacing w:after="150" w:line="252" w:lineRule="auto"/>
        <w:ind w:left="720" w:firstLine="0"/>
        <w:jc w:val="left"/>
        <w:rPr>
          <w:lang w:val="en-CA"/>
        </w:rPr>
      </w:pPr>
      <w:r>
        <w:rPr>
          <w:color w:val="201F1E"/>
          <w:sz w:val="24"/>
        </w:rPr>
        <w:lastRenderedPageBreak/>
        <w:t xml:space="preserve"> </w:t>
      </w:r>
      <w:r w:rsidRPr="00E00797">
        <w:rPr>
          <w:color w:val="201F1E"/>
          <w:sz w:val="24"/>
          <w:lang w:val="en-CA"/>
        </w:rPr>
        <w:t xml:space="preserve">174 pages | format en PDF : </w:t>
      </w:r>
      <w:hyperlink r:id="rId45">
        <w:r w:rsidRPr="00E00797">
          <w:rPr>
            <w:color w:val="0563C1"/>
            <w:sz w:val="24"/>
            <w:u w:val="single" w:color="0563C1"/>
            <w:lang w:val="en-CA"/>
          </w:rPr>
          <w:t xml:space="preserve">https://www.health.gov.on.ca/fr/common/ministry/publications/reports/environ </w:t>
        </w:r>
      </w:hyperlink>
      <w:hyperlink r:id="rId46">
        <w:r w:rsidRPr="00E00797">
          <w:rPr>
            <w:color w:val="0563C1"/>
            <w:sz w:val="24"/>
            <w:u w:val="single" w:color="0563C1"/>
            <w:lang w:val="en-CA"/>
          </w:rPr>
          <w:t>mental_health_2018/task_force_on_environmental_health_report_2018.pdf</w:t>
        </w:r>
      </w:hyperlink>
      <w:hyperlink r:id="rId47">
        <w:r w:rsidRPr="00E00797">
          <w:rPr>
            <w:rFonts w:ascii="Calibri" w:eastAsia="Calibri" w:hAnsi="Calibri" w:cs="Calibri"/>
            <w:color w:val="0563C1"/>
            <w:sz w:val="24"/>
            <w:lang w:val="en-CA"/>
          </w:rPr>
          <w:t xml:space="preserve"> </w:t>
        </w:r>
      </w:hyperlink>
    </w:p>
    <w:p w14:paraId="641C3389" w14:textId="77777777" w:rsidR="00166963" w:rsidRPr="00E00797" w:rsidRDefault="00000000">
      <w:pPr>
        <w:spacing w:after="216" w:line="259" w:lineRule="auto"/>
        <w:ind w:left="0" w:firstLine="0"/>
        <w:jc w:val="left"/>
        <w:rPr>
          <w:lang w:val="en-CA"/>
        </w:rPr>
      </w:pPr>
      <w:r w:rsidRPr="00E00797">
        <w:rPr>
          <w:rFonts w:ascii="Calibri" w:eastAsia="Calibri" w:hAnsi="Calibri" w:cs="Calibri"/>
          <w:sz w:val="22"/>
          <w:lang w:val="en-CA"/>
        </w:rPr>
        <w:t xml:space="preserve"> </w:t>
      </w:r>
    </w:p>
    <w:p w14:paraId="28F1FDF7" w14:textId="77777777" w:rsidR="00166963" w:rsidRDefault="00000000">
      <w:pPr>
        <w:numPr>
          <w:ilvl w:val="0"/>
          <w:numId w:val="2"/>
        </w:numPr>
        <w:spacing w:after="111" w:line="261" w:lineRule="auto"/>
        <w:ind w:hanging="360"/>
        <w:jc w:val="left"/>
      </w:pPr>
      <w:r>
        <w:rPr>
          <w:color w:val="201F1E"/>
          <w:sz w:val="24"/>
        </w:rPr>
        <w:t xml:space="preserve">Rapport sur SCM d’Alberta 2021: </w:t>
      </w:r>
      <w:hyperlink r:id="rId48">
        <w:r>
          <w:rPr>
            <w:color w:val="0563C1"/>
            <w:sz w:val="24"/>
            <w:u w:val="single" w:color="0563C1"/>
          </w:rPr>
          <w:t>https://intrinsik.com/</w:t>
        </w:r>
      </w:hyperlink>
      <w:hyperlink r:id="rId49">
        <w:r>
          <w:rPr>
            <w:rFonts w:ascii="Calibri" w:eastAsia="Calibri" w:hAnsi="Calibri" w:cs="Calibri"/>
            <w:color w:val="201F1E"/>
            <w:sz w:val="24"/>
          </w:rPr>
          <w:t xml:space="preserve"> </w:t>
        </w:r>
      </w:hyperlink>
    </w:p>
    <w:p w14:paraId="66A8B57C" w14:textId="77777777" w:rsidR="00166963" w:rsidRDefault="00000000">
      <w:pPr>
        <w:spacing w:after="190" w:line="259" w:lineRule="auto"/>
        <w:ind w:left="0" w:firstLine="0"/>
        <w:jc w:val="left"/>
      </w:pPr>
      <w:r>
        <w:rPr>
          <w:rFonts w:ascii="Calibri" w:eastAsia="Calibri" w:hAnsi="Calibri" w:cs="Calibri"/>
          <w:sz w:val="22"/>
        </w:rPr>
        <w:t xml:space="preserve"> </w:t>
      </w:r>
    </w:p>
    <w:p w14:paraId="71473E32" w14:textId="77777777" w:rsidR="00166963" w:rsidRDefault="00000000">
      <w:pPr>
        <w:numPr>
          <w:ilvl w:val="0"/>
          <w:numId w:val="2"/>
        </w:numPr>
        <w:spacing w:after="150" w:line="252" w:lineRule="auto"/>
        <w:ind w:hanging="360"/>
        <w:jc w:val="left"/>
      </w:pPr>
      <w:r>
        <w:rPr>
          <w:color w:val="201F1E"/>
          <w:sz w:val="24"/>
        </w:rPr>
        <w:t xml:space="preserve">Les autres études sur la SCM : </w:t>
      </w:r>
      <w:hyperlink r:id="rId50">
        <w:r>
          <w:rPr>
            <w:color w:val="0563C1"/>
            <w:sz w:val="24"/>
            <w:u w:val="single" w:color="0563C1"/>
          </w:rPr>
          <w:t>https://aseq</w:t>
        </w:r>
      </w:hyperlink>
      <w:hyperlink r:id="rId51">
        <w:r>
          <w:rPr>
            <w:color w:val="0563C1"/>
            <w:sz w:val="24"/>
            <w:u w:val="single" w:color="0563C1"/>
          </w:rPr>
          <w:t>-</w:t>
        </w:r>
      </w:hyperlink>
      <w:hyperlink r:id="rId52">
        <w:r>
          <w:rPr>
            <w:color w:val="0563C1"/>
            <w:sz w:val="24"/>
            <w:u w:val="single" w:color="0563C1"/>
          </w:rPr>
          <w:t>ehaq.ca/recherche</w:t>
        </w:r>
      </w:hyperlink>
      <w:hyperlink r:id="rId53">
        <w:r>
          <w:rPr>
            <w:color w:val="0563C1"/>
            <w:sz w:val="24"/>
            <w:u w:val="single" w:color="0563C1"/>
          </w:rPr>
          <w:t>-</w:t>
        </w:r>
      </w:hyperlink>
      <w:hyperlink r:id="rId54">
        <w:r>
          <w:rPr>
            <w:color w:val="0563C1"/>
            <w:sz w:val="24"/>
            <w:u w:val="single" w:color="0563C1"/>
          </w:rPr>
          <w:t>sur</w:t>
        </w:r>
      </w:hyperlink>
      <w:hyperlink r:id="rId55">
        <w:r>
          <w:rPr>
            <w:color w:val="0563C1"/>
            <w:sz w:val="24"/>
            <w:u w:val="single" w:color="0563C1"/>
          </w:rPr>
          <w:t>-</w:t>
        </w:r>
      </w:hyperlink>
      <w:hyperlink r:id="rId56">
        <w:r>
          <w:rPr>
            <w:color w:val="0563C1"/>
            <w:sz w:val="24"/>
            <w:u w:val="single" w:color="0563C1"/>
          </w:rPr>
          <w:t>la</w:t>
        </w:r>
      </w:hyperlink>
      <w:hyperlink r:id="rId57">
        <w:r>
          <w:rPr>
            <w:color w:val="0563C1"/>
            <w:sz w:val="24"/>
            <w:u w:val="single" w:color="0563C1"/>
          </w:rPr>
          <w:t>-</w:t>
        </w:r>
      </w:hyperlink>
      <w:hyperlink r:id="rId58">
        <w:r>
          <w:rPr>
            <w:color w:val="0563C1"/>
            <w:sz w:val="24"/>
            <w:u w:val="single" w:color="0563C1"/>
          </w:rPr>
          <w:t>scm</w:t>
        </w:r>
      </w:hyperlink>
      <w:hyperlink r:id="rId59"/>
      <w:hyperlink r:id="rId60">
        <w:r>
          <w:rPr>
            <w:color w:val="0563C1"/>
            <w:sz w:val="24"/>
            <w:u w:val="single" w:color="0563C1"/>
          </w:rPr>
          <w:t>mcs/</w:t>
        </w:r>
      </w:hyperlink>
      <w:hyperlink r:id="rId61">
        <w:r>
          <w:rPr>
            <w:rFonts w:ascii="Calibri" w:eastAsia="Calibri" w:hAnsi="Calibri" w:cs="Calibri"/>
            <w:color w:val="0563C1"/>
            <w:sz w:val="24"/>
          </w:rPr>
          <w:t xml:space="preserve"> </w:t>
        </w:r>
      </w:hyperlink>
    </w:p>
    <w:p w14:paraId="5529F06F" w14:textId="77777777" w:rsidR="00166963" w:rsidRDefault="00000000">
      <w:pPr>
        <w:spacing w:after="147" w:line="259" w:lineRule="auto"/>
        <w:ind w:left="0" w:firstLine="0"/>
        <w:jc w:val="left"/>
      </w:pPr>
      <w:r>
        <w:rPr>
          <w:sz w:val="24"/>
        </w:rPr>
        <w:t xml:space="preserve"> </w:t>
      </w:r>
    </w:p>
    <w:p w14:paraId="44F9BE4C" w14:textId="77777777" w:rsidR="00166963" w:rsidRDefault="00000000">
      <w:pPr>
        <w:spacing w:after="0" w:line="259" w:lineRule="auto"/>
        <w:ind w:left="0" w:firstLine="0"/>
        <w:jc w:val="left"/>
      </w:pPr>
      <w:r>
        <w:rPr>
          <w:rFonts w:ascii="Calibri" w:eastAsia="Calibri" w:hAnsi="Calibri" w:cs="Calibri"/>
          <w:sz w:val="22"/>
        </w:rPr>
        <w:t xml:space="preserve"> </w:t>
      </w:r>
    </w:p>
    <w:sectPr w:rsidR="00166963">
      <w:pgSz w:w="11906" w:h="16838"/>
      <w:pgMar w:top="1440" w:right="1438" w:bottom="14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D7A"/>
    <w:multiLevelType w:val="hybridMultilevel"/>
    <w:tmpl w:val="CCC0677A"/>
    <w:lvl w:ilvl="0" w:tplc="4E9AFF5A">
      <w:start w:val="1"/>
      <w:numFmt w:val="bullet"/>
      <w:lvlText w:val="•"/>
      <w:lvlJc w:val="left"/>
      <w:pPr>
        <w:ind w:left="705"/>
      </w:pPr>
      <w:rPr>
        <w:rFonts w:ascii="Arial" w:eastAsia="Arial" w:hAnsi="Arial" w:cs="Arial"/>
        <w:b w:val="0"/>
        <w:i w:val="0"/>
        <w:strike w:val="0"/>
        <w:dstrike w:val="0"/>
        <w:color w:val="0563C1"/>
        <w:sz w:val="24"/>
        <w:szCs w:val="24"/>
        <w:u w:val="none" w:color="000000"/>
        <w:bdr w:val="none" w:sz="0" w:space="0" w:color="auto"/>
        <w:shd w:val="clear" w:color="auto" w:fill="auto"/>
        <w:vertAlign w:val="baseline"/>
      </w:rPr>
    </w:lvl>
    <w:lvl w:ilvl="1" w:tplc="ED92B8D2">
      <w:start w:val="1"/>
      <w:numFmt w:val="bullet"/>
      <w:lvlText w:val="o"/>
      <w:lvlJc w:val="left"/>
      <w:pPr>
        <w:ind w:left="1440"/>
      </w:pPr>
      <w:rPr>
        <w:rFonts w:ascii="Segoe UI Symbol" w:eastAsia="Segoe UI Symbol" w:hAnsi="Segoe UI Symbol" w:cs="Segoe UI Symbol"/>
        <w:b w:val="0"/>
        <w:i w:val="0"/>
        <w:strike w:val="0"/>
        <w:dstrike w:val="0"/>
        <w:color w:val="0563C1"/>
        <w:sz w:val="24"/>
        <w:szCs w:val="24"/>
        <w:u w:val="none" w:color="000000"/>
        <w:bdr w:val="none" w:sz="0" w:space="0" w:color="auto"/>
        <w:shd w:val="clear" w:color="auto" w:fill="auto"/>
        <w:vertAlign w:val="baseline"/>
      </w:rPr>
    </w:lvl>
    <w:lvl w:ilvl="2" w:tplc="E67CD8C0">
      <w:start w:val="1"/>
      <w:numFmt w:val="bullet"/>
      <w:lvlText w:val="▪"/>
      <w:lvlJc w:val="left"/>
      <w:pPr>
        <w:ind w:left="2160"/>
      </w:pPr>
      <w:rPr>
        <w:rFonts w:ascii="Segoe UI Symbol" w:eastAsia="Segoe UI Symbol" w:hAnsi="Segoe UI Symbol" w:cs="Segoe UI Symbol"/>
        <w:b w:val="0"/>
        <w:i w:val="0"/>
        <w:strike w:val="0"/>
        <w:dstrike w:val="0"/>
        <w:color w:val="0563C1"/>
        <w:sz w:val="24"/>
        <w:szCs w:val="24"/>
        <w:u w:val="none" w:color="000000"/>
        <w:bdr w:val="none" w:sz="0" w:space="0" w:color="auto"/>
        <w:shd w:val="clear" w:color="auto" w:fill="auto"/>
        <w:vertAlign w:val="baseline"/>
      </w:rPr>
    </w:lvl>
    <w:lvl w:ilvl="3" w:tplc="C090CA2E">
      <w:start w:val="1"/>
      <w:numFmt w:val="bullet"/>
      <w:lvlText w:val="•"/>
      <w:lvlJc w:val="left"/>
      <w:pPr>
        <w:ind w:left="2880"/>
      </w:pPr>
      <w:rPr>
        <w:rFonts w:ascii="Arial" w:eastAsia="Arial" w:hAnsi="Arial" w:cs="Arial"/>
        <w:b w:val="0"/>
        <w:i w:val="0"/>
        <w:strike w:val="0"/>
        <w:dstrike w:val="0"/>
        <w:color w:val="0563C1"/>
        <w:sz w:val="24"/>
        <w:szCs w:val="24"/>
        <w:u w:val="none" w:color="000000"/>
        <w:bdr w:val="none" w:sz="0" w:space="0" w:color="auto"/>
        <w:shd w:val="clear" w:color="auto" w:fill="auto"/>
        <w:vertAlign w:val="baseline"/>
      </w:rPr>
    </w:lvl>
    <w:lvl w:ilvl="4" w:tplc="D38C2B6C">
      <w:start w:val="1"/>
      <w:numFmt w:val="bullet"/>
      <w:lvlText w:val="o"/>
      <w:lvlJc w:val="left"/>
      <w:pPr>
        <w:ind w:left="3600"/>
      </w:pPr>
      <w:rPr>
        <w:rFonts w:ascii="Segoe UI Symbol" w:eastAsia="Segoe UI Symbol" w:hAnsi="Segoe UI Symbol" w:cs="Segoe UI Symbol"/>
        <w:b w:val="0"/>
        <w:i w:val="0"/>
        <w:strike w:val="0"/>
        <w:dstrike w:val="0"/>
        <w:color w:val="0563C1"/>
        <w:sz w:val="24"/>
        <w:szCs w:val="24"/>
        <w:u w:val="none" w:color="000000"/>
        <w:bdr w:val="none" w:sz="0" w:space="0" w:color="auto"/>
        <w:shd w:val="clear" w:color="auto" w:fill="auto"/>
        <w:vertAlign w:val="baseline"/>
      </w:rPr>
    </w:lvl>
    <w:lvl w:ilvl="5" w:tplc="1FFA3780">
      <w:start w:val="1"/>
      <w:numFmt w:val="bullet"/>
      <w:lvlText w:val="▪"/>
      <w:lvlJc w:val="left"/>
      <w:pPr>
        <w:ind w:left="4320"/>
      </w:pPr>
      <w:rPr>
        <w:rFonts w:ascii="Segoe UI Symbol" w:eastAsia="Segoe UI Symbol" w:hAnsi="Segoe UI Symbol" w:cs="Segoe UI Symbol"/>
        <w:b w:val="0"/>
        <w:i w:val="0"/>
        <w:strike w:val="0"/>
        <w:dstrike w:val="0"/>
        <w:color w:val="0563C1"/>
        <w:sz w:val="24"/>
        <w:szCs w:val="24"/>
        <w:u w:val="none" w:color="000000"/>
        <w:bdr w:val="none" w:sz="0" w:space="0" w:color="auto"/>
        <w:shd w:val="clear" w:color="auto" w:fill="auto"/>
        <w:vertAlign w:val="baseline"/>
      </w:rPr>
    </w:lvl>
    <w:lvl w:ilvl="6" w:tplc="9D72ACEE">
      <w:start w:val="1"/>
      <w:numFmt w:val="bullet"/>
      <w:lvlText w:val="•"/>
      <w:lvlJc w:val="left"/>
      <w:pPr>
        <w:ind w:left="5040"/>
      </w:pPr>
      <w:rPr>
        <w:rFonts w:ascii="Arial" w:eastAsia="Arial" w:hAnsi="Arial" w:cs="Arial"/>
        <w:b w:val="0"/>
        <w:i w:val="0"/>
        <w:strike w:val="0"/>
        <w:dstrike w:val="0"/>
        <w:color w:val="0563C1"/>
        <w:sz w:val="24"/>
        <w:szCs w:val="24"/>
        <w:u w:val="none" w:color="000000"/>
        <w:bdr w:val="none" w:sz="0" w:space="0" w:color="auto"/>
        <w:shd w:val="clear" w:color="auto" w:fill="auto"/>
        <w:vertAlign w:val="baseline"/>
      </w:rPr>
    </w:lvl>
    <w:lvl w:ilvl="7" w:tplc="97A07A16">
      <w:start w:val="1"/>
      <w:numFmt w:val="bullet"/>
      <w:lvlText w:val="o"/>
      <w:lvlJc w:val="left"/>
      <w:pPr>
        <w:ind w:left="5760"/>
      </w:pPr>
      <w:rPr>
        <w:rFonts w:ascii="Segoe UI Symbol" w:eastAsia="Segoe UI Symbol" w:hAnsi="Segoe UI Symbol" w:cs="Segoe UI Symbol"/>
        <w:b w:val="0"/>
        <w:i w:val="0"/>
        <w:strike w:val="0"/>
        <w:dstrike w:val="0"/>
        <w:color w:val="0563C1"/>
        <w:sz w:val="24"/>
        <w:szCs w:val="24"/>
        <w:u w:val="none" w:color="000000"/>
        <w:bdr w:val="none" w:sz="0" w:space="0" w:color="auto"/>
        <w:shd w:val="clear" w:color="auto" w:fill="auto"/>
        <w:vertAlign w:val="baseline"/>
      </w:rPr>
    </w:lvl>
    <w:lvl w:ilvl="8" w:tplc="44D07200">
      <w:start w:val="1"/>
      <w:numFmt w:val="bullet"/>
      <w:lvlText w:val="▪"/>
      <w:lvlJc w:val="left"/>
      <w:pPr>
        <w:ind w:left="6480"/>
      </w:pPr>
      <w:rPr>
        <w:rFonts w:ascii="Segoe UI Symbol" w:eastAsia="Segoe UI Symbol" w:hAnsi="Segoe UI Symbol" w:cs="Segoe UI Symbol"/>
        <w:b w:val="0"/>
        <w:i w:val="0"/>
        <w:strike w:val="0"/>
        <w:dstrike w:val="0"/>
        <w:color w:val="0563C1"/>
        <w:sz w:val="24"/>
        <w:szCs w:val="24"/>
        <w:u w:val="none" w:color="000000"/>
        <w:bdr w:val="none" w:sz="0" w:space="0" w:color="auto"/>
        <w:shd w:val="clear" w:color="auto" w:fill="auto"/>
        <w:vertAlign w:val="baseline"/>
      </w:rPr>
    </w:lvl>
  </w:abstractNum>
  <w:abstractNum w:abstractNumId="1" w15:restartNumberingAfterBreak="0">
    <w:nsid w:val="2F854520"/>
    <w:multiLevelType w:val="hybridMultilevel"/>
    <w:tmpl w:val="20745C8A"/>
    <w:lvl w:ilvl="0" w:tplc="79B6E0E0">
      <w:start w:val="1"/>
      <w:numFmt w:val="decimal"/>
      <w:lvlText w:val="%1."/>
      <w:lvlJc w:val="left"/>
      <w:pPr>
        <w:ind w:left="7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0FE2072">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F4C964C">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49C1C40">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508C9FE">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93E7662">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F1003CA">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86218CA">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10082AE">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1708140000">
    <w:abstractNumId w:val="1"/>
  </w:num>
  <w:num w:numId="2" w16cid:durableId="107539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63"/>
    <w:rsid w:val="00166963"/>
    <w:rsid w:val="00E007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5A49"/>
  <w15:docId w15:val="{7B0A1C77-E541-478A-BD48-655D0DC2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2" w:lineRule="auto"/>
      <w:ind w:left="10" w:hanging="10"/>
      <w:jc w:val="both"/>
    </w:pPr>
    <w:rPr>
      <w:rFonts w:ascii="Arial" w:eastAsia="Arial" w:hAnsi="Arial" w:cs="Arial"/>
      <w:color w:val="000000"/>
      <w:sz w:val="23"/>
    </w:rPr>
  </w:style>
  <w:style w:type="paragraph" w:styleId="Titre1">
    <w:name w:val="heading 1"/>
    <w:next w:val="Normal"/>
    <w:link w:val="Titre1Car"/>
    <w:uiPriority w:val="9"/>
    <w:qFormat/>
    <w:pPr>
      <w:keepNext/>
      <w:keepLines/>
      <w:spacing w:after="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seq-ehaq.ca/ressources/fragrances/" TargetMode="External"/><Relationship Id="rId18" Type="http://schemas.openxmlformats.org/officeDocument/2006/relationships/hyperlink" Target="https://www.chrc-ccdp.gc.ca/fr/ressources/publications/politique-concernant-lhypersensibilite-environnementale" TargetMode="External"/><Relationship Id="rId26" Type="http://schemas.openxmlformats.org/officeDocument/2006/relationships/hyperlink" Target="https://www.chrc-ccdp.gc.ca/fr/ressources/publications/politique-concernant-lhypersensibilite-environnementale" TargetMode="External"/><Relationship Id="rId39" Type="http://schemas.openxmlformats.org/officeDocument/2006/relationships/hyperlink" Target="https://www.health.gov.on.ca/fr/common/ministry/publications/reports/environmental_health_2018/task_force_on_environmental_health_report_2018.pdf" TargetMode="External"/><Relationship Id="rId21" Type="http://schemas.openxmlformats.org/officeDocument/2006/relationships/hyperlink" Target="https://www.chrc-ccdp.gc.ca/fr/ressources/publications/politique-concernant-lhypersensibilite-environnementale" TargetMode="External"/><Relationship Id="rId34" Type="http://schemas.openxmlformats.org/officeDocument/2006/relationships/hyperlink" Target="https://www.health.gov.on.ca/fr/common/ministry/publications/reports/environmental_health_2018/default.aspx" TargetMode="External"/><Relationship Id="rId42" Type="http://schemas.openxmlformats.org/officeDocument/2006/relationships/hyperlink" Target="https://www.health.gov.on.ca/fr/common/ministry/publications/reports/environmental_health_2018/task_force_on_environmental_health_report_2018.pdf" TargetMode="External"/><Relationship Id="rId47" Type="http://schemas.openxmlformats.org/officeDocument/2006/relationships/hyperlink" Target="https://www.health.gov.on.ca/fr/common/ministry/publications/reports/environmental_health_2018/task_force_on_environmental_health_report_2018.pdf" TargetMode="External"/><Relationship Id="rId50" Type="http://schemas.openxmlformats.org/officeDocument/2006/relationships/hyperlink" Target="https://aseq-ehaq.ca/recherche-sur-la-scm-mcs/" TargetMode="External"/><Relationship Id="rId55" Type="http://schemas.openxmlformats.org/officeDocument/2006/relationships/hyperlink" Target="https://aseq-ehaq.ca/recherche-sur-la-scm-mcs/" TargetMode="External"/><Relationship Id="rId63" Type="http://schemas.openxmlformats.org/officeDocument/2006/relationships/theme" Target="theme/theme1.xml"/><Relationship Id="rId7" Type="http://schemas.openxmlformats.org/officeDocument/2006/relationships/image" Target="media/image0.png"/><Relationship Id="rId2" Type="http://schemas.openxmlformats.org/officeDocument/2006/relationships/styles" Target="styles.xml"/><Relationship Id="rId16" Type="http://schemas.openxmlformats.org/officeDocument/2006/relationships/hyperlink" Target="https://aseq-ehaq.ca/ressources/fragrances/" TargetMode="External"/><Relationship Id="rId29" Type="http://schemas.openxmlformats.org/officeDocument/2006/relationships/hyperlink" Target="https://hypersensibiliteenvironnementale.com/old/images/pdfs/6-HES_Com_droits_personneNov2011.pdf" TargetMode="External"/><Relationship Id="rId11" Type="http://schemas.openxmlformats.org/officeDocument/2006/relationships/hyperlink" Target="https://www.chrc-ccdp.gc.ca/fr/ressources/publications/politique-concernant-lhypersensibilite-environnementale" TargetMode="External"/><Relationship Id="rId24" Type="http://schemas.openxmlformats.org/officeDocument/2006/relationships/hyperlink" Target="https://www.chrc-ccdp.gc.ca/fr/ressources/publications/politique-concernant-lhypersensibilite-environnementale" TargetMode="External"/><Relationship Id="rId32" Type="http://schemas.openxmlformats.org/officeDocument/2006/relationships/hyperlink" Target="https://www.health.gov.on.ca/fr/public/programs/environmentalhealth/default.aspx" TargetMode="External"/><Relationship Id="rId37" Type="http://schemas.openxmlformats.org/officeDocument/2006/relationships/hyperlink" Target="https://www.health.gov.on.ca/fr/common/ministry/publications/reports/environmental_health_2018/task_force_on_environmental_health_report_2018.pdf" TargetMode="External"/><Relationship Id="rId40" Type="http://schemas.openxmlformats.org/officeDocument/2006/relationships/hyperlink" Target="https://www.health.gov.on.ca/fr/common/ministry/publications/reports/environmental_health_2018/task_force_on_environmental_health_report_2018.pdf" TargetMode="External"/><Relationship Id="rId45" Type="http://schemas.openxmlformats.org/officeDocument/2006/relationships/hyperlink" Target="https://www.health.gov.on.ca/fr/common/ministry/publications/reports/environmental_health_2018/task_force_on_environmental_health_report_2018.pdf" TargetMode="External"/><Relationship Id="rId53" Type="http://schemas.openxmlformats.org/officeDocument/2006/relationships/hyperlink" Target="https://aseq-ehaq.ca/recherche-sur-la-scm-mcs/" TargetMode="External"/><Relationship Id="rId58" Type="http://schemas.openxmlformats.org/officeDocument/2006/relationships/hyperlink" Target="https://aseq-ehaq.ca/recherche-sur-la-scm-mcs/" TargetMode="External"/><Relationship Id="rId5" Type="http://schemas.openxmlformats.org/officeDocument/2006/relationships/image" Target="media/image1.png"/><Relationship Id="rId61" Type="http://schemas.openxmlformats.org/officeDocument/2006/relationships/hyperlink" Target="https://aseq-ehaq.ca/recherche-sur-la-scm-mcs/" TargetMode="External"/><Relationship Id="rId19" Type="http://schemas.openxmlformats.org/officeDocument/2006/relationships/hyperlink" Target="https://www.chrc-ccdp.gc.ca/fr/ressources/publications/politique-concernant-lhypersensibilite-environnementale" TargetMode="External"/><Relationship Id="rId14" Type="http://schemas.openxmlformats.org/officeDocument/2006/relationships/hyperlink" Target="https://aseq-ehaq.ca/ressources/fragrances/" TargetMode="External"/><Relationship Id="rId22" Type="http://schemas.openxmlformats.org/officeDocument/2006/relationships/hyperlink" Target="https://www.chrc-ccdp.gc.ca/fr/ressources/publications/politique-concernant-lhypersensibilite-environnementale" TargetMode="External"/><Relationship Id="rId27" Type="http://schemas.openxmlformats.org/officeDocument/2006/relationships/hyperlink" Target="https://hypersensibiliteenvironnementale.com/old/images/pdfs/6-HES_Com_droits_personneNov2011.pdf" TargetMode="External"/><Relationship Id="rId30" Type="http://schemas.openxmlformats.org/officeDocument/2006/relationships/hyperlink" Target="https://hypersensibiliteenvironnementale.com/old/images/pdfs/6-HES_Com_droits_personneNov2011.pdf" TargetMode="External"/><Relationship Id="rId35" Type="http://schemas.openxmlformats.org/officeDocument/2006/relationships/hyperlink" Target="https://www.health.gov.on.ca/fr/common/ministry/publications/reports/environmental_health_2018/default.aspx" TargetMode="External"/><Relationship Id="rId43" Type="http://schemas.openxmlformats.org/officeDocument/2006/relationships/hyperlink" Target="https://www.health.gov.on.ca/fr/common/ministry/publications/reports/environmental_health_2018/task_force_on_environmental_health_report_2018.pdf" TargetMode="External"/><Relationship Id="rId48" Type="http://schemas.openxmlformats.org/officeDocument/2006/relationships/hyperlink" Target="https://intrinsik.com/" TargetMode="External"/><Relationship Id="rId56" Type="http://schemas.openxmlformats.org/officeDocument/2006/relationships/hyperlink" Target="https://aseq-ehaq.ca/recherche-sur-la-scm-mcs/" TargetMode="External"/><Relationship Id="rId8" Type="http://schemas.openxmlformats.org/officeDocument/2006/relationships/image" Target="media/image10.png"/><Relationship Id="rId51" Type="http://schemas.openxmlformats.org/officeDocument/2006/relationships/hyperlink" Target="https://aseq-ehaq.ca/recherche-sur-la-scm-mcs/" TargetMode="External"/><Relationship Id="rId3" Type="http://schemas.openxmlformats.org/officeDocument/2006/relationships/settings" Target="settings.xml"/><Relationship Id="rId12" Type="http://schemas.openxmlformats.org/officeDocument/2006/relationships/hyperlink" Target="https://www.chrc-ccdp.gc.ca/fr/ressources/publications/politique-concernant-lhypersensibilite-environnementale" TargetMode="External"/><Relationship Id="rId17" Type="http://schemas.openxmlformats.org/officeDocument/2006/relationships/hyperlink" Target="https://www.chrc-ccdp.gc.ca/fr/ressources/publications/politique-concernant-lhypersensibilite-environnementale" TargetMode="External"/><Relationship Id="rId25" Type="http://schemas.openxmlformats.org/officeDocument/2006/relationships/hyperlink" Target="https://www.chrc-ccdp.gc.ca/fr/ressources/publications/politique-concernant-lhypersensibilite-environnementale" TargetMode="External"/><Relationship Id="rId33" Type="http://schemas.openxmlformats.org/officeDocument/2006/relationships/hyperlink" Target="https://www.health.gov.on.ca/fr/public/programs/environmentalhealth/default.aspx" TargetMode="External"/><Relationship Id="rId38" Type="http://schemas.openxmlformats.org/officeDocument/2006/relationships/hyperlink" Target="https://www.health.gov.on.ca/fr/common/ministry/publications/reports/environmental_health_2018/task_force_on_environmental_health_report_2018.pdf" TargetMode="External"/><Relationship Id="rId46" Type="http://schemas.openxmlformats.org/officeDocument/2006/relationships/hyperlink" Target="https://www.health.gov.on.ca/fr/common/ministry/publications/reports/environmental_health_2018/task_force_on_environmental_health_report_2018.pdf" TargetMode="External"/><Relationship Id="rId59" Type="http://schemas.openxmlformats.org/officeDocument/2006/relationships/hyperlink" Target="https://aseq-ehaq.ca/recherche-sur-la-scm-mcs/" TargetMode="External"/><Relationship Id="rId20" Type="http://schemas.openxmlformats.org/officeDocument/2006/relationships/hyperlink" Target="https://www.chrc-ccdp.gc.ca/fr/ressources/publications/politique-concernant-lhypersensibilite-environnementale" TargetMode="External"/><Relationship Id="rId41" Type="http://schemas.openxmlformats.org/officeDocument/2006/relationships/hyperlink" Target="https://www.health.gov.on.ca/fr/common/ministry/publications/reports/environmental_health_2018/task_force_on_environmental_health_report_2018.pdf" TargetMode="External"/><Relationship Id="rId54" Type="http://schemas.openxmlformats.org/officeDocument/2006/relationships/hyperlink" Target="https://aseq-ehaq.ca/recherche-sur-la-scm-mc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aseq-ehaq.ca/ressources/fragrances/" TargetMode="External"/><Relationship Id="rId23" Type="http://schemas.openxmlformats.org/officeDocument/2006/relationships/hyperlink" Target="https://www.chrc-ccdp.gc.ca/fr/ressources/publications/politique-concernant-lhypersensibilite-environnementale" TargetMode="External"/><Relationship Id="rId28" Type="http://schemas.openxmlformats.org/officeDocument/2006/relationships/hyperlink" Target="https://hypersensibiliteenvironnementale.com/old/images/pdfs/6-HES_Com_droits_personneNov2011.pdf" TargetMode="External"/><Relationship Id="rId36" Type="http://schemas.openxmlformats.org/officeDocument/2006/relationships/hyperlink" Target="https://www.health.gov.on.ca/fr/common/ministry/publications/reports/environmental_health_2018/default.aspx" TargetMode="External"/><Relationship Id="rId49" Type="http://schemas.openxmlformats.org/officeDocument/2006/relationships/hyperlink" Target="https://intrinsik.com/" TargetMode="External"/><Relationship Id="rId57" Type="http://schemas.openxmlformats.org/officeDocument/2006/relationships/hyperlink" Target="https://aseq-ehaq.ca/recherche-sur-la-scm-mcs/" TargetMode="External"/><Relationship Id="rId10" Type="http://schemas.openxmlformats.org/officeDocument/2006/relationships/hyperlink" Target="https://www.chrc-ccdp.gc.ca/fr/ressources/publications/politique-concernant-lhypersensibilite-environnementale" TargetMode="External"/><Relationship Id="rId31" Type="http://schemas.openxmlformats.org/officeDocument/2006/relationships/hyperlink" Target="https://www.health.gov.on.ca/fr/public/programs/environmentalhealth/default.aspx" TargetMode="External"/><Relationship Id="rId44" Type="http://schemas.openxmlformats.org/officeDocument/2006/relationships/hyperlink" Target="https://www.health.gov.on.ca/fr/common/ministry/publications/reports/environmental_health_2018/task_force_on_environmental_health_report_2018.pdf" TargetMode="External"/><Relationship Id="rId52" Type="http://schemas.openxmlformats.org/officeDocument/2006/relationships/hyperlink" Target="https://aseq-ehaq.ca/recherche-sur-la-scm-mcs/" TargetMode="External"/><Relationship Id="rId60" Type="http://schemas.openxmlformats.org/officeDocument/2006/relationships/hyperlink" Target="https://aseq-ehaq.ca/recherche-sur-la-scm-mcs/" TargetMode="External"/><Relationship Id="rId4" Type="http://schemas.openxmlformats.org/officeDocument/2006/relationships/webSettings" Target="webSettings.xml"/><Relationship Id="rId9" Type="http://schemas.openxmlformats.org/officeDocument/2006/relationships/hyperlink" Target="https://www.chrc-ccdp.gc.ca/fr/ressources/publications/politique-concernant-lhypersensibilite-environnemen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1976</Words>
  <Characters>10872</Characters>
  <Application>Microsoft Office Word</Application>
  <DocSecurity>0</DocSecurity>
  <Lines>90</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Prévost</dc:creator>
  <cp:keywords/>
  <cp:lastModifiedBy>Paul Lupien</cp:lastModifiedBy>
  <cp:revision>2</cp:revision>
  <dcterms:created xsi:type="dcterms:W3CDTF">2022-08-26T15:46:00Z</dcterms:created>
  <dcterms:modified xsi:type="dcterms:W3CDTF">2022-08-26T15:46:00Z</dcterms:modified>
</cp:coreProperties>
</file>