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FD77" w14:textId="77777777" w:rsidR="00DD78C3" w:rsidRPr="00F7259A" w:rsidRDefault="00DD78C3" w:rsidP="00BB709F">
      <w:pPr>
        <w:spacing w:before="500" w:after="500" w:line="300" w:lineRule="auto"/>
        <w:jc w:val="both"/>
      </w:pPr>
      <w:r w:rsidRPr="00F7259A">
        <w:rPr>
          <w:noProof/>
          <w:lang w:eastAsia="fr-CA"/>
        </w:rPr>
        <w:drawing>
          <wp:anchor distT="0" distB="0" distL="114300" distR="114300" simplePos="0" relativeHeight="251660288" behindDoc="0" locked="0" layoutInCell="1" allowOverlap="1" wp14:anchorId="2A0FC87B" wp14:editId="3186EEBE">
            <wp:simplePos x="0" y="0"/>
            <wp:positionH relativeFrom="column">
              <wp:posOffset>-68580</wp:posOffset>
            </wp:positionH>
            <wp:positionV relativeFrom="paragraph">
              <wp:posOffset>0</wp:posOffset>
            </wp:positionV>
            <wp:extent cx="4290060" cy="1219200"/>
            <wp:effectExtent l="0" t="0" r="0" b="0"/>
            <wp:wrapNone/>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cstate="print">
                      <a:extLst>
                        <a:ext uri="{28A0092B-C50C-407E-A947-70E740481C1C}">
                          <a14:useLocalDpi xmlns:a14="http://schemas.microsoft.com/office/drawing/2010/main" val="0"/>
                        </a:ext>
                      </a:extLst>
                    </a:blip>
                    <a:srcRect l="8199" t="12056" r="7666" b="10841"/>
                    <a:stretch>
                      <a:fillRect/>
                    </a:stretch>
                  </pic:blipFill>
                  <pic:spPr bwMode="auto">
                    <a:xfrm>
                      <a:off x="0" y="0"/>
                      <a:ext cx="429006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F5566" w14:textId="77777777" w:rsidR="00940C69" w:rsidRDefault="00940C69" w:rsidP="00D55D73">
      <w:bookmarkStart w:id="0" w:name="_Toc63085488"/>
      <w:bookmarkStart w:id="1" w:name="_Toc63177211"/>
      <w:bookmarkStart w:id="2" w:name="_Toc63177288"/>
      <w:bookmarkStart w:id="3" w:name="_Toc63440740"/>
    </w:p>
    <w:p w14:paraId="47549717" w14:textId="77777777" w:rsidR="00940C69" w:rsidRDefault="00940C69" w:rsidP="00D55D73"/>
    <w:p w14:paraId="7AB4693F" w14:textId="77777777" w:rsidR="00940C69" w:rsidRDefault="00940C69" w:rsidP="00D55D73"/>
    <w:p w14:paraId="33174140" w14:textId="13353163" w:rsidR="00B31DF2" w:rsidRPr="00D55D73" w:rsidRDefault="002F78EA" w:rsidP="00D55D73">
      <w:pPr>
        <w:rPr>
          <w:b/>
          <w:bCs/>
          <w:sz w:val="40"/>
          <w:szCs w:val="28"/>
        </w:rPr>
      </w:pPr>
      <w:r w:rsidRPr="00D55D73">
        <w:rPr>
          <w:b/>
          <w:bCs/>
          <w:sz w:val="40"/>
          <w:szCs w:val="28"/>
        </w:rPr>
        <w:t>Rendre remboursable le montant pour déficience grave et prolongée des fonctions mentales ou physiques : une brique de moins dans le mur de l’exclusion</w:t>
      </w:r>
    </w:p>
    <w:bookmarkEnd w:id="0"/>
    <w:bookmarkEnd w:id="1"/>
    <w:bookmarkEnd w:id="2"/>
    <w:bookmarkEnd w:id="3"/>
    <w:p w14:paraId="294303D0" w14:textId="77777777" w:rsidR="00384449" w:rsidRPr="00940C69" w:rsidRDefault="00384449" w:rsidP="00D55D73"/>
    <w:p w14:paraId="2396AB3B" w14:textId="77777777" w:rsidR="00940C69" w:rsidRDefault="00940C69" w:rsidP="00920613">
      <w:pPr>
        <w:jc w:val="both"/>
        <w:rPr>
          <w:b/>
          <w:bCs/>
          <w:sz w:val="28"/>
          <w:szCs w:val="28"/>
        </w:rPr>
      </w:pPr>
    </w:p>
    <w:p w14:paraId="2DD58E38" w14:textId="77777777" w:rsidR="00920613" w:rsidRDefault="00920613" w:rsidP="00920613">
      <w:pPr>
        <w:jc w:val="both"/>
        <w:rPr>
          <w:b/>
          <w:bCs/>
          <w:sz w:val="28"/>
          <w:szCs w:val="28"/>
        </w:rPr>
      </w:pPr>
    </w:p>
    <w:p w14:paraId="32147A27" w14:textId="77777777" w:rsidR="00920613" w:rsidRDefault="00920613" w:rsidP="00920613">
      <w:pPr>
        <w:jc w:val="both"/>
        <w:rPr>
          <w:b/>
          <w:bCs/>
          <w:sz w:val="28"/>
          <w:szCs w:val="28"/>
        </w:rPr>
      </w:pPr>
    </w:p>
    <w:p w14:paraId="2A9AF2BB" w14:textId="4F6545B2" w:rsidR="00920613" w:rsidRDefault="00920613" w:rsidP="00920613">
      <w:pPr>
        <w:jc w:val="both"/>
        <w:rPr>
          <w:b/>
          <w:bCs/>
          <w:sz w:val="28"/>
          <w:szCs w:val="28"/>
        </w:rPr>
      </w:pPr>
    </w:p>
    <w:p w14:paraId="7B2FAAAE" w14:textId="77777777" w:rsidR="00920613" w:rsidRDefault="00920613" w:rsidP="00920613">
      <w:pPr>
        <w:jc w:val="both"/>
        <w:rPr>
          <w:b/>
          <w:bCs/>
          <w:sz w:val="28"/>
          <w:szCs w:val="28"/>
        </w:rPr>
      </w:pPr>
    </w:p>
    <w:p w14:paraId="1BD4CC2A" w14:textId="0AF11016" w:rsidR="00384449" w:rsidRPr="00920613" w:rsidRDefault="00384449" w:rsidP="00920613">
      <w:pPr>
        <w:jc w:val="both"/>
        <w:rPr>
          <w:b/>
          <w:bCs/>
          <w:sz w:val="28"/>
          <w:szCs w:val="28"/>
        </w:rPr>
      </w:pPr>
      <w:r w:rsidRPr="002B649D">
        <w:rPr>
          <w:b/>
          <w:bCs/>
          <w:sz w:val="28"/>
          <w:szCs w:val="28"/>
        </w:rPr>
        <w:t>Rédaction</w:t>
      </w:r>
      <w:r>
        <w:rPr>
          <w:b/>
          <w:bCs/>
          <w:sz w:val="28"/>
          <w:szCs w:val="28"/>
        </w:rPr>
        <w:t> :</w:t>
      </w:r>
      <w:r w:rsidR="00920613">
        <w:rPr>
          <w:b/>
          <w:bCs/>
          <w:sz w:val="28"/>
          <w:szCs w:val="28"/>
        </w:rPr>
        <w:t xml:space="preserve"> </w:t>
      </w:r>
      <w:r w:rsidRPr="00384449">
        <w:rPr>
          <w:rFonts w:eastAsia="Arial" w:cs="Arial"/>
          <w:sz w:val="24"/>
          <w:szCs w:val="24"/>
        </w:rPr>
        <w:t>Sébastien Moisan, directeur de dossiers</w:t>
      </w:r>
    </w:p>
    <w:p w14:paraId="04A00295" w14:textId="5D02CC52" w:rsidR="00DD78C3" w:rsidRPr="00920613" w:rsidRDefault="00384449" w:rsidP="00BB709F">
      <w:pPr>
        <w:jc w:val="both"/>
        <w:rPr>
          <w:rFonts w:eastAsia="Arial" w:cs="Arial"/>
          <w:sz w:val="24"/>
          <w:szCs w:val="24"/>
        </w:rPr>
      </w:pPr>
      <w:r w:rsidRPr="002B649D">
        <w:rPr>
          <w:b/>
          <w:bCs/>
          <w:sz w:val="28"/>
          <w:szCs w:val="28"/>
        </w:rPr>
        <w:t>Avec la collaboration de :</w:t>
      </w:r>
      <w:r w:rsidR="00920613">
        <w:rPr>
          <w:b/>
          <w:bCs/>
          <w:sz w:val="28"/>
          <w:szCs w:val="28"/>
        </w:rPr>
        <w:t xml:space="preserve"> </w:t>
      </w:r>
      <w:proofErr w:type="spellStart"/>
      <w:r w:rsidRPr="002B649D">
        <w:rPr>
          <w:rFonts w:eastAsia="Arial" w:cs="Arial"/>
          <w:sz w:val="24"/>
          <w:szCs w:val="24"/>
        </w:rPr>
        <w:t>Finautonome</w:t>
      </w:r>
      <w:proofErr w:type="spellEnd"/>
      <w:r w:rsidR="00920613">
        <w:rPr>
          <w:rFonts w:eastAsia="Arial" w:cs="Arial"/>
          <w:sz w:val="24"/>
          <w:szCs w:val="24"/>
        </w:rPr>
        <w:t xml:space="preserve">, </w:t>
      </w:r>
      <w:r w:rsidRPr="002B649D">
        <w:rPr>
          <w:rFonts w:eastAsia="Arial" w:cs="Arial"/>
          <w:sz w:val="24"/>
          <w:szCs w:val="24"/>
        </w:rPr>
        <w:t xml:space="preserve">Fédération des Mouvements </w:t>
      </w:r>
      <w:r w:rsidR="00477E64">
        <w:rPr>
          <w:rFonts w:eastAsia="Arial" w:cs="Arial"/>
          <w:sz w:val="24"/>
          <w:szCs w:val="24"/>
        </w:rPr>
        <w:t>P</w:t>
      </w:r>
      <w:r w:rsidRPr="002B649D">
        <w:rPr>
          <w:rFonts w:eastAsia="Arial" w:cs="Arial"/>
          <w:sz w:val="24"/>
          <w:szCs w:val="24"/>
        </w:rPr>
        <w:t>ersonnes d’</w:t>
      </w:r>
      <w:r w:rsidR="00477E64">
        <w:rPr>
          <w:rFonts w:eastAsia="Arial" w:cs="Arial"/>
          <w:sz w:val="24"/>
          <w:szCs w:val="24"/>
        </w:rPr>
        <w:t>A</w:t>
      </w:r>
      <w:r w:rsidRPr="002B649D">
        <w:rPr>
          <w:rFonts w:eastAsia="Arial" w:cs="Arial"/>
          <w:sz w:val="24"/>
          <w:szCs w:val="24"/>
        </w:rPr>
        <w:t>bord du Québec (FMPDAQ)</w:t>
      </w:r>
      <w:r w:rsidR="00920613">
        <w:rPr>
          <w:rFonts w:eastAsia="Arial" w:cs="Arial"/>
          <w:sz w:val="24"/>
          <w:szCs w:val="24"/>
        </w:rPr>
        <w:t xml:space="preserve">, </w:t>
      </w:r>
      <w:r w:rsidRPr="002B649D">
        <w:rPr>
          <w:rFonts w:eastAsia="Arial" w:cs="Arial"/>
          <w:sz w:val="24"/>
          <w:szCs w:val="24"/>
        </w:rPr>
        <w:t xml:space="preserve">Regroupement des organismes de personnes handicapées de la région 03 (ROP03) </w:t>
      </w:r>
    </w:p>
    <w:p w14:paraId="1CEA8DDE" w14:textId="72A50B66" w:rsidR="00920613" w:rsidRDefault="00384449" w:rsidP="00920613">
      <w:pPr>
        <w:jc w:val="both"/>
        <w:rPr>
          <w:rFonts w:eastAsia="Arial" w:cs="Arial"/>
          <w:sz w:val="24"/>
          <w:szCs w:val="24"/>
          <w:highlight w:val="yellow"/>
        </w:rPr>
      </w:pPr>
      <w:r w:rsidRPr="002B649D">
        <w:rPr>
          <w:b/>
          <w:bCs/>
          <w:sz w:val="28"/>
          <w:szCs w:val="28"/>
        </w:rPr>
        <w:t>Date de transmission :</w:t>
      </w:r>
      <w:r w:rsidR="00114B76" w:rsidRPr="000D5B48">
        <w:rPr>
          <w:rFonts w:eastAsia="Arial" w:cs="Arial"/>
          <w:sz w:val="24"/>
          <w:szCs w:val="24"/>
        </w:rPr>
        <w:t>1</w:t>
      </w:r>
      <w:r w:rsidR="000D5B48" w:rsidRPr="000D5B48">
        <w:rPr>
          <w:rFonts w:eastAsia="Arial" w:cs="Arial"/>
          <w:sz w:val="24"/>
          <w:szCs w:val="24"/>
        </w:rPr>
        <w:t>1</w:t>
      </w:r>
      <w:r w:rsidR="00114B76" w:rsidRPr="000D5B48">
        <w:rPr>
          <w:rFonts w:eastAsia="Arial" w:cs="Arial"/>
          <w:sz w:val="24"/>
          <w:szCs w:val="24"/>
        </w:rPr>
        <w:t xml:space="preserve"> février 202</w:t>
      </w:r>
      <w:r w:rsidR="000D5B48" w:rsidRPr="000D5B48">
        <w:rPr>
          <w:rFonts w:eastAsia="Arial" w:cs="Arial"/>
          <w:sz w:val="24"/>
          <w:szCs w:val="24"/>
        </w:rPr>
        <w:t>2</w:t>
      </w:r>
    </w:p>
    <w:p w14:paraId="4C053732" w14:textId="77777777" w:rsidR="00920613" w:rsidRDefault="00920613" w:rsidP="00BB709F">
      <w:pPr>
        <w:spacing w:after="0" w:line="360" w:lineRule="auto"/>
        <w:jc w:val="both"/>
        <w:rPr>
          <w:rFonts w:eastAsia="Arial" w:cs="Arial"/>
          <w:sz w:val="24"/>
          <w:szCs w:val="24"/>
          <w:highlight w:val="yellow"/>
        </w:rPr>
      </w:pPr>
    </w:p>
    <w:p w14:paraId="3F640D9E" w14:textId="318BF4A3" w:rsidR="00384449" w:rsidRPr="002F78EA" w:rsidRDefault="002F78EA" w:rsidP="002F78EA">
      <w:pPr>
        <w:rPr>
          <w:rFonts w:eastAsia="Arial" w:cs="Arial"/>
          <w:iCs/>
          <w:sz w:val="24"/>
          <w:szCs w:val="24"/>
        </w:rPr>
      </w:pPr>
      <w:r w:rsidRPr="002F78EA">
        <w:rPr>
          <w:rFonts w:eastAsia="Arial" w:cs="Arial"/>
          <w:iCs/>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35 organismes et regroupements nationaux et régionaux de personnes ayant tout type de limitations fonctionnelles.</w:t>
      </w:r>
      <w:r w:rsidR="00384449" w:rsidRPr="002F78EA">
        <w:rPr>
          <w:rFonts w:eastAsia="Arial" w:cs="Arial"/>
          <w:sz w:val="24"/>
          <w:szCs w:val="24"/>
          <w:highlight w:val="yellow"/>
        </w:rPr>
        <w:br w:type="page"/>
      </w:r>
    </w:p>
    <w:p w14:paraId="18B51616" w14:textId="12EB33EF" w:rsidR="00D66961" w:rsidRPr="00D66961" w:rsidRDefault="00D66961" w:rsidP="00D66961">
      <w:pPr>
        <w:spacing w:line="276" w:lineRule="auto"/>
        <w:jc w:val="both"/>
        <w:rPr>
          <w:rFonts w:cs="Arial"/>
          <w:b/>
          <w:bCs/>
          <w:sz w:val="24"/>
          <w:szCs w:val="24"/>
        </w:rPr>
      </w:pPr>
      <w:r w:rsidRPr="00D66961">
        <w:rPr>
          <w:rFonts w:cs="Arial"/>
          <w:b/>
          <w:bCs/>
          <w:sz w:val="24"/>
          <w:szCs w:val="24"/>
        </w:rPr>
        <w:lastRenderedPageBreak/>
        <w:t>Rendre remboursable le montant pour déficience grave et prolongée des fonctions mentales ou physiques</w:t>
      </w:r>
    </w:p>
    <w:p w14:paraId="49672BD0" w14:textId="0A964FBB" w:rsidR="00687DB0" w:rsidRDefault="00A3544B" w:rsidP="00D66961">
      <w:pPr>
        <w:spacing w:line="276" w:lineRule="auto"/>
        <w:jc w:val="both"/>
        <w:rPr>
          <w:rFonts w:cs="Arial"/>
          <w:sz w:val="24"/>
          <w:szCs w:val="24"/>
        </w:rPr>
      </w:pPr>
      <w:r>
        <w:rPr>
          <w:rFonts w:cs="Arial"/>
          <w:sz w:val="24"/>
          <w:szCs w:val="24"/>
        </w:rPr>
        <w:t>S</w:t>
      </w:r>
      <w:r w:rsidR="00041DED">
        <w:rPr>
          <w:rFonts w:cs="Arial"/>
          <w:sz w:val="24"/>
          <w:szCs w:val="24"/>
        </w:rPr>
        <w:t>elon</w:t>
      </w:r>
      <w:r>
        <w:rPr>
          <w:rFonts w:cs="Arial"/>
          <w:sz w:val="24"/>
          <w:szCs w:val="24"/>
        </w:rPr>
        <w:t xml:space="preserve"> l</w:t>
      </w:r>
      <w:r w:rsidR="003522EE">
        <w:rPr>
          <w:rFonts w:cs="Arial"/>
          <w:sz w:val="24"/>
          <w:szCs w:val="24"/>
        </w:rPr>
        <w:t>’Institut de la statistique du Québec</w:t>
      </w:r>
      <w:r w:rsidR="00B35217">
        <w:rPr>
          <w:rFonts w:cs="Arial"/>
          <w:sz w:val="24"/>
          <w:szCs w:val="24"/>
        </w:rPr>
        <w:t>,</w:t>
      </w:r>
      <w:r w:rsidR="005A7CFC">
        <w:rPr>
          <w:rFonts w:cs="Arial"/>
          <w:sz w:val="24"/>
          <w:szCs w:val="24"/>
        </w:rPr>
        <w:t xml:space="preserve"> </w:t>
      </w:r>
      <w:r w:rsidR="008A7300">
        <w:rPr>
          <w:rFonts w:cs="Arial"/>
          <w:sz w:val="24"/>
          <w:szCs w:val="24"/>
        </w:rPr>
        <w:t xml:space="preserve">en 2017, </w:t>
      </w:r>
      <w:r w:rsidR="00D71AB6">
        <w:rPr>
          <w:rFonts w:cs="Arial"/>
          <w:sz w:val="24"/>
          <w:szCs w:val="24"/>
        </w:rPr>
        <w:t xml:space="preserve">17,2 </w:t>
      </w:r>
      <w:r w:rsidR="000A5F28" w:rsidRPr="001D73ED">
        <w:rPr>
          <w:rFonts w:cs="Arial"/>
          <w:sz w:val="24"/>
          <w:szCs w:val="24"/>
        </w:rPr>
        <w:t>% des person</w:t>
      </w:r>
      <w:r w:rsidR="000A5F28">
        <w:rPr>
          <w:rFonts w:cs="Arial"/>
          <w:sz w:val="24"/>
          <w:szCs w:val="24"/>
        </w:rPr>
        <w:t xml:space="preserve">nes </w:t>
      </w:r>
      <w:r w:rsidR="00D71AB6">
        <w:rPr>
          <w:rFonts w:cs="Arial"/>
          <w:sz w:val="24"/>
          <w:szCs w:val="24"/>
        </w:rPr>
        <w:t xml:space="preserve">de 15 ans </w:t>
      </w:r>
      <w:r w:rsidR="00D25219">
        <w:rPr>
          <w:rFonts w:cs="Arial"/>
          <w:sz w:val="24"/>
          <w:szCs w:val="24"/>
        </w:rPr>
        <w:t>à 64 ans</w:t>
      </w:r>
      <w:r w:rsidR="00D71AB6">
        <w:rPr>
          <w:rFonts w:cs="Arial"/>
          <w:sz w:val="24"/>
          <w:szCs w:val="24"/>
        </w:rPr>
        <w:t xml:space="preserve"> </w:t>
      </w:r>
      <w:r w:rsidR="008A7300">
        <w:rPr>
          <w:rFonts w:cs="Arial"/>
          <w:sz w:val="24"/>
          <w:szCs w:val="24"/>
        </w:rPr>
        <w:t>présentant</w:t>
      </w:r>
      <w:r w:rsidR="000A5F28" w:rsidRPr="001D73ED">
        <w:rPr>
          <w:rFonts w:cs="Arial"/>
          <w:sz w:val="24"/>
          <w:szCs w:val="24"/>
        </w:rPr>
        <w:t xml:space="preserve"> une limitation </w:t>
      </w:r>
      <w:r w:rsidR="003C7CAB">
        <w:rPr>
          <w:rFonts w:cs="Arial"/>
          <w:sz w:val="24"/>
          <w:szCs w:val="24"/>
        </w:rPr>
        <w:t>fonctionnelle</w:t>
      </w:r>
      <w:r w:rsidR="003C7CAB">
        <w:rPr>
          <w:rStyle w:val="Appelnotedebasdep"/>
          <w:rFonts w:cs="Arial"/>
          <w:sz w:val="24"/>
          <w:szCs w:val="24"/>
        </w:rPr>
        <w:footnoteReference w:id="1"/>
      </w:r>
      <w:r w:rsidR="003C7CAB">
        <w:rPr>
          <w:rFonts w:cs="Arial"/>
          <w:sz w:val="24"/>
          <w:szCs w:val="24"/>
        </w:rPr>
        <w:t xml:space="preserve"> </w:t>
      </w:r>
      <w:r w:rsidR="00D71AB6">
        <w:rPr>
          <w:rFonts w:cs="Arial"/>
          <w:sz w:val="24"/>
          <w:szCs w:val="24"/>
        </w:rPr>
        <w:t>vivai</w:t>
      </w:r>
      <w:r w:rsidR="00C122FE">
        <w:rPr>
          <w:rFonts w:cs="Arial"/>
          <w:sz w:val="24"/>
          <w:szCs w:val="24"/>
        </w:rPr>
        <w:t>en</w:t>
      </w:r>
      <w:r w:rsidR="00D71AB6">
        <w:rPr>
          <w:rFonts w:cs="Arial"/>
          <w:sz w:val="24"/>
          <w:szCs w:val="24"/>
        </w:rPr>
        <w:t>t</w:t>
      </w:r>
      <w:r w:rsidR="000A5F28" w:rsidRPr="001D73ED">
        <w:rPr>
          <w:rFonts w:cs="Arial"/>
          <w:sz w:val="24"/>
          <w:szCs w:val="24"/>
        </w:rPr>
        <w:t xml:space="preserve"> sous le seuil de faible revenu contre </w:t>
      </w:r>
      <w:r w:rsidR="00D71AB6">
        <w:rPr>
          <w:rFonts w:cs="Arial"/>
          <w:sz w:val="24"/>
          <w:szCs w:val="24"/>
        </w:rPr>
        <w:t xml:space="preserve">7,6 </w:t>
      </w:r>
      <w:r w:rsidR="000A5F28" w:rsidRPr="001D73ED">
        <w:rPr>
          <w:rFonts w:cs="Arial"/>
          <w:sz w:val="24"/>
          <w:szCs w:val="24"/>
        </w:rPr>
        <w:t xml:space="preserve">% pour les personnes n’ayant pas de </w:t>
      </w:r>
      <w:r w:rsidR="003C7CAB" w:rsidRPr="001D73ED">
        <w:rPr>
          <w:rFonts w:cs="Arial"/>
          <w:sz w:val="24"/>
          <w:szCs w:val="24"/>
        </w:rPr>
        <w:t>limitation</w:t>
      </w:r>
      <w:r w:rsidR="003C7CAB">
        <w:rPr>
          <w:rFonts w:cs="Arial"/>
          <w:sz w:val="24"/>
          <w:szCs w:val="24"/>
        </w:rPr>
        <w:t xml:space="preserve"> fonctionnelle</w:t>
      </w:r>
      <w:r w:rsidR="003522EE">
        <w:rPr>
          <w:rStyle w:val="Appelnotedebasdep"/>
          <w:rFonts w:cs="Arial"/>
          <w:sz w:val="24"/>
          <w:szCs w:val="24"/>
        </w:rPr>
        <w:footnoteReference w:id="2"/>
      </w:r>
      <w:r w:rsidR="000A5F28" w:rsidRPr="001D73ED">
        <w:rPr>
          <w:rFonts w:cs="Arial"/>
          <w:sz w:val="24"/>
          <w:szCs w:val="24"/>
        </w:rPr>
        <w:t>.</w:t>
      </w:r>
      <w:r w:rsidR="009B5AED">
        <w:rPr>
          <w:rFonts w:cs="Arial"/>
          <w:sz w:val="24"/>
          <w:szCs w:val="24"/>
        </w:rPr>
        <w:t xml:space="preserve"> </w:t>
      </w:r>
      <w:r w:rsidR="00687DB0">
        <w:rPr>
          <w:rFonts w:cs="Arial"/>
          <w:sz w:val="24"/>
          <w:szCs w:val="24"/>
        </w:rPr>
        <w:t xml:space="preserve">En plus d’une inégalité de revenu, </w:t>
      </w:r>
      <w:r w:rsidR="00874EB1">
        <w:rPr>
          <w:rFonts w:cs="Arial"/>
          <w:sz w:val="24"/>
          <w:szCs w:val="24"/>
        </w:rPr>
        <w:t>ces personnes</w:t>
      </w:r>
      <w:r w:rsidR="00687DB0">
        <w:rPr>
          <w:rFonts w:cs="Arial"/>
          <w:sz w:val="24"/>
          <w:szCs w:val="24"/>
        </w:rPr>
        <w:t xml:space="preserve"> assument des dépenses supplémentaires pour compenser la </w:t>
      </w:r>
      <w:r w:rsidR="00687DB0" w:rsidRPr="003522EE">
        <w:rPr>
          <w:rFonts w:cs="Arial"/>
          <w:sz w:val="24"/>
          <w:szCs w:val="24"/>
        </w:rPr>
        <w:t>couverture</w:t>
      </w:r>
      <w:r w:rsidR="00F73A4E">
        <w:rPr>
          <w:rFonts w:cs="Arial"/>
          <w:sz w:val="24"/>
          <w:szCs w:val="24"/>
        </w:rPr>
        <w:t xml:space="preserve"> </w:t>
      </w:r>
      <w:r w:rsidR="00F73A4E" w:rsidRPr="00D66961">
        <w:rPr>
          <w:rFonts w:cs="Arial"/>
          <w:sz w:val="24"/>
          <w:szCs w:val="24"/>
        </w:rPr>
        <w:t>incomplète</w:t>
      </w:r>
      <w:r w:rsidR="00687DB0" w:rsidRPr="003522EE">
        <w:rPr>
          <w:rFonts w:cs="Arial"/>
          <w:sz w:val="24"/>
          <w:szCs w:val="24"/>
        </w:rPr>
        <w:t xml:space="preserve"> de leurs besoins essentiels par les programmes et services</w:t>
      </w:r>
      <w:r w:rsidR="00F93912" w:rsidRPr="003522EE">
        <w:rPr>
          <w:rFonts w:cs="Arial"/>
          <w:sz w:val="24"/>
          <w:szCs w:val="24"/>
        </w:rPr>
        <w:t>.</w:t>
      </w:r>
      <w:r>
        <w:rPr>
          <w:rFonts w:cs="Arial"/>
          <w:sz w:val="24"/>
          <w:szCs w:val="24"/>
        </w:rPr>
        <w:t xml:space="preserve"> Bref, </w:t>
      </w:r>
      <w:r w:rsidR="003C7CAB">
        <w:rPr>
          <w:rFonts w:cs="Arial"/>
          <w:sz w:val="24"/>
          <w:szCs w:val="24"/>
        </w:rPr>
        <w:t xml:space="preserve">les personnes qui vivent avec une limitation fonctionnelle </w:t>
      </w:r>
      <w:r w:rsidR="003522EE" w:rsidRPr="003522EE">
        <w:rPr>
          <w:rFonts w:cs="Arial"/>
          <w:sz w:val="24"/>
          <w:szCs w:val="24"/>
        </w:rPr>
        <w:t xml:space="preserve">gagnent moins et dépensent </w:t>
      </w:r>
      <w:r w:rsidR="003522EE" w:rsidRPr="00C753F9">
        <w:rPr>
          <w:rFonts w:cs="Arial"/>
          <w:sz w:val="24"/>
          <w:szCs w:val="24"/>
        </w:rPr>
        <w:t>plus</w:t>
      </w:r>
      <w:r w:rsidR="003522EE" w:rsidRPr="003522EE">
        <w:rPr>
          <w:rFonts w:cs="Arial"/>
          <w:sz w:val="24"/>
          <w:szCs w:val="24"/>
        </w:rPr>
        <w:t xml:space="preserve">. </w:t>
      </w:r>
    </w:p>
    <w:p w14:paraId="0D9F3EAC" w14:textId="58CA0E21" w:rsidR="00A25888" w:rsidRDefault="00687DB0" w:rsidP="00D66961">
      <w:pPr>
        <w:spacing w:line="276" w:lineRule="auto"/>
        <w:jc w:val="both"/>
        <w:rPr>
          <w:rFonts w:cs="Arial"/>
          <w:sz w:val="24"/>
          <w:szCs w:val="24"/>
        </w:rPr>
      </w:pPr>
      <w:r>
        <w:rPr>
          <w:rFonts w:cs="Arial"/>
          <w:sz w:val="24"/>
          <w:szCs w:val="24"/>
        </w:rPr>
        <w:t xml:space="preserve">Nous </w:t>
      </w:r>
      <w:r w:rsidR="0021600C">
        <w:rPr>
          <w:rFonts w:cs="Arial"/>
          <w:sz w:val="24"/>
          <w:szCs w:val="24"/>
        </w:rPr>
        <w:t xml:space="preserve">proposons </w:t>
      </w:r>
      <w:r w:rsidR="00904A47">
        <w:rPr>
          <w:rFonts w:cs="Arial"/>
          <w:sz w:val="24"/>
          <w:szCs w:val="24"/>
        </w:rPr>
        <w:t xml:space="preserve">ainsi </w:t>
      </w:r>
      <w:r w:rsidR="0021600C">
        <w:rPr>
          <w:rFonts w:cs="Arial"/>
          <w:sz w:val="24"/>
          <w:szCs w:val="24"/>
        </w:rPr>
        <w:t>d’ajuster</w:t>
      </w:r>
      <w:r>
        <w:rPr>
          <w:rFonts w:cs="Arial"/>
          <w:sz w:val="24"/>
          <w:szCs w:val="24"/>
        </w:rPr>
        <w:t xml:space="preserve"> </w:t>
      </w:r>
      <w:r w:rsidR="009E6D28">
        <w:rPr>
          <w:rFonts w:cs="Arial"/>
          <w:sz w:val="24"/>
          <w:szCs w:val="24"/>
        </w:rPr>
        <w:t>l</w:t>
      </w:r>
      <w:r w:rsidR="00CC09A3">
        <w:rPr>
          <w:rFonts w:cs="Arial"/>
          <w:sz w:val="24"/>
          <w:szCs w:val="24"/>
        </w:rPr>
        <w:t xml:space="preserve">’objectif </w:t>
      </w:r>
      <w:r w:rsidR="00E54B46">
        <w:rPr>
          <w:rFonts w:cs="Arial"/>
          <w:sz w:val="24"/>
          <w:szCs w:val="24"/>
        </w:rPr>
        <w:t xml:space="preserve">du </w:t>
      </w:r>
      <w:r w:rsidR="00A3544B">
        <w:rPr>
          <w:rFonts w:cs="Arial"/>
          <w:sz w:val="24"/>
          <w:szCs w:val="24"/>
        </w:rPr>
        <w:t>m</w:t>
      </w:r>
      <w:r w:rsidR="00A3544B" w:rsidRPr="00A3544B">
        <w:rPr>
          <w:rFonts w:cs="Arial"/>
          <w:sz w:val="24"/>
          <w:szCs w:val="24"/>
        </w:rPr>
        <w:t>ontant pour déficience grave et prolongée des fonctions mentales ou physiques</w:t>
      </w:r>
      <w:r w:rsidR="00A3544B">
        <w:rPr>
          <w:rFonts w:cs="Arial"/>
          <w:sz w:val="24"/>
          <w:szCs w:val="24"/>
        </w:rPr>
        <w:t xml:space="preserve"> </w:t>
      </w:r>
      <w:r w:rsidR="00A25888">
        <w:rPr>
          <w:rFonts w:cs="Arial"/>
          <w:sz w:val="24"/>
          <w:szCs w:val="24"/>
        </w:rPr>
        <w:t xml:space="preserve">: </w:t>
      </w:r>
      <w:r w:rsidR="00E7412E">
        <w:rPr>
          <w:rFonts w:cs="Arial"/>
          <w:sz w:val="24"/>
          <w:szCs w:val="24"/>
        </w:rPr>
        <w:t xml:space="preserve">« </w:t>
      </w:r>
      <w:r w:rsidR="00A25888" w:rsidRPr="00A25888">
        <w:rPr>
          <w:rFonts w:cs="Arial"/>
          <w:sz w:val="24"/>
          <w:szCs w:val="24"/>
        </w:rPr>
        <w:t>Reconnaître que les contribuables atteints d’une déficience grave et prolongée des fonctions mentales ou physiques ont une capacité réduite de payer des impôts en raison des coûts additionnels qu’ils ont à supporter</w:t>
      </w:r>
      <w:r w:rsidR="00A25888">
        <w:rPr>
          <w:rFonts w:cs="Arial"/>
          <w:sz w:val="24"/>
          <w:szCs w:val="24"/>
        </w:rPr>
        <w:t>.</w:t>
      </w:r>
      <w:r w:rsidR="00E7412E">
        <w:rPr>
          <w:rFonts w:cs="Arial"/>
          <w:sz w:val="24"/>
          <w:szCs w:val="24"/>
        </w:rPr>
        <w:t xml:space="preserve"> »</w:t>
      </w:r>
      <w:r w:rsidR="002508E8" w:rsidRPr="002508E8">
        <w:rPr>
          <w:rStyle w:val="Appelnotedebasdep"/>
          <w:rFonts w:cs="Arial"/>
          <w:sz w:val="24"/>
          <w:szCs w:val="24"/>
        </w:rPr>
        <w:t xml:space="preserve"> </w:t>
      </w:r>
      <w:r w:rsidR="002508E8">
        <w:rPr>
          <w:rStyle w:val="Appelnotedebasdep"/>
          <w:rFonts w:cs="Arial"/>
          <w:sz w:val="24"/>
          <w:szCs w:val="24"/>
        </w:rPr>
        <w:footnoteReference w:id="3"/>
      </w:r>
      <w:r w:rsidR="00E7412E">
        <w:rPr>
          <w:rFonts w:cs="Arial"/>
          <w:sz w:val="24"/>
          <w:szCs w:val="24"/>
        </w:rPr>
        <w:t xml:space="preserve"> </w:t>
      </w:r>
      <w:r w:rsidR="00A3544B" w:rsidRPr="00CC09A3">
        <w:rPr>
          <w:rFonts w:cs="Arial"/>
          <w:sz w:val="24"/>
          <w:szCs w:val="24"/>
        </w:rPr>
        <w:t>Bien que soit reconnu</w:t>
      </w:r>
      <w:r w:rsidR="009003C6" w:rsidRPr="00CC09A3">
        <w:rPr>
          <w:rFonts w:cs="Arial"/>
          <w:sz w:val="24"/>
          <w:szCs w:val="24"/>
        </w:rPr>
        <w:t>e</w:t>
      </w:r>
      <w:r w:rsidR="00A3544B" w:rsidRPr="00CC09A3">
        <w:rPr>
          <w:rFonts w:cs="Arial"/>
          <w:sz w:val="24"/>
          <w:szCs w:val="24"/>
        </w:rPr>
        <w:t xml:space="preserve"> l</w:t>
      </w:r>
      <w:r w:rsidR="00F73A4E" w:rsidRPr="00CC09A3">
        <w:rPr>
          <w:rFonts w:cs="Arial"/>
          <w:sz w:val="24"/>
          <w:szCs w:val="24"/>
        </w:rPr>
        <w:t>’obligation de l’État de compenser l</w:t>
      </w:r>
      <w:r w:rsidR="00A3544B" w:rsidRPr="00CC09A3">
        <w:rPr>
          <w:rFonts w:cs="Arial"/>
          <w:sz w:val="24"/>
          <w:szCs w:val="24"/>
        </w:rPr>
        <w:t>es surcoûts liés aux limitations</w:t>
      </w:r>
      <w:r w:rsidR="00F73A4E" w:rsidRPr="00CC09A3">
        <w:rPr>
          <w:rFonts w:cs="Arial"/>
          <w:sz w:val="24"/>
          <w:szCs w:val="24"/>
        </w:rPr>
        <w:t xml:space="preserve"> selon la politique </w:t>
      </w:r>
      <w:r w:rsidR="00F73A4E" w:rsidRPr="00CC09A3">
        <w:rPr>
          <w:rFonts w:cs="Arial"/>
          <w:i/>
          <w:iCs/>
          <w:sz w:val="24"/>
          <w:szCs w:val="24"/>
        </w:rPr>
        <w:t>À part entière</w:t>
      </w:r>
      <w:r w:rsidR="00A3544B" w:rsidRPr="00CC09A3">
        <w:rPr>
          <w:rFonts w:cs="Arial"/>
          <w:sz w:val="24"/>
          <w:szCs w:val="24"/>
        </w:rPr>
        <w:t>,</w:t>
      </w:r>
      <w:r w:rsidR="006F5C1F" w:rsidRPr="00CC09A3">
        <w:rPr>
          <w:rFonts w:cs="Arial"/>
          <w:sz w:val="24"/>
          <w:szCs w:val="24"/>
        </w:rPr>
        <w:t xml:space="preserve"> </w:t>
      </w:r>
      <w:r w:rsidR="00CC09A3" w:rsidRPr="00CC09A3">
        <w:rPr>
          <w:rFonts w:cs="Arial"/>
          <w:sz w:val="24"/>
          <w:szCs w:val="24"/>
        </w:rPr>
        <w:t>l’objectif</w:t>
      </w:r>
      <w:r w:rsidR="00470009" w:rsidRPr="00CC09A3">
        <w:rPr>
          <w:rFonts w:cs="Arial"/>
          <w:sz w:val="24"/>
          <w:szCs w:val="24"/>
        </w:rPr>
        <w:t xml:space="preserve"> </w:t>
      </w:r>
      <w:r w:rsidR="00524277">
        <w:rPr>
          <w:rFonts w:cs="Arial"/>
          <w:sz w:val="24"/>
          <w:szCs w:val="24"/>
        </w:rPr>
        <w:t xml:space="preserve">du montant </w:t>
      </w:r>
      <w:r w:rsidR="00904A47">
        <w:rPr>
          <w:rFonts w:cs="Arial"/>
          <w:sz w:val="24"/>
          <w:szCs w:val="24"/>
        </w:rPr>
        <w:t>d</w:t>
      </w:r>
      <w:r w:rsidR="000A1DAF">
        <w:rPr>
          <w:rFonts w:cs="Arial"/>
          <w:sz w:val="24"/>
          <w:szCs w:val="24"/>
        </w:rPr>
        <w:t xml:space="preserve">oit être </w:t>
      </w:r>
      <w:r w:rsidR="00524277">
        <w:rPr>
          <w:rFonts w:cs="Arial"/>
          <w:sz w:val="24"/>
          <w:szCs w:val="24"/>
        </w:rPr>
        <w:t>de compenser</w:t>
      </w:r>
      <w:r w:rsidR="00904A47">
        <w:rPr>
          <w:rFonts w:cs="Arial"/>
          <w:sz w:val="24"/>
          <w:szCs w:val="24"/>
        </w:rPr>
        <w:t xml:space="preserve"> les surcoûts d</w:t>
      </w:r>
      <w:r w:rsidR="00470009" w:rsidRPr="00CC09A3">
        <w:rPr>
          <w:rFonts w:cs="Arial"/>
          <w:sz w:val="24"/>
          <w:szCs w:val="24"/>
        </w:rPr>
        <w:t>es contribuables atteints d’une déficience grave et prolongée</w:t>
      </w:r>
      <w:r w:rsidR="000A1DAF">
        <w:rPr>
          <w:rFonts w:cs="Arial"/>
          <w:sz w:val="24"/>
          <w:szCs w:val="24"/>
        </w:rPr>
        <w:t xml:space="preserve"> couverts en tout ou partie.</w:t>
      </w:r>
    </w:p>
    <w:p w14:paraId="43BA49FB" w14:textId="77777777" w:rsidR="003A725E" w:rsidRDefault="000054C1" w:rsidP="003A725E">
      <w:pPr>
        <w:spacing w:line="276" w:lineRule="auto"/>
        <w:jc w:val="both"/>
        <w:rPr>
          <w:rFonts w:cs="Arial"/>
          <w:sz w:val="24"/>
          <w:szCs w:val="24"/>
        </w:rPr>
      </w:pPr>
      <w:r>
        <w:rPr>
          <w:rFonts w:cs="Arial"/>
          <w:sz w:val="24"/>
          <w:szCs w:val="24"/>
        </w:rPr>
        <w:t xml:space="preserve">En 2017, </w:t>
      </w:r>
      <w:r w:rsidR="0018135D">
        <w:rPr>
          <w:rFonts w:cs="Arial"/>
          <w:sz w:val="24"/>
          <w:szCs w:val="24"/>
        </w:rPr>
        <w:t>le</w:t>
      </w:r>
      <w:r>
        <w:rPr>
          <w:rFonts w:cs="Arial"/>
          <w:sz w:val="24"/>
          <w:szCs w:val="24"/>
        </w:rPr>
        <w:t xml:space="preserve"> </w:t>
      </w:r>
      <w:r w:rsidRPr="00FC270D">
        <w:rPr>
          <w:rFonts w:cs="Arial"/>
          <w:sz w:val="24"/>
          <w:szCs w:val="24"/>
        </w:rPr>
        <w:t>montant pour</w:t>
      </w:r>
      <w:r w:rsidRPr="00A27817">
        <w:rPr>
          <w:rFonts w:cs="Arial"/>
          <w:sz w:val="24"/>
          <w:szCs w:val="24"/>
        </w:rPr>
        <w:t xml:space="preserve"> déficience grave et prolongée des fonctions mentales ou physiques</w:t>
      </w:r>
      <w:r>
        <w:rPr>
          <w:rFonts w:cs="Arial"/>
          <w:sz w:val="24"/>
          <w:szCs w:val="24"/>
        </w:rPr>
        <w:t xml:space="preserve"> </w:t>
      </w:r>
      <w:r w:rsidR="0018135D">
        <w:rPr>
          <w:rFonts w:cs="Arial"/>
          <w:sz w:val="24"/>
          <w:szCs w:val="24"/>
        </w:rPr>
        <w:t xml:space="preserve">a été nul pour </w:t>
      </w:r>
      <w:r>
        <w:rPr>
          <w:rFonts w:cs="Arial"/>
          <w:sz w:val="24"/>
          <w:szCs w:val="24"/>
        </w:rPr>
        <w:t xml:space="preserve">près </w:t>
      </w:r>
      <w:r w:rsidR="0055747B">
        <w:rPr>
          <w:rFonts w:cs="Arial"/>
          <w:sz w:val="24"/>
          <w:szCs w:val="24"/>
        </w:rPr>
        <w:t xml:space="preserve">des deux tiers des personnes </w:t>
      </w:r>
      <w:r>
        <w:rPr>
          <w:rFonts w:cs="Arial"/>
          <w:sz w:val="24"/>
          <w:szCs w:val="24"/>
        </w:rPr>
        <w:t>qui ont fait la demande</w:t>
      </w:r>
      <w:r w:rsidR="0055747B">
        <w:rPr>
          <w:rFonts w:cs="Arial"/>
          <w:sz w:val="24"/>
          <w:szCs w:val="24"/>
        </w:rPr>
        <w:t>, soit 75</w:t>
      </w:r>
      <w:r w:rsidR="002F050D">
        <w:rPr>
          <w:rFonts w:cs="Arial"/>
          <w:sz w:val="24"/>
          <w:szCs w:val="24"/>
        </w:rPr>
        <w:t> </w:t>
      </w:r>
      <w:r w:rsidR="0055747B">
        <w:rPr>
          <w:rFonts w:cs="Arial"/>
          <w:sz w:val="24"/>
          <w:szCs w:val="24"/>
        </w:rPr>
        <w:t>688</w:t>
      </w:r>
      <w:r w:rsidR="002F050D">
        <w:rPr>
          <w:rFonts w:cs="Arial"/>
          <w:sz w:val="24"/>
          <w:szCs w:val="24"/>
        </w:rPr>
        <w:t xml:space="preserve"> </w:t>
      </w:r>
      <w:r w:rsidR="00A25BF1">
        <w:rPr>
          <w:rFonts w:cs="Arial"/>
          <w:sz w:val="24"/>
          <w:szCs w:val="24"/>
        </w:rPr>
        <w:t xml:space="preserve">personnes </w:t>
      </w:r>
      <w:r w:rsidR="0055747B">
        <w:rPr>
          <w:rFonts w:cs="Arial"/>
          <w:sz w:val="24"/>
          <w:szCs w:val="24"/>
        </w:rPr>
        <w:t>sur 120</w:t>
      </w:r>
      <w:r w:rsidR="002F050D">
        <w:rPr>
          <w:rFonts w:cs="Arial"/>
          <w:sz w:val="24"/>
          <w:szCs w:val="24"/>
        </w:rPr>
        <w:t> </w:t>
      </w:r>
      <w:r w:rsidR="0055747B">
        <w:rPr>
          <w:rFonts w:cs="Arial"/>
          <w:sz w:val="24"/>
          <w:szCs w:val="24"/>
        </w:rPr>
        <w:t>023</w:t>
      </w:r>
      <w:r w:rsidR="0055747B">
        <w:rPr>
          <w:rStyle w:val="Appelnotedebasdep"/>
          <w:rFonts w:cs="Arial"/>
          <w:sz w:val="24"/>
          <w:szCs w:val="24"/>
        </w:rPr>
        <w:footnoteReference w:id="4"/>
      </w:r>
      <w:r>
        <w:rPr>
          <w:rFonts w:cs="Arial"/>
          <w:sz w:val="24"/>
          <w:szCs w:val="24"/>
        </w:rPr>
        <w:t xml:space="preserve">. </w:t>
      </w:r>
      <w:r w:rsidR="003A725E">
        <w:rPr>
          <w:rFonts w:cs="Arial"/>
          <w:sz w:val="24"/>
          <w:szCs w:val="24"/>
        </w:rPr>
        <w:t>Un niveau insatisfaisant de demande d’accès à ce montant a été enregistré en 2017</w:t>
      </w:r>
      <w:r w:rsidR="003A725E">
        <w:rPr>
          <w:rStyle w:val="Appelnotedebasdep"/>
          <w:rFonts w:cs="Arial"/>
          <w:sz w:val="24"/>
          <w:szCs w:val="24"/>
        </w:rPr>
        <w:footnoteReference w:id="5"/>
      </w:r>
      <w:r w:rsidR="003A725E">
        <w:rPr>
          <w:rFonts w:cs="Arial"/>
          <w:sz w:val="24"/>
          <w:szCs w:val="24"/>
        </w:rPr>
        <w:t xml:space="preserve">. En effet, plus des deux tiers des </w:t>
      </w:r>
      <w:r w:rsidR="003A725E" w:rsidRPr="00BA2891">
        <w:rPr>
          <w:rFonts w:cs="Arial"/>
          <w:sz w:val="24"/>
          <w:szCs w:val="24"/>
        </w:rPr>
        <w:t>personnes de 15 ans et plus</w:t>
      </w:r>
      <w:r w:rsidR="003A725E">
        <w:rPr>
          <w:rFonts w:cs="Arial"/>
          <w:sz w:val="24"/>
          <w:szCs w:val="24"/>
        </w:rPr>
        <w:t xml:space="preserve"> vivant</w:t>
      </w:r>
      <w:r w:rsidR="003A725E" w:rsidRPr="00BA2891">
        <w:rPr>
          <w:rFonts w:cs="Arial"/>
          <w:sz w:val="24"/>
          <w:szCs w:val="24"/>
        </w:rPr>
        <w:t xml:space="preserve"> avec une </w:t>
      </w:r>
      <w:r w:rsidR="003A725E">
        <w:rPr>
          <w:rFonts w:cs="Arial"/>
          <w:sz w:val="24"/>
          <w:szCs w:val="24"/>
        </w:rPr>
        <w:t>limitation</w:t>
      </w:r>
      <w:r w:rsidR="003A725E" w:rsidRPr="00BA2891">
        <w:rPr>
          <w:rFonts w:cs="Arial"/>
          <w:sz w:val="24"/>
          <w:szCs w:val="24"/>
        </w:rPr>
        <w:t xml:space="preserve"> </w:t>
      </w:r>
      <w:r w:rsidR="003A725E">
        <w:rPr>
          <w:rFonts w:cs="Arial"/>
          <w:sz w:val="24"/>
          <w:szCs w:val="24"/>
        </w:rPr>
        <w:t xml:space="preserve">fonctionnelle </w:t>
      </w:r>
      <w:r w:rsidR="003A725E" w:rsidRPr="00BA2891">
        <w:rPr>
          <w:rFonts w:cs="Arial"/>
          <w:sz w:val="24"/>
          <w:szCs w:val="24"/>
        </w:rPr>
        <w:t>grave ou très grave</w:t>
      </w:r>
      <w:r w:rsidR="003A725E">
        <w:rPr>
          <w:rFonts w:cs="Arial"/>
          <w:sz w:val="24"/>
          <w:szCs w:val="24"/>
        </w:rPr>
        <w:t xml:space="preserve"> n’ont pas présenté de demande d’accès, ce qui s’élève à 306 167 personnes sur 426 190. Somme toute, environ 9 personnes sur 10 n’ont pas obtenu le montant en 2017.</w:t>
      </w:r>
    </w:p>
    <w:tbl>
      <w:tblPr>
        <w:tblStyle w:val="Grilledutableau"/>
        <w:tblW w:w="0" w:type="auto"/>
        <w:tblLook w:val="04A0" w:firstRow="1" w:lastRow="0" w:firstColumn="1" w:lastColumn="0" w:noHBand="0" w:noVBand="1"/>
      </w:tblPr>
      <w:tblGrid>
        <w:gridCol w:w="8630"/>
      </w:tblGrid>
      <w:tr w:rsidR="006F4478" w14:paraId="7BCDFB1F" w14:textId="77777777" w:rsidTr="002B649D">
        <w:trPr>
          <w:trHeight w:val="979"/>
        </w:trPr>
        <w:tc>
          <w:tcPr>
            <w:tcW w:w="8630" w:type="dxa"/>
            <w:tcBorders>
              <w:top w:val="nil"/>
              <w:left w:val="nil"/>
              <w:bottom w:val="nil"/>
              <w:right w:val="nil"/>
            </w:tcBorders>
            <w:shd w:val="clear" w:color="auto" w:fill="EDEDED" w:themeFill="accent3" w:themeFillTint="33"/>
          </w:tcPr>
          <w:p w14:paraId="5B11B238" w14:textId="725580A0" w:rsidR="00052FFF" w:rsidRPr="002B649D" w:rsidRDefault="006F4478" w:rsidP="00D66961">
            <w:pPr>
              <w:spacing w:line="276" w:lineRule="auto"/>
              <w:jc w:val="both"/>
              <w:rPr>
                <w:rFonts w:cs="Arial"/>
                <w:b/>
                <w:bCs/>
                <w:sz w:val="24"/>
                <w:szCs w:val="24"/>
              </w:rPr>
            </w:pPr>
            <w:r w:rsidRPr="002B649D">
              <w:rPr>
                <w:rFonts w:cs="Arial"/>
                <w:b/>
                <w:bCs/>
                <w:sz w:val="24"/>
                <w:szCs w:val="24"/>
              </w:rPr>
              <w:t>Recommandation 1</w:t>
            </w:r>
          </w:p>
          <w:p w14:paraId="0AD72C5F" w14:textId="5A3F379F" w:rsidR="006F4478" w:rsidRDefault="00A25888" w:rsidP="00D66961">
            <w:pPr>
              <w:spacing w:line="276" w:lineRule="auto"/>
              <w:jc w:val="both"/>
              <w:rPr>
                <w:rFonts w:cs="Arial"/>
                <w:sz w:val="24"/>
                <w:szCs w:val="24"/>
              </w:rPr>
            </w:pPr>
            <w:r w:rsidRPr="00FC270D">
              <w:rPr>
                <w:rFonts w:cs="Arial"/>
                <w:sz w:val="24"/>
                <w:szCs w:val="24"/>
              </w:rPr>
              <w:t xml:space="preserve">Changer </w:t>
            </w:r>
            <w:r w:rsidR="00653601">
              <w:rPr>
                <w:rFonts w:cs="Arial"/>
                <w:sz w:val="24"/>
                <w:szCs w:val="24"/>
              </w:rPr>
              <w:t xml:space="preserve">l’objectif </w:t>
            </w:r>
            <w:r w:rsidR="00A35F35">
              <w:rPr>
                <w:rFonts w:cs="Arial"/>
                <w:sz w:val="24"/>
                <w:szCs w:val="24"/>
              </w:rPr>
              <w:t>et</w:t>
            </w:r>
            <w:r w:rsidR="00FC270D" w:rsidRPr="00FC270D">
              <w:rPr>
                <w:rFonts w:cs="Arial"/>
                <w:sz w:val="24"/>
                <w:szCs w:val="24"/>
              </w:rPr>
              <w:t xml:space="preserve"> rendre remboursable le </w:t>
            </w:r>
            <w:r w:rsidR="006F4478" w:rsidRPr="00FC270D">
              <w:rPr>
                <w:rFonts w:cs="Arial"/>
                <w:sz w:val="24"/>
                <w:szCs w:val="24"/>
              </w:rPr>
              <w:t>montant pour</w:t>
            </w:r>
            <w:r w:rsidR="006F4478" w:rsidRPr="00A27817">
              <w:rPr>
                <w:rFonts w:cs="Arial"/>
                <w:sz w:val="24"/>
                <w:szCs w:val="24"/>
              </w:rPr>
              <w:t xml:space="preserve"> déficience grave et prolongée des fonctions mentales ou physiques dès l’année fiscale 202</w:t>
            </w:r>
            <w:r w:rsidR="00FB7758">
              <w:rPr>
                <w:rFonts w:cs="Arial"/>
                <w:sz w:val="24"/>
                <w:szCs w:val="24"/>
              </w:rPr>
              <w:t>2</w:t>
            </w:r>
            <w:r w:rsidR="0021600C">
              <w:rPr>
                <w:rFonts w:cs="Arial"/>
                <w:sz w:val="24"/>
                <w:szCs w:val="24"/>
              </w:rPr>
              <w:t>.</w:t>
            </w:r>
          </w:p>
        </w:tc>
      </w:tr>
    </w:tbl>
    <w:p w14:paraId="5844138B" w14:textId="77777777" w:rsidR="00940C69" w:rsidRDefault="00940C69" w:rsidP="00D66961">
      <w:pPr>
        <w:spacing w:line="276" w:lineRule="auto"/>
        <w:jc w:val="both"/>
        <w:rPr>
          <w:rFonts w:cs="Arial"/>
          <w:b/>
          <w:bCs/>
          <w:sz w:val="24"/>
          <w:szCs w:val="24"/>
        </w:rPr>
      </w:pPr>
      <w:bookmarkStart w:id="4" w:name="_Toc63440745"/>
    </w:p>
    <w:p w14:paraId="56F2A06E" w14:textId="5B61F6C0" w:rsidR="006754BF" w:rsidRPr="003D7A51" w:rsidRDefault="003D7A51" w:rsidP="00D66961">
      <w:pPr>
        <w:spacing w:line="276" w:lineRule="auto"/>
        <w:jc w:val="both"/>
        <w:rPr>
          <w:rFonts w:cs="Arial"/>
          <w:b/>
          <w:bCs/>
          <w:sz w:val="24"/>
          <w:szCs w:val="24"/>
        </w:rPr>
      </w:pPr>
      <w:r w:rsidRPr="003D7A51">
        <w:rPr>
          <w:rFonts w:cs="Arial"/>
          <w:b/>
          <w:bCs/>
          <w:sz w:val="24"/>
          <w:szCs w:val="24"/>
        </w:rPr>
        <w:t>Rejoindre les personnes concernées</w:t>
      </w:r>
      <w:r w:rsidR="0046691F">
        <w:rPr>
          <w:rFonts w:cs="Arial"/>
          <w:b/>
          <w:bCs/>
          <w:sz w:val="24"/>
          <w:szCs w:val="24"/>
        </w:rPr>
        <w:t>, c’est payant !</w:t>
      </w:r>
    </w:p>
    <w:p w14:paraId="73BCEEF4" w14:textId="52BB37F1" w:rsidR="00201B4F" w:rsidRDefault="00192ACB" w:rsidP="00D66961">
      <w:pPr>
        <w:spacing w:line="276" w:lineRule="auto"/>
        <w:jc w:val="both"/>
        <w:rPr>
          <w:rFonts w:cs="Arial"/>
          <w:sz w:val="24"/>
          <w:szCs w:val="24"/>
        </w:rPr>
      </w:pPr>
      <w:r w:rsidRPr="00C31516">
        <w:rPr>
          <w:rFonts w:cs="Arial"/>
          <w:sz w:val="24"/>
          <w:szCs w:val="24"/>
        </w:rPr>
        <w:t>La COPHAN pense</w:t>
      </w:r>
      <w:r w:rsidR="00FB7758" w:rsidRPr="00C31516">
        <w:rPr>
          <w:rFonts w:cs="Arial"/>
          <w:sz w:val="24"/>
          <w:szCs w:val="24"/>
        </w:rPr>
        <w:t xml:space="preserve"> qu</w:t>
      </w:r>
      <w:r w:rsidR="001D4082" w:rsidRPr="00C31516">
        <w:rPr>
          <w:rFonts w:cs="Arial"/>
          <w:sz w:val="24"/>
          <w:szCs w:val="24"/>
        </w:rPr>
        <w:t>e si le</w:t>
      </w:r>
      <w:r w:rsidR="00FB7758" w:rsidRPr="00C31516">
        <w:rPr>
          <w:rFonts w:cs="Arial"/>
          <w:sz w:val="24"/>
          <w:szCs w:val="24"/>
        </w:rPr>
        <w:t xml:space="preserve"> </w:t>
      </w:r>
      <w:r w:rsidR="00813A77" w:rsidRPr="00C31516">
        <w:rPr>
          <w:rFonts w:cs="Arial"/>
          <w:sz w:val="24"/>
          <w:szCs w:val="24"/>
        </w:rPr>
        <w:t xml:space="preserve">montant pour déficience grave et prolongée </w:t>
      </w:r>
      <w:r w:rsidR="00801A49" w:rsidRPr="00C31516">
        <w:rPr>
          <w:rFonts w:cs="Arial"/>
          <w:sz w:val="24"/>
          <w:szCs w:val="24"/>
        </w:rPr>
        <w:t>était</w:t>
      </w:r>
      <w:r w:rsidR="001D4082" w:rsidRPr="00C31516">
        <w:rPr>
          <w:rFonts w:cs="Arial"/>
          <w:sz w:val="24"/>
          <w:szCs w:val="24"/>
        </w:rPr>
        <w:t xml:space="preserve"> remboursable, </w:t>
      </w:r>
      <w:r w:rsidR="0035364E">
        <w:rPr>
          <w:rFonts w:cs="Arial"/>
          <w:sz w:val="24"/>
          <w:szCs w:val="24"/>
        </w:rPr>
        <w:t xml:space="preserve">une campagne d’information ciblée permettrait à </w:t>
      </w:r>
      <w:r w:rsidR="000221E6" w:rsidRPr="00C31516">
        <w:rPr>
          <w:rFonts w:cs="Arial"/>
          <w:sz w:val="24"/>
          <w:szCs w:val="24"/>
        </w:rPr>
        <w:t>près de 400 000</w:t>
      </w:r>
      <w:r w:rsidR="001D4082" w:rsidRPr="00C31516">
        <w:rPr>
          <w:rFonts w:cs="Arial"/>
          <w:sz w:val="24"/>
          <w:szCs w:val="24"/>
        </w:rPr>
        <w:t xml:space="preserve"> personnes </w:t>
      </w:r>
      <w:r w:rsidR="0035364E">
        <w:rPr>
          <w:rFonts w:cs="Arial"/>
          <w:sz w:val="24"/>
          <w:szCs w:val="24"/>
        </w:rPr>
        <w:t>de le demander et de l’obtenir</w:t>
      </w:r>
      <w:r w:rsidR="001D4082" w:rsidRPr="00C31516">
        <w:rPr>
          <w:rFonts w:cs="Arial"/>
          <w:sz w:val="24"/>
          <w:szCs w:val="24"/>
        </w:rPr>
        <w:t xml:space="preserve">. </w:t>
      </w:r>
      <w:r w:rsidR="0035364E">
        <w:rPr>
          <w:rFonts w:cs="Arial"/>
          <w:sz w:val="24"/>
          <w:szCs w:val="24"/>
        </w:rPr>
        <w:t>De plus</w:t>
      </w:r>
      <w:r w:rsidR="001D4082" w:rsidRPr="00C31516">
        <w:rPr>
          <w:rFonts w:cs="Arial"/>
          <w:sz w:val="24"/>
          <w:szCs w:val="24"/>
        </w:rPr>
        <w:t>,</w:t>
      </w:r>
      <w:r w:rsidR="00AF4304" w:rsidRPr="00C31516">
        <w:rPr>
          <w:rFonts w:cs="Arial"/>
          <w:sz w:val="24"/>
          <w:szCs w:val="24"/>
        </w:rPr>
        <w:t xml:space="preserve"> cela faciliterait l’obtention du</w:t>
      </w:r>
      <w:r w:rsidR="001D4082" w:rsidRPr="00C31516">
        <w:rPr>
          <w:rFonts w:cs="Arial"/>
          <w:sz w:val="24"/>
          <w:szCs w:val="24"/>
        </w:rPr>
        <w:t xml:space="preserve"> </w:t>
      </w:r>
      <w:r w:rsidR="001D4082" w:rsidRPr="00C31516">
        <w:rPr>
          <w:rFonts w:cs="Arial"/>
          <w:sz w:val="24"/>
          <w:szCs w:val="24"/>
        </w:rPr>
        <w:lastRenderedPageBreak/>
        <w:t>crédit</w:t>
      </w:r>
      <w:r w:rsidRPr="00C31516">
        <w:rPr>
          <w:rFonts w:cs="Arial"/>
          <w:sz w:val="24"/>
          <w:szCs w:val="24"/>
        </w:rPr>
        <w:t xml:space="preserve"> d’impôt pour personnes handicapées (CIPH)</w:t>
      </w:r>
      <w:r w:rsidR="00AF4304" w:rsidRPr="00C31516">
        <w:rPr>
          <w:rFonts w:cs="Arial"/>
          <w:sz w:val="24"/>
          <w:szCs w:val="24"/>
        </w:rPr>
        <w:t xml:space="preserve"> du gouvernement fédéral. L’obtention de ce crédit d’impôt ouvrirait des droits au</w:t>
      </w:r>
      <w:r w:rsidRPr="00C31516">
        <w:rPr>
          <w:rFonts w:cs="Arial"/>
          <w:sz w:val="24"/>
          <w:szCs w:val="24"/>
        </w:rPr>
        <w:t xml:space="preserve"> régime enregistré d’épargne-invalidité (REEI)</w:t>
      </w:r>
      <w:r w:rsidR="006E2C69" w:rsidRPr="00C31516">
        <w:rPr>
          <w:rFonts w:cs="Arial"/>
          <w:sz w:val="24"/>
          <w:szCs w:val="24"/>
        </w:rPr>
        <w:t xml:space="preserve"> qui permet aux personnes ne payant pas d’impôts d’obtenir du soutien financier</w:t>
      </w:r>
      <w:r w:rsidR="003D5D30">
        <w:rPr>
          <w:rFonts w:cs="Arial"/>
          <w:sz w:val="24"/>
          <w:szCs w:val="24"/>
        </w:rPr>
        <w:t xml:space="preserve"> et </w:t>
      </w:r>
      <w:r w:rsidR="00E53106">
        <w:rPr>
          <w:rFonts w:cs="Arial"/>
          <w:sz w:val="24"/>
          <w:szCs w:val="24"/>
        </w:rPr>
        <w:t xml:space="preserve">de </w:t>
      </w:r>
      <w:r w:rsidR="003D5D30">
        <w:rPr>
          <w:rFonts w:cs="Arial"/>
          <w:sz w:val="24"/>
          <w:szCs w:val="24"/>
        </w:rPr>
        <w:t xml:space="preserve">soutenir </w:t>
      </w:r>
      <w:r w:rsidR="003D5D30" w:rsidRPr="00696B76">
        <w:rPr>
          <w:rFonts w:cs="Arial"/>
          <w:sz w:val="24"/>
          <w:szCs w:val="24"/>
        </w:rPr>
        <w:t xml:space="preserve">notre économie </w:t>
      </w:r>
      <w:r w:rsidR="0030641D" w:rsidRPr="00696B76">
        <w:rPr>
          <w:rFonts w:cs="Arial"/>
          <w:sz w:val="24"/>
          <w:szCs w:val="24"/>
        </w:rPr>
        <w:t>provinciale</w:t>
      </w:r>
      <w:r w:rsidRPr="00696B76">
        <w:rPr>
          <w:rFonts w:cs="Arial"/>
          <w:sz w:val="24"/>
          <w:szCs w:val="24"/>
        </w:rPr>
        <w:t xml:space="preserve">. </w:t>
      </w:r>
    </w:p>
    <w:p w14:paraId="796903EB" w14:textId="72DE1A53" w:rsidR="00192ACB" w:rsidRDefault="004D1B39" w:rsidP="00D66961">
      <w:pPr>
        <w:spacing w:line="276" w:lineRule="auto"/>
        <w:jc w:val="both"/>
        <w:rPr>
          <w:rFonts w:cs="Arial"/>
          <w:sz w:val="24"/>
          <w:szCs w:val="24"/>
        </w:rPr>
      </w:pPr>
      <w:r>
        <w:rPr>
          <w:rFonts w:cs="Arial"/>
          <w:sz w:val="24"/>
          <w:szCs w:val="24"/>
        </w:rPr>
        <w:t>P</w:t>
      </w:r>
      <w:r w:rsidR="00D96F7A" w:rsidRPr="00696B76">
        <w:rPr>
          <w:rFonts w:cs="Arial"/>
          <w:sz w:val="24"/>
          <w:szCs w:val="24"/>
        </w:rPr>
        <w:t xml:space="preserve">armi toutes les provinces canadiennes, </w:t>
      </w:r>
      <w:r w:rsidR="00C04D9F">
        <w:rPr>
          <w:rFonts w:cs="Arial"/>
          <w:sz w:val="24"/>
          <w:szCs w:val="24"/>
        </w:rPr>
        <w:t xml:space="preserve">le Québec </w:t>
      </w:r>
      <w:r w:rsidR="00D96F7A" w:rsidRPr="00696B76">
        <w:rPr>
          <w:rFonts w:cs="Arial"/>
          <w:sz w:val="24"/>
          <w:szCs w:val="24"/>
        </w:rPr>
        <w:t>enregistre le plus faible taux d’accès au CIPH et au REEI</w:t>
      </w:r>
      <w:r w:rsidR="00D96F7A" w:rsidRPr="00696B76">
        <w:rPr>
          <w:rStyle w:val="Appelnotedebasdep"/>
          <w:rFonts w:cs="Arial"/>
          <w:sz w:val="24"/>
          <w:szCs w:val="24"/>
        </w:rPr>
        <w:footnoteReference w:id="6"/>
      </w:r>
      <w:r w:rsidR="00DE3905" w:rsidRPr="00696B76">
        <w:rPr>
          <w:rFonts w:cs="Arial"/>
          <w:sz w:val="24"/>
          <w:szCs w:val="24"/>
        </w:rPr>
        <w:t>.</w:t>
      </w:r>
      <w:r w:rsidR="00201B4F">
        <w:rPr>
          <w:rFonts w:cs="Arial"/>
          <w:sz w:val="24"/>
          <w:szCs w:val="24"/>
        </w:rPr>
        <w:t xml:space="preserve"> </w:t>
      </w:r>
      <w:r w:rsidR="000B57A6">
        <w:rPr>
          <w:rFonts w:cs="Arial"/>
          <w:sz w:val="24"/>
          <w:szCs w:val="24"/>
        </w:rPr>
        <w:t xml:space="preserve">Il </w:t>
      </w:r>
      <w:r w:rsidR="00DE3905" w:rsidRPr="00696B76">
        <w:rPr>
          <w:rFonts w:cs="Arial"/>
          <w:sz w:val="24"/>
          <w:szCs w:val="24"/>
        </w:rPr>
        <w:t>se prive ainsi de revenus permettant à sa population une meilleure qualité de vie et une participation plus grande à l’économie de notre province</w:t>
      </w:r>
      <w:r w:rsidR="00D96F7A" w:rsidRPr="00696B76">
        <w:rPr>
          <w:rFonts w:cs="Arial"/>
          <w:sz w:val="24"/>
          <w:szCs w:val="24"/>
        </w:rPr>
        <w:t>.</w:t>
      </w:r>
    </w:p>
    <w:tbl>
      <w:tblPr>
        <w:tblStyle w:val="Grilledutableau"/>
        <w:tblW w:w="0" w:type="auto"/>
        <w:tblLook w:val="04A0" w:firstRow="1" w:lastRow="0" w:firstColumn="1" w:lastColumn="0" w:noHBand="0" w:noVBand="1"/>
      </w:tblPr>
      <w:tblGrid>
        <w:gridCol w:w="8630"/>
      </w:tblGrid>
      <w:tr w:rsidR="003560E4" w14:paraId="3BEE2C41" w14:textId="77777777" w:rsidTr="002B649D">
        <w:tc>
          <w:tcPr>
            <w:tcW w:w="8630" w:type="dxa"/>
            <w:tcBorders>
              <w:top w:val="nil"/>
              <w:left w:val="nil"/>
              <w:bottom w:val="nil"/>
              <w:right w:val="nil"/>
            </w:tcBorders>
            <w:shd w:val="clear" w:color="auto" w:fill="EDEDED" w:themeFill="accent3" w:themeFillTint="33"/>
          </w:tcPr>
          <w:p w14:paraId="21B155A3" w14:textId="77777777" w:rsidR="003560E4" w:rsidRPr="002B649D" w:rsidRDefault="003560E4" w:rsidP="00D66961">
            <w:pPr>
              <w:spacing w:line="276" w:lineRule="auto"/>
              <w:jc w:val="both"/>
              <w:rPr>
                <w:rFonts w:cs="Arial"/>
                <w:b/>
                <w:bCs/>
                <w:sz w:val="24"/>
                <w:szCs w:val="24"/>
              </w:rPr>
            </w:pPr>
            <w:r w:rsidRPr="002B649D">
              <w:rPr>
                <w:rFonts w:cs="Arial"/>
                <w:b/>
                <w:bCs/>
                <w:sz w:val="24"/>
                <w:szCs w:val="24"/>
              </w:rPr>
              <w:t>Recommandation 2</w:t>
            </w:r>
          </w:p>
          <w:p w14:paraId="0DBD8D9B" w14:textId="615D1C88" w:rsidR="003560E4" w:rsidRDefault="003560E4" w:rsidP="00D66961">
            <w:pPr>
              <w:spacing w:line="276" w:lineRule="auto"/>
              <w:jc w:val="both"/>
              <w:rPr>
                <w:rFonts w:cs="Arial"/>
                <w:sz w:val="24"/>
                <w:szCs w:val="24"/>
              </w:rPr>
            </w:pPr>
            <w:r>
              <w:rPr>
                <w:rFonts w:cs="Arial"/>
                <w:sz w:val="24"/>
                <w:szCs w:val="24"/>
              </w:rPr>
              <w:t xml:space="preserve">Nous </w:t>
            </w:r>
            <w:r w:rsidR="00201B4F">
              <w:rPr>
                <w:rFonts w:cs="Arial"/>
                <w:sz w:val="24"/>
                <w:szCs w:val="24"/>
              </w:rPr>
              <w:t>suggérons</w:t>
            </w:r>
            <w:r>
              <w:rPr>
                <w:rFonts w:cs="Arial"/>
                <w:sz w:val="24"/>
                <w:szCs w:val="24"/>
              </w:rPr>
              <w:t xml:space="preserve"> </w:t>
            </w:r>
            <w:r w:rsidR="00167B50">
              <w:rPr>
                <w:rFonts w:cs="Arial"/>
                <w:sz w:val="24"/>
                <w:szCs w:val="24"/>
              </w:rPr>
              <w:t xml:space="preserve">que le ministère des Finances </w:t>
            </w:r>
            <w:r w:rsidR="00201B4F">
              <w:rPr>
                <w:rFonts w:cs="Arial"/>
                <w:sz w:val="24"/>
                <w:szCs w:val="24"/>
              </w:rPr>
              <w:t>affecte</w:t>
            </w:r>
            <w:r w:rsidRPr="005A6D24">
              <w:rPr>
                <w:rFonts w:cs="Arial"/>
                <w:sz w:val="24"/>
                <w:szCs w:val="24"/>
              </w:rPr>
              <w:t xml:space="preserve"> un budget</w:t>
            </w:r>
            <w:r w:rsidR="00805DE2">
              <w:rPr>
                <w:rFonts w:cs="Arial"/>
                <w:sz w:val="24"/>
                <w:szCs w:val="24"/>
              </w:rPr>
              <w:t xml:space="preserve"> </w:t>
            </w:r>
            <w:r w:rsidR="00167B50">
              <w:rPr>
                <w:rFonts w:cs="Arial"/>
                <w:sz w:val="24"/>
                <w:szCs w:val="24"/>
              </w:rPr>
              <w:t xml:space="preserve">pour </w:t>
            </w:r>
            <w:r w:rsidR="00805DE2">
              <w:rPr>
                <w:rFonts w:cs="Arial"/>
                <w:sz w:val="24"/>
                <w:szCs w:val="24"/>
              </w:rPr>
              <w:t xml:space="preserve">la promotion </w:t>
            </w:r>
            <w:r w:rsidR="00201B4F">
              <w:rPr>
                <w:rFonts w:cs="Arial"/>
                <w:sz w:val="24"/>
                <w:szCs w:val="24"/>
              </w:rPr>
              <w:t>du montant devenu remboursable</w:t>
            </w:r>
            <w:r w:rsidR="00805DE2">
              <w:rPr>
                <w:rFonts w:cs="Arial"/>
                <w:sz w:val="24"/>
                <w:szCs w:val="24"/>
              </w:rPr>
              <w:t>, en passant par les relayeurs principaux auprès des personnes handicapées</w:t>
            </w:r>
            <w:r>
              <w:rPr>
                <w:rFonts w:cs="Arial"/>
                <w:sz w:val="24"/>
                <w:szCs w:val="24"/>
              </w:rPr>
              <w:t>,</w:t>
            </w:r>
            <w:r w:rsidR="00167B50">
              <w:rPr>
                <w:rFonts w:cs="Arial"/>
                <w:sz w:val="24"/>
                <w:szCs w:val="24"/>
              </w:rPr>
              <w:t xml:space="preserve"> notamment les réseaux de la santé et des services sociaux et de l’éducation</w:t>
            </w:r>
            <w:r w:rsidR="00201B4F">
              <w:rPr>
                <w:rFonts w:cs="Arial"/>
                <w:sz w:val="24"/>
                <w:szCs w:val="24"/>
              </w:rPr>
              <w:t xml:space="preserve"> ainsi que le milieu communautaire</w:t>
            </w:r>
            <w:r w:rsidR="00167B50">
              <w:rPr>
                <w:rFonts w:cs="Arial"/>
                <w:sz w:val="24"/>
                <w:szCs w:val="24"/>
              </w:rPr>
              <w:t xml:space="preserve">. </w:t>
            </w:r>
          </w:p>
        </w:tc>
      </w:tr>
      <w:bookmarkEnd w:id="4"/>
    </w:tbl>
    <w:p w14:paraId="4F3C24AC" w14:textId="11A3772C" w:rsidR="008C5C5F" w:rsidRDefault="008C5C5F" w:rsidP="00D66961">
      <w:pPr>
        <w:spacing w:line="276" w:lineRule="auto"/>
        <w:jc w:val="both"/>
        <w:rPr>
          <w:rFonts w:cs="Arial"/>
          <w:sz w:val="24"/>
          <w:szCs w:val="24"/>
        </w:rPr>
      </w:pPr>
    </w:p>
    <w:p w14:paraId="471F91B3" w14:textId="313F91E5" w:rsidR="008C5C5F" w:rsidRPr="008C5C5F" w:rsidRDefault="008C5C5F" w:rsidP="00D66961">
      <w:pPr>
        <w:spacing w:line="276" w:lineRule="auto"/>
        <w:jc w:val="both"/>
        <w:rPr>
          <w:rFonts w:cs="Arial"/>
          <w:b/>
          <w:bCs/>
          <w:sz w:val="24"/>
          <w:szCs w:val="24"/>
        </w:rPr>
      </w:pPr>
      <w:r w:rsidRPr="008C5C5F">
        <w:rPr>
          <w:rFonts w:cs="Arial"/>
          <w:b/>
          <w:bCs/>
          <w:sz w:val="24"/>
          <w:szCs w:val="24"/>
        </w:rPr>
        <w:t>Pour un Québec porteur de droits au sein du Canada</w:t>
      </w:r>
    </w:p>
    <w:p w14:paraId="40C9639A" w14:textId="74FFAD7B" w:rsidR="00CF52F3" w:rsidRPr="004F02B0" w:rsidRDefault="008C5C5F" w:rsidP="00D66961">
      <w:pPr>
        <w:spacing w:line="276" w:lineRule="auto"/>
        <w:jc w:val="both"/>
        <w:rPr>
          <w:rFonts w:cs="Arial"/>
          <w:sz w:val="24"/>
          <w:szCs w:val="24"/>
        </w:rPr>
      </w:pPr>
      <w:r w:rsidRPr="002D64C5">
        <w:rPr>
          <w:rFonts w:cs="Arial"/>
          <w:sz w:val="24"/>
          <w:szCs w:val="24"/>
        </w:rPr>
        <w:t>N</w:t>
      </w:r>
      <w:r w:rsidR="00192ACB" w:rsidRPr="002D64C5">
        <w:rPr>
          <w:rFonts w:cs="Arial"/>
          <w:sz w:val="24"/>
          <w:szCs w:val="24"/>
        </w:rPr>
        <w:t xml:space="preserve">ous </w:t>
      </w:r>
      <w:r w:rsidR="001D4082" w:rsidRPr="002D64C5">
        <w:rPr>
          <w:rFonts w:cs="Arial"/>
          <w:sz w:val="24"/>
          <w:szCs w:val="24"/>
        </w:rPr>
        <w:t>proposons</w:t>
      </w:r>
      <w:r w:rsidR="000C11D2" w:rsidRPr="002D64C5">
        <w:rPr>
          <w:rFonts w:cs="Arial"/>
          <w:sz w:val="24"/>
          <w:szCs w:val="24"/>
        </w:rPr>
        <w:t xml:space="preserve"> au Québec </w:t>
      </w:r>
      <w:r w:rsidR="002D64C5" w:rsidRPr="002D64C5">
        <w:rPr>
          <w:rFonts w:cs="Arial"/>
          <w:sz w:val="24"/>
          <w:szCs w:val="24"/>
        </w:rPr>
        <w:t>d’agir auprès</w:t>
      </w:r>
      <w:r w:rsidR="000C11D2" w:rsidRPr="002D64C5">
        <w:rPr>
          <w:rFonts w:cs="Arial"/>
          <w:sz w:val="24"/>
          <w:szCs w:val="24"/>
        </w:rPr>
        <w:t xml:space="preserve"> du gouvernement fédéral pour</w:t>
      </w:r>
      <w:r w:rsidR="000C11D2">
        <w:rPr>
          <w:rFonts w:cs="Arial"/>
          <w:sz w:val="24"/>
          <w:szCs w:val="24"/>
        </w:rPr>
        <w:t xml:space="preserve"> </w:t>
      </w:r>
      <w:r>
        <w:rPr>
          <w:rFonts w:cs="Arial"/>
          <w:sz w:val="24"/>
          <w:szCs w:val="24"/>
        </w:rPr>
        <w:t>changer l’objectif</w:t>
      </w:r>
      <w:r w:rsidR="00192ACB">
        <w:rPr>
          <w:rFonts w:cs="Arial"/>
          <w:sz w:val="24"/>
          <w:szCs w:val="24"/>
        </w:rPr>
        <w:t xml:space="preserve"> du CIPH : « </w:t>
      </w:r>
      <w:r w:rsidR="00192ACB" w:rsidRPr="00192ACB">
        <w:rPr>
          <w:rFonts w:cs="Arial"/>
          <w:sz w:val="24"/>
          <w:szCs w:val="24"/>
        </w:rPr>
        <w:t xml:space="preserve">Le crédit d'impôt pour personnes handicapées (CIPH) est un crédit d'impôt non remboursable qui aide les personnes handicapées et leurs aidants à réduire </w:t>
      </w:r>
      <w:r w:rsidR="00192ACB" w:rsidRPr="004D1B39">
        <w:rPr>
          <w:rFonts w:cs="Arial"/>
          <w:sz w:val="24"/>
          <w:szCs w:val="24"/>
        </w:rPr>
        <w:t>l'impôt sur le revenu qu'ils pourraient avoir à payer</w:t>
      </w:r>
      <w:r w:rsidR="001779D7" w:rsidRPr="004D1B39">
        <w:rPr>
          <w:rFonts w:cs="Arial"/>
          <w:sz w:val="24"/>
          <w:szCs w:val="24"/>
        </w:rPr>
        <w:t xml:space="preserve">. </w:t>
      </w:r>
      <w:r w:rsidR="00211E34" w:rsidRPr="004D1B39">
        <w:rPr>
          <w:rFonts w:cs="Arial"/>
          <w:sz w:val="24"/>
          <w:szCs w:val="24"/>
        </w:rPr>
        <w:t>»</w:t>
      </w:r>
      <w:r w:rsidR="00211E34" w:rsidRPr="004D1B39">
        <w:rPr>
          <w:rStyle w:val="Appelnotedebasdep"/>
          <w:rFonts w:cs="Arial"/>
          <w:sz w:val="24"/>
          <w:szCs w:val="24"/>
        </w:rPr>
        <w:footnoteReference w:id="7"/>
      </w:r>
      <w:r w:rsidR="004D1B39" w:rsidRPr="004D1B39">
        <w:rPr>
          <w:rFonts w:cs="Arial"/>
          <w:sz w:val="24"/>
          <w:szCs w:val="24"/>
        </w:rPr>
        <w:t xml:space="preserve"> </w:t>
      </w:r>
      <w:r w:rsidR="004730D9" w:rsidRPr="004D1B39">
        <w:rPr>
          <w:rFonts w:cs="Arial"/>
          <w:sz w:val="24"/>
          <w:szCs w:val="24"/>
        </w:rPr>
        <w:t xml:space="preserve">En </w:t>
      </w:r>
      <w:r w:rsidR="000C11D2" w:rsidRPr="004D1B39">
        <w:rPr>
          <w:rFonts w:cs="Arial"/>
          <w:sz w:val="24"/>
          <w:szCs w:val="24"/>
        </w:rPr>
        <w:t xml:space="preserve">appui </w:t>
      </w:r>
      <w:r w:rsidR="004730D9" w:rsidRPr="004D1B39">
        <w:rPr>
          <w:rFonts w:cs="Arial"/>
          <w:sz w:val="24"/>
          <w:szCs w:val="24"/>
        </w:rPr>
        <w:t>d</w:t>
      </w:r>
      <w:r w:rsidR="005550F6" w:rsidRPr="004D1B39">
        <w:rPr>
          <w:rFonts w:cs="Arial"/>
          <w:sz w:val="24"/>
          <w:szCs w:val="24"/>
        </w:rPr>
        <w:t xml:space="preserve">’une </w:t>
      </w:r>
      <w:r w:rsidR="004730D9" w:rsidRPr="004D1B39">
        <w:rPr>
          <w:rFonts w:cs="Arial"/>
          <w:sz w:val="24"/>
          <w:szCs w:val="24"/>
        </w:rPr>
        <w:t xml:space="preserve">recommandation </w:t>
      </w:r>
      <w:r w:rsidR="005550F6" w:rsidRPr="004D1B39">
        <w:rPr>
          <w:rFonts w:cs="Arial"/>
          <w:sz w:val="24"/>
          <w:szCs w:val="24"/>
        </w:rPr>
        <w:t xml:space="preserve">du </w:t>
      </w:r>
      <w:r w:rsidR="004730D9" w:rsidRPr="004D1B39">
        <w:rPr>
          <w:rFonts w:cs="Arial"/>
          <w:sz w:val="24"/>
          <w:szCs w:val="24"/>
        </w:rPr>
        <w:t>Comité</w:t>
      </w:r>
      <w:r w:rsidR="004730D9" w:rsidRPr="004730D9">
        <w:rPr>
          <w:rFonts w:cs="Arial"/>
          <w:sz w:val="24"/>
          <w:szCs w:val="24"/>
        </w:rPr>
        <w:t xml:space="preserve"> sénatorial permanent des affaires</w:t>
      </w:r>
      <w:r w:rsidR="004730D9">
        <w:rPr>
          <w:rFonts w:cs="Arial"/>
          <w:sz w:val="24"/>
          <w:szCs w:val="24"/>
        </w:rPr>
        <w:t xml:space="preserve"> </w:t>
      </w:r>
      <w:r w:rsidR="004730D9" w:rsidRPr="004730D9">
        <w:rPr>
          <w:rFonts w:cs="Arial"/>
          <w:sz w:val="24"/>
          <w:szCs w:val="24"/>
        </w:rPr>
        <w:t>sociales, des sciences et de la technologie</w:t>
      </w:r>
      <w:r w:rsidR="004730D9">
        <w:rPr>
          <w:rStyle w:val="Appelnotedebasdep"/>
          <w:rFonts w:cs="Arial"/>
          <w:sz w:val="24"/>
          <w:szCs w:val="24"/>
        </w:rPr>
        <w:footnoteReference w:id="8"/>
      </w:r>
      <w:r w:rsidR="004730D9">
        <w:rPr>
          <w:rFonts w:cs="Arial"/>
          <w:sz w:val="24"/>
          <w:szCs w:val="24"/>
        </w:rPr>
        <w:t xml:space="preserve">, nous proposons </w:t>
      </w:r>
      <w:r w:rsidR="005550F6">
        <w:rPr>
          <w:rFonts w:cs="Arial"/>
          <w:sz w:val="24"/>
          <w:szCs w:val="24"/>
        </w:rPr>
        <w:t>de :</w:t>
      </w:r>
    </w:p>
    <w:tbl>
      <w:tblPr>
        <w:tblStyle w:val="Grilledutableau"/>
        <w:tblW w:w="0" w:type="auto"/>
        <w:tblLook w:val="04A0" w:firstRow="1" w:lastRow="0" w:firstColumn="1" w:lastColumn="0" w:noHBand="0" w:noVBand="1"/>
      </w:tblPr>
      <w:tblGrid>
        <w:gridCol w:w="8630"/>
      </w:tblGrid>
      <w:tr w:rsidR="006052E0" w14:paraId="1B5CF2CC" w14:textId="77777777" w:rsidTr="002B649D">
        <w:tc>
          <w:tcPr>
            <w:tcW w:w="8630" w:type="dxa"/>
            <w:tcBorders>
              <w:top w:val="nil"/>
              <w:left w:val="nil"/>
              <w:bottom w:val="nil"/>
              <w:right w:val="nil"/>
            </w:tcBorders>
            <w:shd w:val="clear" w:color="auto" w:fill="EDEDED" w:themeFill="accent3" w:themeFillTint="33"/>
          </w:tcPr>
          <w:p w14:paraId="3B653728" w14:textId="77777777" w:rsidR="006052E0" w:rsidRPr="004B6A5F" w:rsidRDefault="006052E0" w:rsidP="00D66961">
            <w:pPr>
              <w:pStyle w:val="Titre3"/>
              <w:spacing w:line="276" w:lineRule="auto"/>
              <w:jc w:val="both"/>
              <w:outlineLvl w:val="2"/>
              <w:rPr>
                <w:rFonts w:ascii="Arial" w:hAnsi="Arial" w:cs="Arial"/>
                <w:b/>
                <w:color w:val="000000" w:themeColor="text1"/>
              </w:rPr>
            </w:pPr>
            <w:r w:rsidRPr="004B6A5F">
              <w:rPr>
                <w:rFonts w:ascii="Arial" w:hAnsi="Arial" w:cs="Arial"/>
                <w:b/>
                <w:color w:val="000000" w:themeColor="text1"/>
              </w:rPr>
              <w:t>Recommandation 3</w:t>
            </w:r>
          </w:p>
          <w:p w14:paraId="3D0246A5" w14:textId="03667ABA" w:rsidR="006052E0" w:rsidRDefault="004D1B39" w:rsidP="00D66961">
            <w:pPr>
              <w:spacing w:line="276" w:lineRule="auto"/>
              <w:jc w:val="both"/>
              <w:rPr>
                <w:rFonts w:cs="Arial"/>
                <w:sz w:val="24"/>
                <w:szCs w:val="24"/>
              </w:rPr>
            </w:pPr>
            <w:r>
              <w:rPr>
                <w:rFonts w:cs="Arial"/>
                <w:sz w:val="24"/>
                <w:szCs w:val="24"/>
              </w:rPr>
              <w:t>Agir auprès du gouvernement fédéral</w:t>
            </w:r>
            <w:r w:rsidR="004730D9">
              <w:rPr>
                <w:rFonts w:cs="Arial"/>
                <w:sz w:val="24"/>
                <w:szCs w:val="24"/>
              </w:rPr>
              <w:t xml:space="preserve"> </w:t>
            </w:r>
            <w:r w:rsidR="00072D86">
              <w:rPr>
                <w:rFonts w:cs="Arial"/>
                <w:sz w:val="24"/>
                <w:szCs w:val="24"/>
              </w:rPr>
              <w:t>pour</w:t>
            </w:r>
            <w:r w:rsidR="006052E0" w:rsidRPr="001D73ED">
              <w:rPr>
                <w:rFonts w:cs="Arial"/>
                <w:sz w:val="24"/>
                <w:szCs w:val="24"/>
              </w:rPr>
              <w:t xml:space="preserve"> </w:t>
            </w:r>
            <w:r w:rsidR="00DA31C3">
              <w:rPr>
                <w:rFonts w:cs="Arial"/>
                <w:sz w:val="24"/>
                <w:szCs w:val="24"/>
              </w:rPr>
              <w:t>changer l</w:t>
            </w:r>
            <w:r>
              <w:rPr>
                <w:rFonts w:cs="Arial"/>
                <w:sz w:val="24"/>
                <w:szCs w:val="24"/>
              </w:rPr>
              <w:t>’objectif</w:t>
            </w:r>
            <w:r w:rsidR="00DA31C3">
              <w:rPr>
                <w:rFonts w:cs="Arial"/>
                <w:sz w:val="24"/>
                <w:szCs w:val="24"/>
              </w:rPr>
              <w:t xml:space="preserve"> du </w:t>
            </w:r>
            <w:r w:rsidR="005F5696">
              <w:rPr>
                <w:rFonts w:cs="Arial"/>
                <w:sz w:val="24"/>
                <w:szCs w:val="24"/>
              </w:rPr>
              <w:t>CIPH</w:t>
            </w:r>
            <w:r w:rsidR="00DA31C3">
              <w:rPr>
                <w:rFonts w:cs="Arial"/>
                <w:sz w:val="24"/>
                <w:szCs w:val="24"/>
              </w:rPr>
              <w:t xml:space="preserve"> </w:t>
            </w:r>
            <w:r w:rsidR="00072D86">
              <w:rPr>
                <w:rFonts w:cs="Arial"/>
                <w:sz w:val="24"/>
                <w:szCs w:val="24"/>
              </w:rPr>
              <w:t>et</w:t>
            </w:r>
            <w:r w:rsidR="00DA31C3">
              <w:rPr>
                <w:rFonts w:cs="Arial"/>
                <w:sz w:val="24"/>
                <w:szCs w:val="24"/>
              </w:rPr>
              <w:t xml:space="preserve"> </w:t>
            </w:r>
            <w:r w:rsidR="003601B3">
              <w:rPr>
                <w:rFonts w:cs="Arial"/>
                <w:sz w:val="24"/>
                <w:szCs w:val="24"/>
              </w:rPr>
              <w:t xml:space="preserve">de </w:t>
            </w:r>
            <w:r w:rsidR="00072D86">
              <w:rPr>
                <w:rFonts w:cs="Arial"/>
                <w:sz w:val="24"/>
                <w:szCs w:val="24"/>
              </w:rPr>
              <w:t>rendre celui-ci</w:t>
            </w:r>
            <w:r w:rsidR="00DA31C3">
              <w:rPr>
                <w:rFonts w:cs="Arial"/>
                <w:sz w:val="24"/>
                <w:szCs w:val="24"/>
              </w:rPr>
              <w:t xml:space="preserve"> remboursable</w:t>
            </w:r>
            <w:r w:rsidR="00072D86">
              <w:rPr>
                <w:rFonts w:cs="Arial"/>
                <w:sz w:val="24"/>
                <w:szCs w:val="24"/>
              </w:rPr>
              <w:t xml:space="preserve">, tout en </w:t>
            </w:r>
            <w:r w:rsidR="000A670E">
              <w:rPr>
                <w:rFonts w:cs="Arial"/>
                <w:sz w:val="24"/>
                <w:szCs w:val="24"/>
              </w:rPr>
              <w:t>s’assur</w:t>
            </w:r>
            <w:r w:rsidR="00072D86">
              <w:rPr>
                <w:rFonts w:cs="Arial"/>
                <w:sz w:val="24"/>
                <w:szCs w:val="24"/>
              </w:rPr>
              <w:t>ant</w:t>
            </w:r>
            <w:r w:rsidR="000A670E">
              <w:rPr>
                <w:rFonts w:cs="Arial"/>
                <w:sz w:val="24"/>
                <w:szCs w:val="24"/>
              </w:rPr>
              <w:t xml:space="preserve"> que </w:t>
            </w:r>
            <w:r w:rsidR="000A670E" w:rsidRPr="000A670E">
              <w:rPr>
                <w:rFonts w:cs="Arial"/>
                <w:sz w:val="24"/>
                <w:szCs w:val="24"/>
              </w:rPr>
              <w:t>les revenus provenant de ce</w:t>
            </w:r>
            <w:r w:rsidR="000A670E">
              <w:rPr>
                <w:rFonts w:cs="Arial"/>
                <w:sz w:val="24"/>
                <w:szCs w:val="24"/>
              </w:rPr>
              <w:t xml:space="preserve"> </w:t>
            </w:r>
            <w:r w:rsidR="000A670E" w:rsidRPr="000A670E">
              <w:rPr>
                <w:rFonts w:cs="Arial"/>
                <w:sz w:val="24"/>
                <w:szCs w:val="24"/>
              </w:rPr>
              <w:t xml:space="preserve">crédit soient exemptés pour les personnes handicapées </w:t>
            </w:r>
            <w:r w:rsidR="00C563B2">
              <w:rPr>
                <w:rFonts w:cs="Arial"/>
                <w:sz w:val="24"/>
                <w:szCs w:val="24"/>
              </w:rPr>
              <w:t>recevant</w:t>
            </w:r>
            <w:r w:rsidR="000A670E">
              <w:rPr>
                <w:rFonts w:cs="Arial"/>
                <w:sz w:val="24"/>
                <w:szCs w:val="24"/>
              </w:rPr>
              <w:t xml:space="preserve"> </w:t>
            </w:r>
            <w:r w:rsidR="000A670E" w:rsidRPr="000A670E">
              <w:rPr>
                <w:rFonts w:cs="Arial"/>
                <w:sz w:val="24"/>
                <w:szCs w:val="24"/>
              </w:rPr>
              <w:t>l’aide sociale</w:t>
            </w:r>
            <w:r w:rsidR="000A670E">
              <w:rPr>
                <w:rFonts w:cs="Arial"/>
                <w:sz w:val="24"/>
                <w:szCs w:val="24"/>
              </w:rPr>
              <w:t>.</w:t>
            </w:r>
          </w:p>
        </w:tc>
      </w:tr>
    </w:tbl>
    <w:p w14:paraId="43086BB6" w14:textId="1CADBB1B" w:rsidR="00D965B7" w:rsidRDefault="00D965B7">
      <w:pPr>
        <w:rPr>
          <w:rFonts w:cs="Arial"/>
          <w:b/>
          <w:bCs/>
          <w:sz w:val="24"/>
          <w:szCs w:val="24"/>
        </w:rPr>
      </w:pPr>
    </w:p>
    <w:p w14:paraId="4FEFB301" w14:textId="77777777" w:rsidR="00D965B7" w:rsidRDefault="00D965B7">
      <w:pPr>
        <w:rPr>
          <w:rFonts w:cs="Arial"/>
          <w:b/>
          <w:bCs/>
          <w:sz w:val="24"/>
          <w:szCs w:val="24"/>
        </w:rPr>
      </w:pPr>
      <w:r>
        <w:rPr>
          <w:rFonts w:cs="Arial"/>
          <w:b/>
          <w:bCs/>
          <w:sz w:val="24"/>
          <w:szCs w:val="24"/>
        </w:rPr>
        <w:br w:type="page"/>
      </w:r>
    </w:p>
    <w:p w14:paraId="2E0ECBE3" w14:textId="4D2A9A14" w:rsidR="00AD36B3" w:rsidRPr="002B649D" w:rsidRDefault="00561D90" w:rsidP="00D965B7">
      <w:pPr>
        <w:spacing w:line="276" w:lineRule="auto"/>
        <w:jc w:val="both"/>
        <w:rPr>
          <w:rFonts w:cs="Arial"/>
          <w:b/>
          <w:bCs/>
          <w:sz w:val="24"/>
          <w:szCs w:val="24"/>
        </w:rPr>
      </w:pPr>
      <w:r>
        <w:rPr>
          <w:rFonts w:cs="Arial"/>
          <w:b/>
          <w:bCs/>
          <w:sz w:val="24"/>
          <w:szCs w:val="24"/>
        </w:rPr>
        <w:lastRenderedPageBreak/>
        <w:t>H</w:t>
      </w:r>
      <w:r w:rsidR="00481730">
        <w:rPr>
          <w:rFonts w:cs="Arial"/>
          <w:b/>
          <w:bCs/>
          <w:sz w:val="24"/>
          <w:szCs w:val="24"/>
        </w:rPr>
        <w:t>andi</w:t>
      </w:r>
      <w:r w:rsidR="00AE5EE3">
        <w:rPr>
          <w:rFonts w:cs="Arial"/>
          <w:b/>
          <w:bCs/>
          <w:sz w:val="24"/>
          <w:szCs w:val="24"/>
        </w:rPr>
        <w:t>-</w:t>
      </w:r>
      <w:r w:rsidR="004D5B77">
        <w:rPr>
          <w:rFonts w:cs="Arial"/>
          <w:b/>
          <w:bCs/>
          <w:sz w:val="24"/>
          <w:szCs w:val="24"/>
        </w:rPr>
        <w:t>fiscalité</w:t>
      </w:r>
      <w:r w:rsidR="009D39BC">
        <w:rPr>
          <w:rFonts w:cs="Arial"/>
          <w:b/>
          <w:bCs/>
          <w:sz w:val="24"/>
          <w:szCs w:val="24"/>
        </w:rPr>
        <w:t xml:space="preserve"> </w:t>
      </w:r>
    </w:p>
    <w:p w14:paraId="1E3CB8BC" w14:textId="4DA4C548" w:rsidR="00210DB6" w:rsidRDefault="00E2690B" w:rsidP="00D965B7">
      <w:pPr>
        <w:spacing w:line="276" w:lineRule="auto"/>
        <w:jc w:val="both"/>
        <w:rPr>
          <w:rFonts w:cs="Arial"/>
          <w:sz w:val="24"/>
          <w:szCs w:val="24"/>
        </w:rPr>
      </w:pPr>
      <w:r>
        <w:rPr>
          <w:rFonts w:cs="Arial"/>
          <w:sz w:val="24"/>
          <w:szCs w:val="24"/>
        </w:rPr>
        <w:t>L</w:t>
      </w:r>
      <w:r w:rsidR="00037902" w:rsidRPr="001D73ED">
        <w:rPr>
          <w:rFonts w:cs="Arial"/>
          <w:sz w:val="24"/>
          <w:szCs w:val="24"/>
        </w:rPr>
        <w:t>’</w:t>
      </w:r>
      <w:proofErr w:type="spellStart"/>
      <w:r w:rsidR="00037902" w:rsidRPr="001D73ED">
        <w:rPr>
          <w:rFonts w:cs="Arial"/>
          <w:sz w:val="24"/>
          <w:szCs w:val="24"/>
        </w:rPr>
        <w:t>handi</w:t>
      </w:r>
      <w:proofErr w:type="spellEnd"/>
      <w:r w:rsidR="00AE5EE3">
        <w:rPr>
          <w:rFonts w:cs="Arial"/>
          <w:sz w:val="24"/>
          <w:szCs w:val="24"/>
        </w:rPr>
        <w:t>-</w:t>
      </w:r>
      <w:r w:rsidR="004D5B77">
        <w:rPr>
          <w:rFonts w:cs="Arial"/>
          <w:sz w:val="24"/>
          <w:szCs w:val="24"/>
        </w:rPr>
        <w:t>fiscalité, inspiré</w:t>
      </w:r>
      <w:r w:rsidR="000B57A6">
        <w:rPr>
          <w:rFonts w:cs="Arial"/>
          <w:sz w:val="24"/>
          <w:szCs w:val="24"/>
        </w:rPr>
        <w:t>e</w:t>
      </w:r>
      <w:r w:rsidR="004D5B77">
        <w:rPr>
          <w:rFonts w:cs="Arial"/>
          <w:sz w:val="24"/>
          <w:szCs w:val="24"/>
        </w:rPr>
        <w:t xml:space="preserve"> du concept d’écofiscalité</w:t>
      </w:r>
      <w:r w:rsidR="008329BF">
        <w:rPr>
          <w:rFonts w:cs="Arial"/>
          <w:sz w:val="24"/>
          <w:szCs w:val="24"/>
        </w:rPr>
        <w:t xml:space="preserve"> </w:t>
      </w:r>
      <w:r w:rsidR="008329BF" w:rsidRPr="00D965B7">
        <w:rPr>
          <w:rFonts w:cs="Arial"/>
          <w:sz w:val="24"/>
          <w:szCs w:val="24"/>
        </w:rPr>
        <w:t xml:space="preserve">tel que présenté dans le guide </w:t>
      </w:r>
      <w:hyperlink r:id="rId9" w:history="1">
        <w:r w:rsidR="00901A10" w:rsidRPr="00D965B7">
          <w:rPr>
            <w:rStyle w:val="Lienhypertexte"/>
            <w:rFonts w:cs="Arial"/>
            <w:sz w:val="24"/>
            <w:szCs w:val="24"/>
          </w:rPr>
          <w:t>Le recours à l’écofiscalité – principes d’application</w:t>
        </w:r>
      </w:hyperlink>
      <w:r w:rsidR="00901A10" w:rsidRPr="00D965B7">
        <w:rPr>
          <w:rFonts w:cs="Arial"/>
          <w:sz w:val="24"/>
          <w:szCs w:val="24"/>
        </w:rPr>
        <w:t xml:space="preserve"> </w:t>
      </w:r>
      <w:r w:rsidR="008329BF" w:rsidRPr="00D965B7">
        <w:rPr>
          <w:rFonts w:cs="Arial"/>
          <w:sz w:val="24"/>
          <w:szCs w:val="24"/>
        </w:rPr>
        <w:t>du ministère des Finances</w:t>
      </w:r>
      <w:r w:rsidR="004D5B77" w:rsidRPr="00D965B7">
        <w:rPr>
          <w:rFonts w:cs="Arial"/>
          <w:sz w:val="24"/>
          <w:szCs w:val="24"/>
        </w:rPr>
        <w:t>,</w:t>
      </w:r>
      <w:r w:rsidR="00DC6335" w:rsidRPr="00D965B7">
        <w:rPr>
          <w:rFonts w:cs="Arial"/>
          <w:sz w:val="24"/>
          <w:szCs w:val="24"/>
        </w:rPr>
        <w:t xml:space="preserve"> </w:t>
      </w:r>
      <w:r w:rsidR="00090CF1" w:rsidRPr="00D965B7">
        <w:rPr>
          <w:rFonts w:cs="Arial"/>
          <w:sz w:val="24"/>
          <w:szCs w:val="24"/>
        </w:rPr>
        <w:t>regroupe un ensemble d’instruments économiques visant à décourager les</w:t>
      </w:r>
      <w:r w:rsidR="00090CF1" w:rsidRPr="00090CF1">
        <w:rPr>
          <w:rFonts w:cs="Arial"/>
          <w:sz w:val="24"/>
          <w:szCs w:val="24"/>
        </w:rPr>
        <w:t xml:space="preserve"> activités</w:t>
      </w:r>
      <w:r w:rsidR="00090CF1">
        <w:rPr>
          <w:rFonts w:cs="Arial"/>
          <w:sz w:val="24"/>
          <w:szCs w:val="24"/>
        </w:rPr>
        <w:t xml:space="preserve"> </w:t>
      </w:r>
      <w:r w:rsidR="00090CF1" w:rsidRPr="00090CF1">
        <w:rPr>
          <w:rFonts w:cs="Arial"/>
          <w:sz w:val="24"/>
          <w:szCs w:val="24"/>
        </w:rPr>
        <w:t xml:space="preserve">nuisibles </w:t>
      </w:r>
      <w:r w:rsidR="00DC6335">
        <w:rPr>
          <w:rFonts w:cs="Arial"/>
          <w:sz w:val="24"/>
          <w:szCs w:val="24"/>
        </w:rPr>
        <w:t xml:space="preserve">aux personnes handicapées </w:t>
      </w:r>
      <w:r w:rsidR="00090CF1" w:rsidRPr="00090CF1">
        <w:rPr>
          <w:rFonts w:cs="Arial"/>
          <w:sz w:val="24"/>
          <w:szCs w:val="24"/>
        </w:rPr>
        <w:t>ou à encourager les activités qui lui sont favorables et à en stimuler</w:t>
      </w:r>
      <w:r w:rsidR="00090CF1">
        <w:rPr>
          <w:rFonts w:cs="Arial"/>
          <w:sz w:val="24"/>
          <w:szCs w:val="24"/>
        </w:rPr>
        <w:t xml:space="preserve"> </w:t>
      </w:r>
      <w:r w:rsidR="00090CF1" w:rsidRPr="00090CF1">
        <w:rPr>
          <w:rFonts w:cs="Arial"/>
          <w:sz w:val="24"/>
          <w:szCs w:val="24"/>
        </w:rPr>
        <w:t>l’innovation</w:t>
      </w:r>
      <w:r w:rsidR="00DC6335">
        <w:rPr>
          <w:rStyle w:val="Appelnotedebasdep"/>
          <w:rFonts w:cs="Arial"/>
          <w:sz w:val="24"/>
          <w:szCs w:val="24"/>
        </w:rPr>
        <w:footnoteReference w:id="9"/>
      </w:r>
      <w:r w:rsidR="00090CF1" w:rsidRPr="00090CF1">
        <w:rPr>
          <w:rFonts w:cs="Arial"/>
          <w:sz w:val="24"/>
          <w:szCs w:val="24"/>
        </w:rPr>
        <w:t>.</w:t>
      </w:r>
      <w:r w:rsidR="002F2995">
        <w:rPr>
          <w:rFonts w:cs="Arial"/>
          <w:sz w:val="24"/>
          <w:szCs w:val="24"/>
        </w:rPr>
        <w:t xml:space="preserve"> </w:t>
      </w:r>
      <w:r w:rsidR="00561D90">
        <w:rPr>
          <w:rFonts w:cs="Arial"/>
          <w:sz w:val="24"/>
          <w:szCs w:val="24"/>
        </w:rPr>
        <w:t xml:space="preserve">Le ministère des Finances </w:t>
      </w:r>
      <w:r w:rsidR="00C2233D">
        <w:rPr>
          <w:rFonts w:cs="Arial"/>
          <w:sz w:val="24"/>
          <w:szCs w:val="24"/>
        </w:rPr>
        <w:t>nous semble déjà appliquer</w:t>
      </w:r>
      <w:r w:rsidR="00291400">
        <w:rPr>
          <w:rFonts w:cs="Arial"/>
          <w:sz w:val="24"/>
          <w:szCs w:val="24"/>
        </w:rPr>
        <w:t xml:space="preserve"> </w:t>
      </w:r>
      <w:r w:rsidR="00575C5B">
        <w:rPr>
          <w:rFonts w:cs="Arial"/>
          <w:sz w:val="24"/>
          <w:szCs w:val="24"/>
        </w:rPr>
        <w:t>une attention particulière à l’</w:t>
      </w:r>
      <w:proofErr w:type="spellStart"/>
      <w:r w:rsidR="005042C6">
        <w:rPr>
          <w:rFonts w:cs="Arial"/>
          <w:sz w:val="24"/>
          <w:szCs w:val="24"/>
        </w:rPr>
        <w:t>handi</w:t>
      </w:r>
      <w:proofErr w:type="spellEnd"/>
      <w:r w:rsidR="005042C6">
        <w:rPr>
          <w:rFonts w:cs="Arial"/>
          <w:sz w:val="24"/>
          <w:szCs w:val="24"/>
        </w:rPr>
        <w:t>-fiscalité</w:t>
      </w:r>
      <w:r w:rsidR="00575C5B">
        <w:rPr>
          <w:rFonts w:cs="Arial"/>
          <w:sz w:val="24"/>
          <w:szCs w:val="24"/>
        </w:rPr>
        <w:t xml:space="preserve"> dans son </w:t>
      </w:r>
      <w:hyperlink r:id="rId10" w:history="1">
        <w:r w:rsidR="00575C5B" w:rsidRPr="008268AC">
          <w:rPr>
            <w:rStyle w:val="Lienhypertexte"/>
            <w:rFonts w:cs="Arial"/>
            <w:sz w:val="24"/>
            <w:szCs w:val="24"/>
          </w:rPr>
          <w:t>plan d’action à l’égard des personnes handicapées</w:t>
        </w:r>
        <w:r w:rsidR="00901A10" w:rsidRPr="008268AC">
          <w:rPr>
            <w:rStyle w:val="Lienhypertexte"/>
            <w:rFonts w:cs="Arial"/>
            <w:sz w:val="24"/>
            <w:szCs w:val="24"/>
          </w:rPr>
          <w:t xml:space="preserve"> 2020-2021</w:t>
        </w:r>
      </w:hyperlink>
      <w:r w:rsidR="008268AC">
        <w:rPr>
          <w:rFonts w:cs="Arial"/>
          <w:sz w:val="24"/>
          <w:szCs w:val="24"/>
        </w:rPr>
        <w:t xml:space="preserve"> </w:t>
      </w:r>
      <w:r w:rsidR="00F03CCC" w:rsidRPr="001B3331">
        <w:rPr>
          <w:rFonts w:cs="Arial"/>
          <w:sz w:val="24"/>
          <w:szCs w:val="24"/>
        </w:rPr>
        <w:t>en analysant</w:t>
      </w:r>
      <w:r w:rsidR="00901A10" w:rsidRPr="001B3331">
        <w:rPr>
          <w:rFonts w:cs="Arial"/>
          <w:sz w:val="24"/>
          <w:szCs w:val="24"/>
        </w:rPr>
        <w:t xml:space="preserve"> le supplément pour enfant handicapé </w:t>
      </w:r>
      <w:r w:rsidR="00FC1E8D" w:rsidRPr="001B3331">
        <w:rPr>
          <w:rFonts w:cs="Arial"/>
          <w:sz w:val="24"/>
          <w:szCs w:val="24"/>
        </w:rPr>
        <w:t>nécessitant des</w:t>
      </w:r>
      <w:r w:rsidR="00901A10" w:rsidRPr="001B3331">
        <w:rPr>
          <w:rFonts w:cs="Arial"/>
          <w:sz w:val="24"/>
          <w:szCs w:val="24"/>
        </w:rPr>
        <w:t xml:space="preserve"> soins exceptionnels</w:t>
      </w:r>
      <w:r w:rsidR="00B36761">
        <w:rPr>
          <w:rFonts w:cs="Arial"/>
          <w:sz w:val="24"/>
          <w:szCs w:val="24"/>
        </w:rPr>
        <w:t>, un programme à portée spécifique</w:t>
      </w:r>
      <w:r w:rsidR="00090CF1" w:rsidRPr="001B3331">
        <w:rPr>
          <w:rFonts w:cs="Arial"/>
          <w:sz w:val="24"/>
          <w:szCs w:val="24"/>
        </w:rPr>
        <w:t>.</w:t>
      </w:r>
      <w:r w:rsidR="00F03CCC" w:rsidRPr="001B3331">
        <w:rPr>
          <w:rFonts w:cs="Arial"/>
          <w:sz w:val="24"/>
          <w:szCs w:val="24"/>
        </w:rPr>
        <w:t xml:space="preserve"> </w:t>
      </w:r>
    </w:p>
    <w:p w14:paraId="68608408" w14:textId="113CA1BC" w:rsidR="005F0430" w:rsidRPr="001D73ED" w:rsidRDefault="00186351" w:rsidP="00D965B7">
      <w:pPr>
        <w:spacing w:line="276" w:lineRule="auto"/>
        <w:jc w:val="both"/>
        <w:rPr>
          <w:rFonts w:cs="Arial"/>
          <w:sz w:val="24"/>
          <w:szCs w:val="24"/>
        </w:rPr>
      </w:pPr>
      <w:r w:rsidRPr="001B3331">
        <w:rPr>
          <w:rFonts w:cs="Arial"/>
          <w:sz w:val="24"/>
          <w:szCs w:val="24"/>
        </w:rPr>
        <w:t>D’autres programmes spécifiques mériteraient une attention, comme le programme petit établissement accessible (PEA)</w:t>
      </w:r>
      <w:r w:rsidR="00210DB6">
        <w:rPr>
          <w:rFonts w:cs="Arial"/>
          <w:sz w:val="24"/>
          <w:szCs w:val="24"/>
        </w:rPr>
        <w:t>. Le ministère</w:t>
      </w:r>
      <w:r w:rsidR="004E060B">
        <w:rPr>
          <w:rFonts w:cs="Arial"/>
          <w:sz w:val="24"/>
          <w:szCs w:val="24"/>
        </w:rPr>
        <w:t xml:space="preserve"> des Finances</w:t>
      </w:r>
      <w:r w:rsidR="00210DB6">
        <w:rPr>
          <w:rFonts w:cs="Arial"/>
          <w:sz w:val="24"/>
          <w:szCs w:val="24"/>
        </w:rPr>
        <w:t xml:space="preserve"> pourrait également se pencher </w:t>
      </w:r>
      <w:r w:rsidR="00210DB6" w:rsidRPr="00210DB6">
        <w:rPr>
          <w:rFonts w:cs="Arial"/>
          <w:sz w:val="24"/>
          <w:szCs w:val="24"/>
        </w:rPr>
        <w:t xml:space="preserve">sur </w:t>
      </w:r>
      <w:r w:rsidR="00E911D0" w:rsidRPr="00210DB6">
        <w:rPr>
          <w:rFonts w:cs="Arial"/>
          <w:sz w:val="24"/>
          <w:szCs w:val="24"/>
        </w:rPr>
        <w:t xml:space="preserve">certains programmes à portée générale </w:t>
      </w:r>
      <w:r w:rsidR="00B36761" w:rsidRPr="00210DB6">
        <w:rPr>
          <w:rFonts w:cs="Arial"/>
          <w:sz w:val="24"/>
          <w:szCs w:val="24"/>
        </w:rPr>
        <w:t>ayant un volet prop</w:t>
      </w:r>
      <w:r w:rsidR="00210DB6" w:rsidRPr="00210DB6">
        <w:rPr>
          <w:rFonts w:cs="Arial"/>
          <w:sz w:val="24"/>
          <w:szCs w:val="24"/>
        </w:rPr>
        <w:t>re aux personnes handicapées</w:t>
      </w:r>
      <w:r w:rsidR="00210DB6">
        <w:rPr>
          <w:rFonts w:cs="Arial"/>
          <w:sz w:val="24"/>
          <w:szCs w:val="24"/>
        </w:rPr>
        <w:t>, comme ceux soutenant le transport collectif et la culture.</w:t>
      </w:r>
    </w:p>
    <w:tbl>
      <w:tblPr>
        <w:tblStyle w:val="Grilledutableau"/>
        <w:tblW w:w="0" w:type="auto"/>
        <w:tblLook w:val="04A0" w:firstRow="1" w:lastRow="0" w:firstColumn="1" w:lastColumn="0" w:noHBand="0" w:noVBand="1"/>
      </w:tblPr>
      <w:tblGrid>
        <w:gridCol w:w="8630"/>
      </w:tblGrid>
      <w:tr w:rsidR="008E356C" w14:paraId="0C5350A8" w14:textId="77777777" w:rsidTr="002B649D">
        <w:tc>
          <w:tcPr>
            <w:tcW w:w="8630" w:type="dxa"/>
            <w:tcBorders>
              <w:top w:val="nil"/>
              <w:left w:val="nil"/>
              <w:bottom w:val="nil"/>
              <w:right w:val="nil"/>
            </w:tcBorders>
            <w:shd w:val="clear" w:color="auto" w:fill="EDEDED" w:themeFill="accent3" w:themeFillTint="33"/>
          </w:tcPr>
          <w:p w14:paraId="0F8FC181" w14:textId="4E616AD0" w:rsidR="008E356C" w:rsidRPr="004B6A5F" w:rsidRDefault="008E356C" w:rsidP="00D965B7">
            <w:pPr>
              <w:spacing w:line="276" w:lineRule="auto"/>
              <w:jc w:val="both"/>
              <w:rPr>
                <w:rFonts w:cs="Arial"/>
                <w:sz w:val="24"/>
                <w:szCs w:val="24"/>
              </w:rPr>
            </w:pPr>
            <w:r w:rsidRPr="004B6A5F">
              <w:rPr>
                <w:rFonts w:cs="Arial"/>
                <w:b/>
                <w:bCs/>
                <w:sz w:val="24"/>
                <w:szCs w:val="24"/>
              </w:rPr>
              <w:t>Recommandation</w:t>
            </w:r>
            <w:r w:rsidR="00A67B26">
              <w:rPr>
                <w:rFonts w:cs="Arial"/>
                <w:b/>
                <w:bCs/>
                <w:sz w:val="24"/>
                <w:szCs w:val="24"/>
              </w:rPr>
              <w:t xml:space="preserve"> </w:t>
            </w:r>
          </w:p>
          <w:p w14:paraId="1F6BF99A" w14:textId="7AD166CB" w:rsidR="008E356C" w:rsidRDefault="008E356C" w:rsidP="00D965B7">
            <w:pPr>
              <w:spacing w:line="276" w:lineRule="auto"/>
              <w:jc w:val="both"/>
              <w:rPr>
                <w:rFonts w:cs="Arial"/>
                <w:sz w:val="24"/>
                <w:szCs w:val="24"/>
              </w:rPr>
            </w:pPr>
            <w:r w:rsidRPr="001D73ED">
              <w:rPr>
                <w:rFonts w:cs="Arial"/>
                <w:sz w:val="24"/>
                <w:szCs w:val="24"/>
              </w:rPr>
              <w:t xml:space="preserve">Que </w:t>
            </w:r>
            <w:r>
              <w:rPr>
                <w:rFonts w:cs="Arial"/>
                <w:sz w:val="24"/>
                <w:szCs w:val="24"/>
              </w:rPr>
              <w:t xml:space="preserve">le ministère des Finances </w:t>
            </w:r>
            <w:r w:rsidR="00717DE1">
              <w:rPr>
                <w:rFonts w:cs="Arial"/>
                <w:sz w:val="24"/>
                <w:szCs w:val="24"/>
              </w:rPr>
              <w:t>développe</w:t>
            </w:r>
            <w:r>
              <w:rPr>
                <w:rFonts w:cs="Arial"/>
                <w:sz w:val="24"/>
                <w:szCs w:val="24"/>
              </w:rPr>
              <w:t xml:space="preserve"> </w:t>
            </w:r>
            <w:r w:rsidR="00E660EE">
              <w:rPr>
                <w:rFonts w:cs="Arial"/>
                <w:sz w:val="24"/>
                <w:szCs w:val="24"/>
              </w:rPr>
              <w:t xml:space="preserve">des pratiques </w:t>
            </w:r>
            <w:r w:rsidR="00185088">
              <w:rPr>
                <w:rFonts w:cs="Arial"/>
                <w:sz w:val="24"/>
                <w:szCs w:val="24"/>
              </w:rPr>
              <w:t>d’</w:t>
            </w:r>
            <w:proofErr w:type="spellStart"/>
            <w:r w:rsidR="005042C6">
              <w:rPr>
                <w:rFonts w:cs="Arial"/>
                <w:sz w:val="24"/>
                <w:szCs w:val="24"/>
              </w:rPr>
              <w:t>handi</w:t>
            </w:r>
            <w:proofErr w:type="spellEnd"/>
            <w:r w:rsidR="005042C6">
              <w:rPr>
                <w:rFonts w:cs="Arial"/>
                <w:sz w:val="24"/>
                <w:szCs w:val="24"/>
              </w:rPr>
              <w:t>-fiscalité</w:t>
            </w:r>
            <w:r w:rsidR="002F2995">
              <w:rPr>
                <w:rFonts w:cs="Arial"/>
                <w:sz w:val="24"/>
                <w:szCs w:val="24"/>
              </w:rPr>
              <w:t xml:space="preserve"> </w:t>
            </w:r>
            <w:r w:rsidR="0085774E">
              <w:rPr>
                <w:rFonts w:cs="Arial"/>
                <w:sz w:val="24"/>
                <w:szCs w:val="24"/>
              </w:rPr>
              <w:t>à toutes les étapes d’attribution des budgets aux</w:t>
            </w:r>
            <w:r w:rsidRPr="001D73ED">
              <w:rPr>
                <w:rFonts w:cs="Arial"/>
                <w:sz w:val="24"/>
                <w:szCs w:val="24"/>
              </w:rPr>
              <w:t xml:space="preserve"> programmes, projets ou appels à projets</w:t>
            </w:r>
            <w:r w:rsidR="00717DE1">
              <w:rPr>
                <w:rFonts w:cs="Arial"/>
                <w:sz w:val="24"/>
                <w:szCs w:val="24"/>
              </w:rPr>
              <w:t>.</w:t>
            </w:r>
          </w:p>
        </w:tc>
      </w:tr>
    </w:tbl>
    <w:p w14:paraId="179030B0" w14:textId="6E3F0055" w:rsidR="006F6EFD" w:rsidRDefault="006F6EFD" w:rsidP="00BB709F">
      <w:pPr>
        <w:jc w:val="both"/>
        <w:rPr>
          <w:sz w:val="24"/>
        </w:rPr>
      </w:pPr>
    </w:p>
    <w:sectPr w:rsidR="006F6EFD" w:rsidSect="002B649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C831" w14:textId="77777777" w:rsidR="007E4B3A" w:rsidRDefault="007E4B3A" w:rsidP="00584CC3">
      <w:pPr>
        <w:spacing w:after="0" w:line="240" w:lineRule="auto"/>
      </w:pPr>
      <w:r>
        <w:separator/>
      </w:r>
    </w:p>
  </w:endnote>
  <w:endnote w:type="continuationSeparator" w:id="0">
    <w:p w14:paraId="3A357B7D" w14:textId="77777777" w:rsidR="007E4B3A" w:rsidRDefault="007E4B3A" w:rsidP="0058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BCD2" w14:textId="77777777" w:rsidR="003956DC" w:rsidRDefault="003956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026809"/>
      <w:docPartObj>
        <w:docPartGallery w:val="Page Numbers (Bottom of Page)"/>
        <w:docPartUnique/>
      </w:docPartObj>
    </w:sdtPr>
    <w:sdtEndPr/>
    <w:sdtContent>
      <w:p w14:paraId="532C7194" w14:textId="77777777" w:rsidR="00E2690B" w:rsidRDefault="00E2690B">
        <w:pPr>
          <w:pStyle w:val="Pieddepage"/>
          <w:jc w:val="right"/>
        </w:pPr>
        <w:r>
          <w:fldChar w:fldCharType="begin"/>
        </w:r>
        <w:r>
          <w:instrText>PAGE   \* MERGEFORMAT</w:instrText>
        </w:r>
        <w:r>
          <w:fldChar w:fldCharType="separate"/>
        </w:r>
        <w:r>
          <w:rPr>
            <w:lang w:val="fr-FR"/>
          </w:rPr>
          <w:t>2</w:t>
        </w:r>
        <w:r>
          <w:fldChar w:fldCharType="end"/>
        </w:r>
      </w:p>
    </w:sdtContent>
  </w:sdt>
  <w:p w14:paraId="4417C028" w14:textId="77777777" w:rsidR="00E2690B" w:rsidRDefault="00E269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2FF" w14:textId="77777777" w:rsidR="003956DC" w:rsidRDefault="003956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7B3" w14:textId="77777777" w:rsidR="007E4B3A" w:rsidRDefault="007E4B3A" w:rsidP="00584CC3">
      <w:pPr>
        <w:spacing w:after="0" w:line="240" w:lineRule="auto"/>
      </w:pPr>
      <w:r>
        <w:separator/>
      </w:r>
    </w:p>
  </w:footnote>
  <w:footnote w:type="continuationSeparator" w:id="0">
    <w:p w14:paraId="3098582D" w14:textId="77777777" w:rsidR="007E4B3A" w:rsidRDefault="007E4B3A" w:rsidP="00584CC3">
      <w:pPr>
        <w:spacing w:after="0" w:line="240" w:lineRule="auto"/>
      </w:pPr>
      <w:r>
        <w:continuationSeparator/>
      </w:r>
    </w:p>
  </w:footnote>
  <w:footnote w:id="1">
    <w:p w14:paraId="0B5AD4EE" w14:textId="4DF18E90" w:rsidR="003C7CAB" w:rsidRPr="003C7CAB" w:rsidRDefault="003C7CAB">
      <w:pPr>
        <w:pStyle w:val="Notedebasdepage"/>
      </w:pPr>
      <w:r>
        <w:rPr>
          <w:rStyle w:val="Appelnotedebasdep"/>
        </w:rPr>
        <w:footnoteRef/>
      </w:r>
      <w:r>
        <w:t xml:space="preserve"> Pour la COPHAN, une limitation fonctionnelle a le même sens qu’une incapacité.</w:t>
      </w:r>
    </w:p>
  </w:footnote>
  <w:footnote w:id="2">
    <w:p w14:paraId="52E3181D" w14:textId="5A9024AB" w:rsidR="003522EE" w:rsidRPr="00CD2BD2" w:rsidRDefault="003522EE" w:rsidP="00CD2BD2">
      <w:pPr>
        <w:pStyle w:val="Notedebasdepage"/>
        <w:rPr>
          <w:sz w:val="18"/>
          <w:szCs w:val="18"/>
          <w:lang w:val="fr-FR"/>
        </w:rPr>
      </w:pPr>
      <w:r w:rsidRPr="00CD2BD2">
        <w:rPr>
          <w:rStyle w:val="Appelnotedebasdep"/>
          <w:sz w:val="18"/>
          <w:szCs w:val="18"/>
        </w:rPr>
        <w:footnoteRef/>
      </w:r>
      <w:r w:rsidRPr="00CD2BD2">
        <w:rPr>
          <w:sz w:val="18"/>
          <w:szCs w:val="18"/>
        </w:rPr>
        <w:t xml:space="preserve"> </w:t>
      </w:r>
      <w:r w:rsidR="00CD2BD2" w:rsidRPr="00CD2BD2">
        <w:rPr>
          <w:sz w:val="18"/>
          <w:szCs w:val="18"/>
        </w:rPr>
        <w:t>INSTITUT DE LA STATISTIQUE DU QUÉBEC. Enquête canadienne sur l’incapacité, 2017</w:t>
      </w:r>
      <w:r w:rsidR="00614EE8">
        <w:rPr>
          <w:sz w:val="18"/>
          <w:szCs w:val="18"/>
        </w:rPr>
        <w:t>.</w:t>
      </w:r>
    </w:p>
  </w:footnote>
  <w:footnote w:id="3">
    <w:p w14:paraId="4A701607" w14:textId="1F438B7B" w:rsidR="002508E8" w:rsidRPr="00CD2BD2" w:rsidRDefault="002508E8" w:rsidP="002508E8">
      <w:pPr>
        <w:pStyle w:val="Notedebasdepage"/>
        <w:rPr>
          <w:sz w:val="18"/>
          <w:szCs w:val="18"/>
        </w:rPr>
      </w:pPr>
      <w:r w:rsidRPr="00CD2BD2">
        <w:rPr>
          <w:rStyle w:val="Appelnotedebasdep"/>
          <w:sz w:val="18"/>
          <w:szCs w:val="18"/>
        </w:rPr>
        <w:footnoteRef/>
      </w:r>
      <w:r>
        <w:rPr>
          <w:sz w:val="18"/>
          <w:szCs w:val="18"/>
        </w:rPr>
        <w:t xml:space="preserve">Ministère des </w:t>
      </w:r>
      <w:r w:rsidR="008C518E">
        <w:rPr>
          <w:sz w:val="18"/>
          <w:szCs w:val="18"/>
        </w:rPr>
        <w:t>F</w:t>
      </w:r>
      <w:r>
        <w:rPr>
          <w:sz w:val="18"/>
          <w:szCs w:val="18"/>
        </w:rPr>
        <w:t xml:space="preserve">inances du Québec. </w:t>
      </w:r>
      <w:hyperlink r:id="rId1" w:history="1">
        <w:r w:rsidRPr="00614EE8">
          <w:rPr>
            <w:rStyle w:val="Lienhypertexte"/>
            <w:i/>
            <w:iCs/>
            <w:sz w:val="18"/>
            <w:szCs w:val="18"/>
          </w:rPr>
          <w:t>Dépenses fiscales - Édition 2019</w:t>
        </w:r>
      </w:hyperlink>
      <w:r w:rsidRPr="00B35E5E">
        <w:t xml:space="preserve"> </w:t>
      </w:r>
    </w:p>
  </w:footnote>
  <w:footnote w:id="4">
    <w:p w14:paraId="6271D8E8" w14:textId="4338A0B7" w:rsidR="0055747B" w:rsidRPr="008F0584" w:rsidRDefault="0055747B" w:rsidP="0055747B">
      <w:pPr>
        <w:pStyle w:val="Notedebasdepage"/>
        <w:rPr>
          <w:lang w:val="fr-FR"/>
        </w:rPr>
      </w:pPr>
      <w:r w:rsidRPr="00CD2BD2">
        <w:rPr>
          <w:rStyle w:val="Appelnotedebasdep"/>
          <w:sz w:val="18"/>
          <w:szCs w:val="18"/>
        </w:rPr>
        <w:footnoteRef/>
      </w:r>
      <w:r w:rsidRPr="00CD2BD2">
        <w:rPr>
          <w:sz w:val="18"/>
          <w:szCs w:val="18"/>
        </w:rPr>
        <w:t xml:space="preserve"> INSTITUT DE LA STATISTIQUE DU QUÉBEC.</w:t>
      </w:r>
      <w:r w:rsidR="00FD0814" w:rsidRPr="00FD0814">
        <w:rPr>
          <w:sz w:val="18"/>
          <w:szCs w:val="18"/>
        </w:rPr>
        <w:t xml:space="preserve"> </w:t>
      </w:r>
      <w:r w:rsidR="00FD0814" w:rsidRPr="00CD2BD2">
        <w:rPr>
          <w:sz w:val="18"/>
          <w:szCs w:val="18"/>
        </w:rPr>
        <w:t>Enquête canadienne sur l’incapacité, 2017</w:t>
      </w:r>
      <w:r w:rsidR="00FD0814">
        <w:rPr>
          <w:sz w:val="18"/>
          <w:szCs w:val="18"/>
        </w:rPr>
        <w:t>.</w:t>
      </w:r>
    </w:p>
  </w:footnote>
  <w:footnote w:id="5">
    <w:p w14:paraId="25BC8949" w14:textId="1F10950D" w:rsidR="003A725E" w:rsidRPr="00B073E3" w:rsidRDefault="003A725E" w:rsidP="003A725E">
      <w:pPr>
        <w:pStyle w:val="Notedebasdepage"/>
        <w:rPr>
          <w:sz w:val="18"/>
          <w:szCs w:val="18"/>
        </w:rPr>
      </w:pPr>
      <w:r w:rsidRPr="00B073E3">
        <w:rPr>
          <w:rStyle w:val="Appelnotedebasdep"/>
          <w:sz w:val="18"/>
          <w:szCs w:val="18"/>
        </w:rPr>
        <w:footnoteRef/>
      </w:r>
      <w:r w:rsidRPr="00B073E3">
        <w:rPr>
          <w:sz w:val="18"/>
          <w:szCs w:val="18"/>
        </w:rPr>
        <w:t xml:space="preserve"> </w:t>
      </w:r>
      <w:r w:rsidR="00FD0814">
        <w:rPr>
          <w:sz w:val="18"/>
          <w:szCs w:val="18"/>
        </w:rPr>
        <w:t>Ibid.</w:t>
      </w:r>
      <w:r w:rsidRPr="00CD2BD2">
        <w:rPr>
          <w:sz w:val="18"/>
          <w:szCs w:val="18"/>
        </w:rPr>
        <w:t xml:space="preserve"> </w:t>
      </w:r>
    </w:p>
  </w:footnote>
  <w:footnote w:id="6">
    <w:p w14:paraId="61CB0A52" w14:textId="72D4B521" w:rsidR="00D96F7A" w:rsidRPr="004D1B39" w:rsidRDefault="00D96F7A" w:rsidP="00D96F7A">
      <w:pPr>
        <w:pStyle w:val="Notedebasdepage"/>
        <w:rPr>
          <w:sz w:val="18"/>
          <w:szCs w:val="18"/>
        </w:rPr>
      </w:pPr>
      <w:r w:rsidRPr="00B073E3">
        <w:rPr>
          <w:rStyle w:val="Appelnotedebasdep"/>
          <w:sz w:val="18"/>
          <w:szCs w:val="18"/>
        </w:rPr>
        <w:footnoteRef/>
      </w:r>
      <w:r w:rsidRPr="00B073E3">
        <w:rPr>
          <w:sz w:val="18"/>
          <w:szCs w:val="18"/>
        </w:rPr>
        <w:t xml:space="preserve"> </w:t>
      </w:r>
      <w:r w:rsidR="002508E8" w:rsidRPr="002508E8">
        <w:rPr>
          <w:sz w:val="18"/>
          <w:szCs w:val="18"/>
        </w:rPr>
        <w:t>Agence du revenu du Canada, Statistique Canada.</w:t>
      </w:r>
    </w:p>
  </w:footnote>
  <w:footnote w:id="7">
    <w:p w14:paraId="5FE7AFD7" w14:textId="1004170A" w:rsidR="00211E34" w:rsidRPr="004D1B39" w:rsidRDefault="00211E34">
      <w:pPr>
        <w:pStyle w:val="Notedebasdepage"/>
        <w:rPr>
          <w:sz w:val="18"/>
          <w:szCs w:val="18"/>
        </w:rPr>
      </w:pPr>
      <w:r w:rsidRPr="004D1B39">
        <w:rPr>
          <w:rStyle w:val="Appelnotedebasdep"/>
          <w:sz w:val="18"/>
          <w:szCs w:val="18"/>
        </w:rPr>
        <w:footnoteRef/>
      </w:r>
      <w:r w:rsidRPr="004D1B39">
        <w:rPr>
          <w:sz w:val="18"/>
          <w:szCs w:val="18"/>
        </w:rPr>
        <w:t xml:space="preserve"> </w:t>
      </w:r>
      <w:r w:rsidR="007813D5" w:rsidRPr="004D1B39">
        <w:rPr>
          <w:sz w:val="18"/>
          <w:szCs w:val="18"/>
        </w:rPr>
        <w:t xml:space="preserve">Agence du revenu du Canada (2022). </w:t>
      </w:r>
      <w:hyperlink r:id="rId2" w:history="1">
        <w:r w:rsidR="007813D5" w:rsidRPr="004D1B39">
          <w:rPr>
            <w:rStyle w:val="Lienhypertexte"/>
            <w:i/>
            <w:iCs/>
            <w:sz w:val="18"/>
            <w:szCs w:val="18"/>
          </w:rPr>
          <w:t>Crédit d’impôt pour personnes handicapées (CIPH)</w:t>
        </w:r>
      </w:hyperlink>
      <w:r w:rsidR="007813D5" w:rsidRPr="004D1B39">
        <w:rPr>
          <w:sz w:val="18"/>
          <w:szCs w:val="18"/>
        </w:rPr>
        <w:t xml:space="preserve"> </w:t>
      </w:r>
    </w:p>
  </w:footnote>
  <w:footnote w:id="8">
    <w:p w14:paraId="598627C1" w14:textId="59FFAD1D" w:rsidR="004730D9" w:rsidRPr="00D71EE5" w:rsidRDefault="004730D9" w:rsidP="00D71EE5">
      <w:pPr>
        <w:pStyle w:val="Notedebasdepage"/>
      </w:pPr>
      <w:r w:rsidRPr="004D1B39">
        <w:rPr>
          <w:rStyle w:val="Appelnotedebasdep"/>
          <w:sz w:val="18"/>
          <w:szCs w:val="18"/>
        </w:rPr>
        <w:footnoteRef/>
      </w:r>
      <w:r w:rsidRPr="004D1B39">
        <w:rPr>
          <w:sz w:val="18"/>
          <w:szCs w:val="18"/>
        </w:rPr>
        <w:t xml:space="preserve"> </w:t>
      </w:r>
      <w:r w:rsidR="00E06D93" w:rsidRPr="004D1B39">
        <w:rPr>
          <w:sz w:val="18"/>
          <w:szCs w:val="18"/>
        </w:rPr>
        <w:t xml:space="preserve">Éliminer les obstacles : </w:t>
      </w:r>
      <w:hyperlink r:id="rId3" w:history="1">
        <w:r w:rsidR="00E06D93" w:rsidRPr="00614EE8">
          <w:rPr>
            <w:rStyle w:val="Lienhypertexte"/>
            <w:sz w:val="18"/>
            <w:szCs w:val="18"/>
          </w:rPr>
          <w:t>Analyse critique du Crédit d’impôt pour personnes handicapées et du Régime enregistré d’épargne-invalidité</w:t>
        </w:r>
        <w:r w:rsidR="004D1B39" w:rsidRPr="00614EE8">
          <w:rPr>
            <w:rStyle w:val="Lienhypertexte"/>
            <w:sz w:val="18"/>
            <w:szCs w:val="18"/>
          </w:rPr>
          <w:t xml:space="preserve"> (2018)</w:t>
        </w:r>
      </w:hyperlink>
      <w:r w:rsidR="00E06D93" w:rsidRPr="004D1B39">
        <w:rPr>
          <w:sz w:val="18"/>
          <w:szCs w:val="18"/>
        </w:rPr>
        <w:t>.</w:t>
      </w:r>
      <w:r w:rsidR="00E06D93">
        <w:t xml:space="preserve"> </w:t>
      </w:r>
    </w:p>
  </w:footnote>
  <w:footnote w:id="9">
    <w:p w14:paraId="593053E1" w14:textId="7148FF26" w:rsidR="00DC6335" w:rsidRPr="00E32FA7" w:rsidRDefault="00DC633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97EE" w14:textId="77777777" w:rsidR="003956DC" w:rsidRDefault="003956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B525" w14:textId="77777777" w:rsidR="003956DC" w:rsidRDefault="003956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41A4" w14:textId="77777777" w:rsidR="003956DC" w:rsidRDefault="003956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3A2"/>
    <w:multiLevelType w:val="hybridMultilevel"/>
    <w:tmpl w:val="C8223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6C726F"/>
    <w:multiLevelType w:val="hybridMultilevel"/>
    <w:tmpl w:val="37D8B588"/>
    <w:lvl w:ilvl="0" w:tplc="0C0C000B">
      <w:start w:val="1"/>
      <w:numFmt w:val="bullet"/>
      <w:lvlText w:val=""/>
      <w:lvlJc w:val="left"/>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C05060"/>
    <w:multiLevelType w:val="hybridMultilevel"/>
    <w:tmpl w:val="70F4D9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2A52B3"/>
    <w:multiLevelType w:val="hybridMultilevel"/>
    <w:tmpl w:val="B6B4CD9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D9D408F"/>
    <w:multiLevelType w:val="hybridMultilevel"/>
    <w:tmpl w:val="F9FE3146"/>
    <w:lvl w:ilvl="0" w:tplc="0C0C000B">
      <w:start w:val="1"/>
      <w:numFmt w:val="bullet"/>
      <w:lvlText w:val=""/>
      <w:lvlJc w:val="left"/>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7CF6941"/>
    <w:multiLevelType w:val="hybridMultilevel"/>
    <w:tmpl w:val="3E2A3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8FB650E"/>
    <w:multiLevelType w:val="hybridMultilevel"/>
    <w:tmpl w:val="EA0C4ECC"/>
    <w:lvl w:ilvl="0" w:tplc="0C0C000B">
      <w:start w:val="1"/>
      <w:numFmt w:val="bullet"/>
      <w:lvlText w:val=""/>
      <w:lvlJc w:val="left"/>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B547163"/>
    <w:multiLevelType w:val="hybridMultilevel"/>
    <w:tmpl w:val="7ECE0F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173626"/>
    <w:multiLevelType w:val="hybridMultilevel"/>
    <w:tmpl w:val="FDAE81B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1010D14"/>
    <w:multiLevelType w:val="hybridMultilevel"/>
    <w:tmpl w:val="B926757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910922260">
    <w:abstractNumId w:val="0"/>
  </w:num>
  <w:num w:numId="2" w16cid:durableId="683170290">
    <w:abstractNumId w:val="2"/>
  </w:num>
  <w:num w:numId="3" w16cid:durableId="847450273">
    <w:abstractNumId w:val="7"/>
  </w:num>
  <w:num w:numId="4" w16cid:durableId="257295257">
    <w:abstractNumId w:val="5"/>
  </w:num>
  <w:num w:numId="5" w16cid:durableId="2041007715">
    <w:abstractNumId w:val="4"/>
  </w:num>
  <w:num w:numId="6" w16cid:durableId="1565293611">
    <w:abstractNumId w:val="1"/>
  </w:num>
  <w:num w:numId="7" w16cid:durableId="728922687">
    <w:abstractNumId w:val="8"/>
  </w:num>
  <w:num w:numId="8" w16cid:durableId="909075064">
    <w:abstractNumId w:val="6"/>
  </w:num>
  <w:num w:numId="9" w16cid:durableId="288777619">
    <w:abstractNumId w:val="9"/>
  </w:num>
  <w:num w:numId="10" w16cid:durableId="35738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C3"/>
    <w:rsid w:val="00002D00"/>
    <w:rsid w:val="000054C1"/>
    <w:rsid w:val="0002091F"/>
    <w:rsid w:val="000221E6"/>
    <w:rsid w:val="00025841"/>
    <w:rsid w:val="00037902"/>
    <w:rsid w:val="00037F15"/>
    <w:rsid w:val="00041DED"/>
    <w:rsid w:val="00052FFF"/>
    <w:rsid w:val="00057A01"/>
    <w:rsid w:val="00065726"/>
    <w:rsid w:val="00067CF3"/>
    <w:rsid w:val="00072D86"/>
    <w:rsid w:val="00075D4F"/>
    <w:rsid w:val="00077FBD"/>
    <w:rsid w:val="00084F45"/>
    <w:rsid w:val="00090CF1"/>
    <w:rsid w:val="000938CB"/>
    <w:rsid w:val="000944B9"/>
    <w:rsid w:val="0009475E"/>
    <w:rsid w:val="000A1DAF"/>
    <w:rsid w:val="000A3347"/>
    <w:rsid w:val="000A5F28"/>
    <w:rsid w:val="000A670E"/>
    <w:rsid w:val="000B567D"/>
    <w:rsid w:val="000B57A6"/>
    <w:rsid w:val="000B76EE"/>
    <w:rsid w:val="000C11D2"/>
    <w:rsid w:val="000D5B48"/>
    <w:rsid w:val="000E27FC"/>
    <w:rsid w:val="000E591F"/>
    <w:rsid w:val="000F7B0A"/>
    <w:rsid w:val="00101555"/>
    <w:rsid w:val="00114B76"/>
    <w:rsid w:val="00120F83"/>
    <w:rsid w:val="00136D93"/>
    <w:rsid w:val="001567A6"/>
    <w:rsid w:val="0016220F"/>
    <w:rsid w:val="001637E4"/>
    <w:rsid w:val="00167B50"/>
    <w:rsid w:val="00172E12"/>
    <w:rsid w:val="00173515"/>
    <w:rsid w:val="00173E17"/>
    <w:rsid w:val="001779D7"/>
    <w:rsid w:val="0018135D"/>
    <w:rsid w:val="00181F74"/>
    <w:rsid w:val="00185088"/>
    <w:rsid w:val="00186351"/>
    <w:rsid w:val="0019108D"/>
    <w:rsid w:val="00192ACB"/>
    <w:rsid w:val="001B3331"/>
    <w:rsid w:val="001C1FB4"/>
    <w:rsid w:val="001C3440"/>
    <w:rsid w:val="001D0D62"/>
    <w:rsid w:val="001D4082"/>
    <w:rsid w:val="001D44C2"/>
    <w:rsid w:val="001D73ED"/>
    <w:rsid w:val="001E06A4"/>
    <w:rsid w:val="001E17DD"/>
    <w:rsid w:val="001F00D2"/>
    <w:rsid w:val="001F1F1E"/>
    <w:rsid w:val="001F583B"/>
    <w:rsid w:val="001F6E21"/>
    <w:rsid w:val="001F7757"/>
    <w:rsid w:val="00200A4D"/>
    <w:rsid w:val="002017E8"/>
    <w:rsid w:val="00201B4F"/>
    <w:rsid w:val="00202280"/>
    <w:rsid w:val="00206DF2"/>
    <w:rsid w:val="002077B0"/>
    <w:rsid w:val="00210DB6"/>
    <w:rsid w:val="00211823"/>
    <w:rsid w:val="00211E34"/>
    <w:rsid w:val="0021600C"/>
    <w:rsid w:val="00220EB5"/>
    <w:rsid w:val="0022695D"/>
    <w:rsid w:val="00244D7D"/>
    <w:rsid w:val="002501DE"/>
    <w:rsid w:val="002508E8"/>
    <w:rsid w:val="00251CD6"/>
    <w:rsid w:val="00263DB6"/>
    <w:rsid w:val="00264A07"/>
    <w:rsid w:val="0026531E"/>
    <w:rsid w:val="002856E6"/>
    <w:rsid w:val="00291400"/>
    <w:rsid w:val="0029645A"/>
    <w:rsid w:val="00296511"/>
    <w:rsid w:val="002A26AE"/>
    <w:rsid w:val="002A290E"/>
    <w:rsid w:val="002B4C59"/>
    <w:rsid w:val="002B649D"/>
    <w:rsid w:val="002B668D"/>
    <w:rsid w:val="002C0127"/>
    <w:rsid w:val="002D64C5"/>
    <w:rsid w:val="002E1C38"/>
    <w:rsid w:val="002E214B"/>
    <w:rsid w:val="002E70F1"/>
    <w:rsid w:val="002F050D"/>
    <w:rsid w:val="002F2995"/>
    <w:rsid w:val="002F78EA"/>
    <w:rsid w:val="00301D68"/>
    <w:rsid w:val="003053E1"/>
    <w:rsid w:val="0030641D"/>
    <w:rsid w:val="00307A19"/>
    <w:rsid w:val="00311A12"/>
    <w:rsid w:val="0031263B"/>
    <w:rsid w:val="003216A5"/>
    <w:rsid w:val="00323ABF"/>
    <w:rsid w:val="00327517"/>
    <w:rsid w:val="003333FE"/>
    <w:rsid w:val="00341E16"/>
    <w:rsid w:val="003431B5"/>
    <w:rsid w:val="00343A23"/>
    <w:rsid w:val="00344CCC"/>
    <w:rsid w:val="003457F4"/>
    <w:rsid w:val="003462F4"/>
    <w:rsid w:val="003522EE"/>
    <w:rsid w:val="0035327D"/>
    <w:rsid w:val="0035364E"/>
    <w:rsid w:val="003560E4"/>
    <w:rsid w:val="00357C6C"/>
    <w:rsid w:val="003601B3"/>
    <w:rsid w:val="00366D53"/>
    <w:rsid w:val="00373515"/>
    <w:rsid w:val="00373B64"/>
    <w:rsid w:val="00384449"/>
    <w:rsid w:val="003956DC"/>
    <w:rsid w:val="003A725E"/>
    <w:rsid w:val="003B24E8"/>
    <w:rsid w:val="003B6FB1"/>
    <w:rsid w:val="003C31DE"/>
    <w:rsid w:val="003C7CAB"/>
    <w:rsid w:val="003D5D30"/>
    <w:rsid w:val="003D60F2"/>
    <w:rsid w:val="003D7A51"/>
    <w:rsid w:val="003E4805"/>
    <w:rsid w:val="003F1117"/>
    <w:rsid w:val="003F3807"/>
    <w:rsid w:val="003F79AF"/>
    <w:rsid w:val="0040533E"/>
    <w:rsid w:val="00406F7B"/>
    <w:rsid w:val="00415609"/>
    <w:rsid w:val="0042116D"/>
    <w:rsid w:val="00450AAF"/>
    <w:rsid w:val="00450ADB"/>
    <w:rsid w:val="004545C8"/>
    <w:rsid w:val="0046691F"/>
    <w:rsid w:val="00470009"/>
    <w:rsid w:val="004730D9"/>
    <w:rsid w:val="004779A3"/>
    <w:rsid w:val="00477E64"/>
    <w:rsid w:val="00481730"/>
    <w:rsid w:val="00492107"/>
    <w:rsid w:val="00492565"/>
    <w:rsid w:val="00494C6B"/>
    <w:rsid w:val="004A2F84"/>
    <w:rsid w:val="004A60D3"/>
    <w:rsid w:val="004A6F7F"/>
    <w:rsid w:val="004B3C59"/>
    <w:rsid w:val="004C409F"/>
    <w:rsid w:val="004C6AA3"/>
    <w:rsid w:val="004D1B39"/>
    <w:rsid w:val="004D200A"/>
    <w:rsid w:val="004D2E4E"/>
    <w:rsid w:val="004D5B77"/>
    <w:rsid w:val="004E060B"/>
    <w:rsid w:val="004E1F10"/>
    <w:rsid w:val="004F02B0"/>
    <w:rsid w:val="004F11BE"/>
    <w:rsid w:val="004F3AAB"/>
    <w:rsid w:val="004F61B3"/>
    <w:rsid w:val="005042C6"/>
    <w:rsid w:val="00504544"/>
    <w:rsid w:val="00504654"/>
    <w:rsid w:val="00504A9C"/>
    <w:rsid w:val="00507B74"/>
    <w:rsid w:val="00515FC2"/>
    <w:rsid w:val="00516AAF"/>
    <w:rsid w:val="00520E64"/>
    <w:rsid w:val="0052190E"/>
    <w:rsid w:val="00523DD1"/>
    <w:rsid w:val="00524277"/>
    <w:rsid w:val="005345F4"/>
    <w:rsid w:val="00535E36"/>
    <w:rsid w:val="00540F2A"/>
    <w:rsid w:val="00541799"/>
    <w:rsid w:val="00541E46"/>
    <w:rsid w:val="00542950"/>
    <w:rsid w:val="00542F92"/>
    <w:rsid w:val="00551462"/>
    <w:rsid w:val="00552A6D"/>
    <w:rsid w:val="005550F6"/>
    <w:rsid w:val="0055747B"/>
    <w:rsid w:val="00561D90"/>
    <w:rsid w:val="005632AD"/>
    <w:rsid w:val="005652F6"/>
    <w:rsid w:val="00565FB4"/>
    <w:rsid w:val="00575C5B"/>
    <w:rsid w:val="00584CC3"/>
    <w:rsid w:val="0058628B"/>
    <w:rsid w:val="00586609"/>
    <w:rsid w:val="005928A0"/>
    <w:rsid w:val="005A3FC3"/>
    <w:rsid w:val="005A6D24"/>
    <w:rsid w:val="005A7CFC"/>
    <w:rsid w:val="005B2C30"/>
    <w:rsid w:val="005C3063"/>
    <w:rsid w:val="005C77D2"/>
    <w:rsid w:val="005C7FDD"/>
    <w:rsid w:val="005E1B43"/>
    <w:rsid w:val="005E7E8A"/>
    <w:rsid w:val="005F0430"/>
    <w:rsid w:val="005F5696"/>
    <w:rsid w:val="006052E0"/>
    <w:rsid w:val="00614EE8"/>
    <w:rsid w:val="006222D4"/>
    <w:rsid w:val="00625349"/>
    <w:rsid w:val="00631DBB"/>
    <w:rsid w:val="00641CBF"/>
    <w:rsid w:val="00653601"/>
    <w:rsid w:val="006544DE"/>
    <w:rsid w:val="0066110B"/>
    <w:rsid w:val="00661D79"/>
    <w:rsid w:val="00663EC8"/>
    <w:rsid w:val="00664FD7"/>
    <w:rsid w:val="00667EE2"/>
    <w:rsid w:val="006708B2"/>
    <w:rsid w:val="006754BF"/>
    <w:rsid w:val="006777D2"/>
    <w:rsid w:val="00684537"/>
    <w:rsid w:val="00685709"/>
    <w:rsid w:val="00687DB0"/>
    <w:rsid w:val="006908B1"/>
    <w:rsid w:val="006916F6"/>
    <w:rsid w:val="00696B76"/>
    <w:rsid w:val="00696F64"/>
    <w:rsid w:val="006B1152"/>
    <w:rsid w:val="006B2556"/>
    <w:rsid w:val="006C33AA"/>
    <w:rsid w:val="006D0FB5"/>
    <w:rsid w:val="006D11D0"/>
    <w:rsid w:val="006D3CDC"/>
    <w:rsid w:val="006D3EC2"/>
    <w:rsid w:val="006E2C69"/>
    <w:rsid w:val="006F4478"/>
    <w:rsid w:val="006F5C1F"/>
    <w:rsid w:val="006F5CD5"/>
    <w:rsid w:val="006F6D56"/>
    <w:rsid w:val="006F6EFD"/>
    <w:rsid w:val="00700366"/>
    <w:rsid w:val="0070049D"/>
    <w:rsid w:val="007130BF"/>
    <w:rsid w:val="00717DE1"/>
    <w:rsid w:val="00726877"/>
    <w:rsid w:val="007305E4"/>
    <w:rsid w:val="00733B0E"/>
    <w:rsid w:val="00735650"/>
    <w:rsid w:val="00753B6F"/>
    <w:rsid w:val="00770482"/>
    <w:rsid w:val="00770C79"/>
    <w:rsid w:val="0077103B"/>
    <w:rsid w:val="00774C6B"/>
    <w:rsid w:val="007813D5"/>
    <w:rsid w:val="0078321F"/>
    <w:rsid w:val="0078537E"/>
    <w:rsid w:val="00785EF7"/>
    <w:rsid w:val="00787496"/>
    <w:rsid w:val="00787CFF"/>
    <w:rsid w:val="0079766B"/>
    <w:rsid w:val="007B30A2"/>
    <w:rsid w:val="007B4E40"/>
    <w:rsid w:val="007B74B7"/>
    <w:rsid w:val="007C61FC"/>
    <w:rsid w:val="007C674E"/>
    <w:rsid w:val="007D51D3"/>
    <w:rsid w:val="007E0778"/>
    <w:rsid w:val="007E33D3"/>
    <w:rsid w:val="007E4376"/>
    <w:rsid w:val="007E4B3A"/>
    <w:rsid w:val="007F60B4"/>
    <w:rsid w:val="007F7FA5"/>
    <w:rsid w:val="00801A49"/>
    <w:rsid w:val="00803B6D"/>
    <w:rsid w:val="00805DE2"/>
    <w:rsid w:val="00813A77"/>
    <w:rsid w:val="008200A6"/>
    <w:rsid w:val="008202C7"/>
    <w:rsid w:val="008268AC"/>
    <w:rsid w:val="008329BF"/>
    <w:rsid w:val="008419F3"/>
    <w:rsid w:val="00850639"/>
    <w:rsid w:val="00854F49"/>
    <w:rsid w:val="0085774E"/>
    <w:rsid w:val="0086063E"/>
    <w:rsid w:val="00863E0E"/>
    <w:rsid w:val="00870363"/>
    <w:rsid w:val="00874EB1"/>
    <w:rsid w:val="008915E6"/>
    <w:rsid w:val="008A1493"/>
    <w:rsid w:val="008A7300"/>
    <w:rsid w:val="008B05EE"/>
    <w:rsid w:val="008B293F"/>
    <w:rsid w:val="008C07B2"/>
    <w:rsid w:val="008C518E"/>
    <w:rsid w:val="008C5C5F"/>
    <w:rsid w:val="008E356C"/>
    <w:rsid w:val="008F0584"/>
    <w:rsid w:val="008F3BAA"/>
    <w:rsid w:val="008F51E9"/>
    <w:rsid w:val="009003C6"/>
    <w:rsid w:val="00901A10"/>
    <w:rsid w:val="00904A47"/>
    <w:rsid w:val="00920613"/>
    <w:rsid w:val="0092097A"/>
    <w:rsid w:val="009241DB"/>
    <w:rsid w:val="009252DB"/>
    <w:rsid w:val="009332A0"/>
    <w:rsid w:val="0093379D"/>
    <w:rsid w:val="00940C69"/>
    <w:rsid w:val="009424C4"/>
    <w:rsid w:val="00945516"/>
    <w:rsid w:val="009467F1"/>
    <w:rsid w:val="00950E40"/>
    <w:rsid w:val="009514A7"/>
    <w:rsid w:val="0095189B"/>
    <w:rsid w:val="00953670"/>
    <w:rsid w:val="009536FB"/>
    <w:rsid w:val="00955BC0"/>
    <w:rsid w:val="009615EA"/>
    <w:rsid w:val="0096296D"/>
    <w:rsid w:val="009A169A"/>
    <w:rsid w:val="009B38F8"/>
    <w:rsid w:val="009B474D"/>
    <w:rsid w:val="009B5AED"/>
    <w:rsid w:val="009C4C1F"/>
    <w:rsid w:val="009D0902"/>
    <w:rsid w:val="009D3585"/>
    <w:rsid w:val="009D39BC"/>
    <w:rsid w:val="009E6D28"/>
    <w:rsid w:val="009F07BD"/>
    <w:rsid w:val="009F7D69"/>
    <w:rsid w:val="00A100E7"/>
    <w:rsid w:val="00A23EA7"/>
    <w:rsid w:val="00A25888"/>
    <w:rsid w:val="00A25BF1"/>
    <w:rsid w:val="00A27817"/>
    <w:rsid w:val="00A327A0"/>
    <w:rsid w:val="00A34E83"/>
    <w:rsid w:val="00A3544B"/>
    <w:rsid w:val="00A35F35"/>
    <w:rsid w:val="00A40794"/>
    <w:rsid w:val="00A44E9C"/>
    <w:rsid w:val="00A61933"/>
    <w:rsid w:val="00A63F0A"/>
    <w:rsid w:val="00A649D9"/>
    <w:rsid w:val="00A64DFC"/>
    <w:rsid w:val="00A6554C"/>
    <w:rsid w:val="00A67B26"/>
    <w:rsid w:val="00A7031D"/>
    <w:rsid w:val="00A745CF"/>
    <w:rsid w:val="00A8336D"/>
    <w:rsid w:val="00A84C9E"/>
    <w:rsid w:val="00A90B20"/>
    <w:rsid w:val="00A91CA7"/>
    <w:rsid w:val="00A93BD2"/>
    <w:rsid w:val="00A97DE4"/>
    <w:rsid w:val="00AB5CE5"/>
    <w:rsid w:val="00AC0123"/>
    <w:rsid w:val="00AD36B3"/>
    <w:rsid w:val="00AD5CFE"/>
    <w:rsid w:val="00AE3B98"/>
    <w:rsid w:val="00AE5EE3"/>
    <w:rsid w:val="00AE66AB"/>
    <w:rsid w:val="00AE7C15"/>
    <w:rsid w:val="00AF4304"/>
    <w:rsid w:val="00B010B1"/>
    <w:rsid w:val="00B073E3"/>
    <w:rsid w:val="00B1113B"/>
    <w:rsid w:val="00B11FA0"/>
    <w:rsid w:val="00B20139"/>
    <w:rsid w:val="00B2103C"/>
    <w:rsid w:val="00B31DF2"/>
    <w:rsid w:val="00B35217"/>
    <w:rsid w:val="00B35E5E"/>
    <w:rsid w:val="00B36761"/>
    <w:rsid w:val="00B40B7B"/>
    <w:rsid w:val="00B41318"/>
    <w:rsid w:val="00B47C8B"/>
    <w:rsid w:val="00B719B0"/>
    <w:rsid w:val="00B81450"/>
    <w:rsid w:val="00B84A41"/>
    <w:rsid w:val="00B876D8"/>
    <w:rsid w:val="00B905EE"/>
    <w:rsid w:val="00B91432"/>
    <w:rsid w:val="00B96AA1"/>
    <w:rsid w:val="00BA2891"/>
    <w:rsid w:val="00BA3F5D"/>
    <w:rsid w:val="00BA49D4"/>
    <w:rsid w:val="00BA5797"/>
    <w:rsid w:val="00BB5ACB"/>
    <w:rsid w:val="00BB5DFE"/>
    <w:rsid w:val="00BB709F"/>
    <w:rsid w:val="00BB79EB"/>
    <w:rsid w:val="00BC069F"/>
    <w:rsid w:val="00BC336D"/>
    <w:rsid w:val="00BC6CAB"/>
    <w:rsid w:val="00BC73EC"/>
    <w:rsid w:val="00C04A2C"/>
    <w:rsid w:val="00C04D9F"/>
    <w:rsid w:val="00C07588"/>
    <w:rsid w:val="00C122FE"/>
    <w:rsid w:val="00C14C6C"/>
    <w:rsid w:val="00C1637F"/>
    <w:rsid w:val="00C2233D"/>
    <w:rsid w:val="00C27010"/>
    <w:rsid w:val="00C27874"/>
    <w:rsid w:val="00C31516"/>
    <w:rsid w:val="00C36A49"/>
    <w:rsid w:val="00C446E3"/>
    <w:rsid w:val="00C46664"/>
    <w:rsid w:val="00C47D37"/>
    <w:rsid w:val="00C50A1E"/>
    <w:rsid w:val="00C563B2"/>
    <w:rsid w:val="00C60DE3"/>
    <w:rsid w:val="00C67FF8"/>
    <w:rsid w:val="00C73CCF"/>
    <w:rsid w:val="00C7401A"/>
    <w:rsid w:val="00C74B00"/>
    <w:rsid w:val="00C753F9"/>
    <w:rsid w:val="00C8724D"/>
    <w:rsid w:val="00C93370"/>
    <w:rsid w:val="00CA20FD"/>
    <w:rsid w:val="00CA59C1"/>
    <w:rsid w:val="00CB023F"/>
    <w:rsid w:val="00CB6136"/>
    <w:rsid w:val="00CC09A3"/>
    <w:rsid w:val="00CC446B"/>
    <w:rsid w:val="00CC5338"/>
    <w:rsid w:val="00CC537A"/>
    <w:rsid w:val="00CC783A"/>
    <w:rsid w:val="00CD2BD2"/>
    <w:rsid w:val="00CD3D2E"/>
    <w:rsid w:val="00CE2D94"/>
    <w:rsid w:val="00CF304F"/>
    <w:rsid w:val="00CF52F3"/>
    <w:rsid w:val="00D25219"/>
    <w:rsid w:val="00D25909"/>
    <w:rsid w:val="00D47229"/>
    <w:rsid w:val="00D55D73"/>
    <w:rsid w:val="00D66961"/>
    <w:rsid w:val="00D71AB6"/>
    <w:rsid w:val="00D71EE5"/>
    <w:rsid w:val="00D750D1"/>
    <w:rsid w:val="00D83C48"/>
    <w:rsid w:val="00D86FE5"/>
    <w:rsid w:val="00D965B7"/>
    <w:rsid w:val="00D96F7A"/>
    <w:rsid w:val="00DA31C3"/>
    <w:rsid w:val="00DA617B"/>
    <w:rsid w:val="00DB3257"/>
    <w:rsid w:val="00DB3C6A"/>
    <w:rsid w:val="00DC4EAC"/>
    <w:rsid w:val="00DC6335"/>
    <w:rsid w:val="00DD1053"/>
    <w:rsid w:val="00DD5E27"/>
    <w:rsid w:val="00DD685D"/>
    <w:rsid w:val="00DD78C3"/>
    <w:rsid w:val="00DD7A0B"/>
    <w:rsid w:val="00DE0870"/>
    <w:rsid w:val="00DE17EF"/>
    <w:rsid w:val="00DE3905"/>
    <w:rsid w:val="00DE7110"/>
    <w:rsid w:val="00DF383E"/>
    <w:rsid w:val="00DF3FE0"/>
    <w:rsid w:val="00E00610"/>
    <w:rsid w:val="00E00EBF"/>
    <w:rsid w:val="00E0542D"/>
    <w:rsid w:val="00E06D93"/>
    <w:rsid w:val="00E153CC"/>
    <w:rsid w:val="00E230F9"/>
    <w:rsid w:val="00E2690B"/>
    <w:rsid w:val="00E3041C"/>
    <w:rsid w:val="00E317DE"/>
    <w:rsid w:val="00E32FA7"/>
    <w:rsid w:val="00E33AF7"/>
    <w:rsid w:val="00E33BAB"/>
    <w:rsid w:val="00E40AFA"/>
    <w:rsid w:val="00E51635"/>
    <w:rsid w:val="00E53106"/>
    <w:rsid w:val="00E53839"/>
    <w:rsid w:val="00E54B46"/>
    <w:rsid w:val="00E54B97"/>
    <w:rsid w:val="00E61869"/>
    <w:rsid w:val="00E660EE"/>
    <w:rsid w:val="00E67EC6"/>
    <w:rsid w:val="00E7035E"/>
    <w:rsid w:val="00E70F6E"/>
    <w:rsid w:val="00E7412E"/>
    <w:rsid w:val="00E7548F"/>
    <w:rsid w:val="00E84750"/>
    <w:rsid w:val="00E911D0"/>
    <w:rsid w:val="00EA4F57"/>
    <w:rsid w:val="00EA5413"/>
    <w:rsid w:val="00EB26AE"/>
    <w:rsid w:val="00EC2F5F"/>
    <w:rsid w:val="00EC50AD"/>
    <w:rsid w:val="00ED1817"/>
    <w:rsid w:val="00ED4B38"/>
    <w:rsid w:val="00ED5B9A"/>
    <w:rsid w:val="00EE6A9A"/>
    <w:rsid w:val="00EF4FCB"/>
    <w:rsid w:val="00F004C3"/>
    <w:rsid w:val="00F020EE"/>
    <w:rsid w:val="00F03CCC"/>
    <w:rsid w:val="00F05E79"/>
    <w:rsid w:val="00F0766C"/>
    <w:rsid w:val="00F23343"/>
    <w:rsid w:val="00F3244B"/>
    <w:rsid w:val="00F35211"/>
    <w:rsid w:val="00F413ED"/>
    <w:rsid w:val="00F60CBE"/>
    <w:rsid w:val="00F73A4E"/>
    <w:rsid w:val="00F74486"/>
    <w:rsid w:val="00F807CB"/>
    <w:rsid w:val="00F84422"/>
    <w:rsid w:val="00F93912"/>
    <w:rsid w:val="00F9598A"/>
    <w:rsid w:val="00F95E5E"/>
    <w:rsid w:val="00FA1056"/>
    <w:rsid w:val="00FB6F47"/>
    <w:rsid w:val="00FB7758"/>
    <w:rsid w:val="00FC1E8D"/>
    <w:rsid w:val="00FC270D"/>
    <w:rsid w:val="00FC64E5"/>
    <w:rsid w:val="00FD0814"/>
    <w:rsid w:val="00FE1D20"/>
    <w:rsid w:val="00FF1854"/>
    <w:rsid w:val="00FF4F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80E3"/>
  <w15:chartTrackingRefBased/>
  <w15:docId w15:val="{3CBC3346-1A38-4E99-98DF-A435AA16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3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C3"/>
  </w:style>
  <w:style w:type="paragraph" w:styleId="Titre1">
    <w:name w:val="heading 1"/>
    <w:basedOn w:val="Normal"/>
    <w:next w:val="Normal"/>
    <w:link w:val="Titre1Car"/>
    <w:uiPriority w:val="9"/>
    <w:qFormat/>
    <w:rsid w:val="00DD78C3"/>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Titre2">
    <w:name w:val="heading 2"/>
    <w:basedOn w:val="Normal"/>
    <w:next w:val="Normal"/>
    <w:link w:val="Titre2Car"/>
    <w:uiPriority w:val="9"/>
    <w:unhideWhenUsed/>
    <w:qFormat/>
    <w:rsid w:val="00DD78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60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8C3"/>
    <w:rPr>
      <w:rFonts w:asciiTheme="majorHAnsi" w:eastAsiaTheme="majorEastAsia" w:hAnsiTheme="majorHAnsi" w:cstheme="majorBidi"/>
      <w:color w:val="2F5496" w:themeColor="accent1" w:themeShade="BF"/>
      <w:szCs w:val="32"/>
    </w:rPr>
  </w:style>
  <w:style w:type="character" w:customStyle="1" w:styleId="Titre2Car">
    <w:name w:val="Titre 2 Car"/>
    <w:basedOn w:val="Policepardfaut"/>
    <w:link w:val="Titre2"/>
    <w:uiPriority w:val="9"/>
    <w:rsid w:val="00DD78C3"/>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DD78C3"/>
    <w:rPr>
      <w:color w:val="0563C1" w:themeColor="hyperlink"/>
      <w:u w:val="single"/>
    </w:rPr>
  </w:style>
  <w:style w:type="paragraph" w:styleId="En-ttedetabledesmatires">
    <w:name w:val="TOC Heading"/>
    <w:basedOn w:val="Titre1"/>
    <w:next w:val="Normal"/>
    <w:uiPriority w:val="39"/>
    <w:unhideWhenUsed/>
    <w:qFormat/>
    <w:rsid w:val="00DD78C3"/>
    <w:pPr>
      <w:outlineLvl w:val="9"/>
    </w:pPr>
    <w:rPr>
      <w:lang w:eastAsia="fr-CA"/>
    </w:rPr>
  </w:style>
  <w:style w:type="paragraph" w:styleId="TM2">
    <w:name w:val="toc 2"/>
    <w:basedOn w:val="Normal"/>
    <w:next w:val="Normal"/>
    <w:autoRedefine/>
    <w:uiPriority w:val="39"/>
    <w:unhideWhenUsed/>
    <w:rsid w:val="00DD78C3"/>
    <w:pPr>
      <w:spacing w:after="100"/>
      <w:ind w:left="320"/>
    </w:pPr>
  </w:style>
  <w:style w:type="paragraph" w:styleId="TM3">
    <w:name w:val="toc 3"/>
    <w:basedOn w:val="Normal"/>
    <w:next w:val="Normal"/>
    <w:autoRedefine/>
    <w:uiPriority w:val="39"/>
    <w:unhideWhenUsed/>
    <w:rsid w:val="00DD78C3"/>
    <w:pPr>
      <w:spacing w:after="100"/>
      <w:ind w:left="640"/>
    </w:pPr>
  </w:style>
  <w:style w:type="paragraph" w:styleId="TM1">
    <w:name w:val="toc 1"/>
    <w:basedOn w:val="Normal"/>
    <w:next w:val="Normal"/>
    <w:autoRedefine/>
    <w:uiPriority w:val="39"/>
    <w:unhideWhenUsed/>
    <w:rsid w:val="007E4376"/>
    <w:pPr>
      <w:spacing w:after="100"/>
    </w:pPr>
  </w:style>
  <w:style w:type="character" w:customStyle="1" w:styleId="Titre3Car">
    <w:name w:val="Titre 3 Car"/>
    <w:basedOn w:val="Policepardfaut"/>
    <w:link w:val="Titre3"/>
    <w:uiPriority w:val="9"/>
    <w:rsid w:val="0086063E"/>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6F6D56"/>
    <w:pPr>
      <w:ind w:left="720"/>
      <w:contextualSpacing/>
    </w:pPr>
  </w:style>
  <w:style w:type="character" w:styleId="Mentionnonrsolue">
    <w:name w:val="Unresolved Mention"/>
    <w:basedOn w:val="Policepardfaut"/>
    <w:uiPriority w:val="99"/>
    <w:semiHidden/>
    <w:unhideWhenUsed/>
    <w:rsid w:val="00F413ED"/>
    <w:rPr>
      <w:color w:val="605E5C"/>
      <w:shd w:val="clear" w:color="auto" w:fill="E1DFDD"/>
    </w:rPr>
  </w:style>
  <w:style w:type="paragraph" w:styleId="Rvision">
    <w:name w:val="Revision"/>
    <w:hidden/>
    <w:uiPriority w:val="99"/>
    <w:semiHidden/>
    <w:rsid w:val="001D44C2"/>
    <w:pPr>
      <w:spacing w:after="0" w:line="240" w:lineRule="auto"/>
    </w:pPr>
  </w:style>
  <w:style w:type="character" w:styleId="Marquedecommentaire">
    <w:name w:val="annotation reference"/>
    <w:basedOn w:val="Policepardfaut"/>
    <w:uiPriority w:val="99"/>
    <w:semiHidden/>
    <w:unhideWhenUsed/>
    <w:rsid w:val="00BA3F5D"/>
    <w:rPr>
      <w:sz w:val="16"/>
      <w:szCs w:val="16"/>
    </w:rPr>
  </w:style>
  <w:style w:type="paragraph" w:styleId="Commentaire">
    <w:name w:val="annotation text"/>
    <w:basedOn w:val="Normal"/>
    <w:link w:val="CommentaireCar"/>
    <w:uiPriority w:val="99"/>
    <w:semiHidden/>
    <w:unhideWhenUsed/>
    <w:rsid w:val="00BA3F5D"/>
    <w:pPr>
      <w:spacing w:line="240" w:lineRule="auto"/>
    </w:pPr>
    <w:rPr>
      <w:sz w:val="20"/>
      <w:szCs w:val="20"/>
    </w:rPr>
  </w:style>
  <w:style w:type="character" w:customStyle="1" w:styleId="CommentaireCar">
    <w:name w:val="Commentaire Car"/>
    <w:basedOn w:val="Policepardfaut"/>
    <w:link w:val="Commentaire"/>
    <w:uiPriority w:val="99"/>
    <w:semiHidden/>
    <w:rsid w:val="00BA3F5D"/>
    <w:rPr>
      <w:sz w:val="20"/>
      <w:szCs w:val="20"/>
    </w:rPr>
  </w:style>
  <w:style w:type="paragraph" w:styleId="Objetducommentaire">
    <w:name w:val="annotation subject"/>
    <w:basedOn w:val="Commentaire"/>
    <w:next w:val="Commentaire"/>
    <w:link w:val="ObjetducommentaireCar"/>
    <w:uiPriority w:val="99"/>
    <w:semiHidden/>
    <w:unhideWhenUsed/>
    <w:rsid w:val="00BA3F5D"/>
    <w:rPr>
      <w:b/>
      <w:bCs/>
    </w:rPr>
  </w:style>
  <w:style w:type="character" w:customStyle="1" w:styleId="ObjetducommentaireCar">
    <w:name w:val="Objet du commentaire Car"/>
    <w:basedOn w:val="CommentaireCar"/>
    <w:link w:val="Objetducommentaire"/>
    <w:uiPriority w:val="99"/>
    <w:semiHidden/>
    <w:rsid w:val="00BA3F5D"/>
    <w:rPr>
      <w:b/>
      <w:bCs/>
      <w:sz w:val="20"/>
      <w:szCs w:val="20"/>
    </w:rPr>
  </w:style>
  <w:style w:type="paragraph" w:styleId="En-tte">
    <w:name w:val="header"/>
    <w:basedOn w:val="Normal"/>
    <w:link w:val="En-tteCar"/>
    <w:uiPriority w:val="99"/>
    <w:unhideWhenUsed/>
    <w:rsid w:val="00584CC3"/>
    <w:pPr>
      <w:tabs>
        <w:tab w:val="center" w:pos="4703"/>
        <w:tab w:val="right" w:pos="9406"/>
      </w:tabs>
      <w:spacing w:after="0" w:line="240" w:lineRule="auto"/>
    </w:pPr>
  </w:style>
  <w:style w:type="character" w:customStyle="1" w:styleId="En-tteCar">
    <w:name w:val="En-tête Car"/>
    <w:basedOn w:val="Policepardfaut"/>
    <w:link w:val="En-tte"/>
    <w:uiPriority w:val="99"/>
    <w:rsid w:val="00584CC3"/>
  </w:style>
  <w:style w:type="paragraph" w:styleId="Pieddepage">
    <w:name w:val="footer"/>
    <w:basedOn w:val="Normal"/>
    <w:link w:val="PieddepageCar"/>
    <w:uiPriority w:val="99"/>
    <w:unhideWhenUsed/>
    <w:rsid w:val="00584CC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84CC3"/>
  </w:style>
  <w:style w:type="character" w:styleId="Lienhypertextesuivivisit">
    <w:name w:val="FollowedHyperlink"/>
    <w:basedOn w:val="Policepardfaut"/>
    <w:uiPriority w:val="99"/>
    <w:semiHidden/>
    <w:unhideWhenUsed/>
    <w:rsid w:val="00F3244B"/>
    <w:rPr>
      <w:color w:val="954F72" w:themeColor="followedHyperlink"/>
      <w:u w:val="single"/>
    </w:rPr>
  </w:style>
  <w:style w:type="paragraph" w:styleId="Notedefin">
    <w:name w:val="endnote text"/>
    <w:basedOn w:val="Normal"/>
    <w:link w:val="NotedefinCar"/>
    <w:uiPriority w:val="99"/>
    <w:semiHidden/>
    <w:unhideWhenUsed/>
    <w:rsid w:val="00FF4F26"/>
    <w:pPr>
      <w:spacing w:after="0" w:line="240" w:lineRule="auto"/>
    </w:pPr>
    <w:rPr>
      <w:sz w:val="20"/>
      <w:szCs w:val="20"/>
    </w:rPr>
  </w:style>
  <w:style w:type="character" w:customStyle="1" w:styleId="NotedefinCar">
    <w:name w:val="Note de fin Car"/>
    <w:basedOn w:val="Policepardfaut"/>
    <w:link w:val="Notedefin"/>
    <w:uiPriority w:val="99"/>
    <w:semiHidden/>
    <w:rsid w:val="00FF4F26"/>
    <w:rPr>
      <w:sz w:val="20"/>
      <w:szCs w:val="20"/>
    </w:rPr>
  </w:style>
  <w:style w:type="character" w:styleId="Appeldenotedefin">
    <w:name w:val="endnote reference"/>
    <w:basedOn w:val="Policepardfaut"/>
    <w:uiPriority w:val="99"/>
    <w:semiHidden/>
    <w:unhideWhenUsed/>
    <w:rsid w:val="00FF4F26"/>
    <w:rPr>
      <w:vertAlign w:val="superscript"/>
    </w:rPr>
  </w:style>
  <w:style w:type="paragraph" w:styleId="Notedebasdepage">
    <w:name w:val="footnote text"/>
    <w:basedOn w:val="Normal"/>
    <w:link w:val="NotedebasdepageCar"/>
    <w:uiPriority w:val="99"/>
    <w:semiHidden/>
    <w:unhideWhenUsed/>
    <w:rsid w:val="00FF4F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4F26"/>
    <w:rPr>
      <w:sz w:val="20"/>
      <w:szCs w:val="20"/>
    </w:rPr>
  </w:style>
  <w:style w:type="character" w:styleId="Appelnotedebasdep">
    <w:name w:val="footnote reference"/>
    <w:basedOn w:val="Policepardfaut"/>
    <w:uiPriority w:val="99"/>
    <w:semiHidden/>
    <w:unhideWhenUsed/>
    <w:rsid w:val="00FF4F26"/>
    <w:rPr>
      <w:vertAlign w:val="superscript"/>
    </w:rPr>
  </w:style>
  <w:style w:type="table" w:styleId="Grilledutableau">
    <w:name w:val="Table Grid"/>
    <w:basedOn w:val="TableauNormal"/>
    <w:uiPriority w:val="39"/>
    <w:rsid w:val="006F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130">
      <w:bodyDiv w:val="1"/>
      <w:marLeft w:val="0"/>
      <w:marRight w:val="0"/>
      <w:marTop w:val="0"/>
      <w:marBottom w:val="0"/>
      <w:divBdr>
        <w:top w:val="none" w:sz="0" w:space="0" w:color="auto"/>
        <w:left w:val="none" w:sz="0" w:space="0" w:color="auto"/>
        <w:bottom w:val="none" w:sz="0" w:space="0" w:color="auto"/>
        <w:right w:val="none" w:sz="0" w:space="0" w:color="auto"/>
      </w:divBdr>
    </w:div>
    <w:div w:id="330333706">
      <w:bodyDiv w:val="1"/>
      <w:marLeft w:val="0"/>
      <w:marRight w:val="0"/>
      <w:marTop w:val="0"/>
      <w:marBottom w:val="0"/>
      <w:divBdr>
        <w:top w:val="none" w:sz="0" w:space="0" w:color="auto"/>
        <w:left w:val="none" w:sz="0" w:space="0" w:color="auto"/>
        <w:bottom w:val="none" w:sz="0" w:space="0" w:color="auto"/>
        <w:right w:val="none" w:sz="0" w:space="0" w:color="auto"/>
      </w:divBdr>
    </w:div>
    <w:div w:id="640618890">
      <w:bodyDiv w:val="1"/>
      <w:marLeft w:val="0"/>
      <w:marRight w:val="0"/>
      <w:marTop w:val="0"/>
      <w:marBottom w:val="0"/>
      <w:divBdr>
        <w:top w:val="none" w:sz="0" w:space="0" w:color="auto"/>
        <w:left w:val="none" w:sz="0" w:space="0" w:color="auto"/>
        <w:bottom w:val="none" w:sz="0" w:space="0" w:color="auto"/>
        <w:right w:val="none" w:sz="0" w:space="0" w:color="auto"/>
      </w:divBdr>
    </w:div>
    <w:div w:id="808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dn-contenu.quebec.ca/cdn-contenu/adm/min/finances/publications-adm/MINFR_PlanAction_pershand2021.pdf?1601400064" TargetMode="External"/><Relationship Id="rId4" Type="http://schemas.openxmlformats.org/officeDocument/2006/relationships/settings" Target="settings.xml"/><Relationship Id="rId9" Type="http://schemas.openxmlformats.org/officeDocument/2006/relationships/hyperlink" Target="http://www.finances.gouv.qc.ca/documents/Autres/fr/AUTFR_RecoursEcofiscalite.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encanada.ca/content/sen/committee/421/SOCI/Reports/2018-06-18_SS5_RDSP-DTC_FINAL_WEB_f.pdf" TargetMode="External"/><Relationship Id="rId2" Type="http://schemas.openxmlformats.org/officeDocument/2006/relationships/hyperlink" Target="https://www.canada.ca/fr/agence-revenu/services/impot/particuliers/segments/deductions-credits-impot-personnes-handicapees/credit-impot-personnes-handicapees.html" TargetMode="External"/><Relationship Id="rId1" Type="http://schemas.openxmlformats.org/officeDocument/2006/relationships/hyperlink" Target="http://www.finances.gouv.qc.ca/documents/Autres/fr/AUTFR_Depenses_fiscales_2019_Comple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3368-CBD7-4531-8DB5-A6706C93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Paul Lupien</cp:lastModifiedBy>
  <cp:revision>2</cp:revision>
  <dcterms:created xsi:type="dcterms:W3CDTF">2022-05-19T02:00:00Z</dcterms:created>
  <dcterms:modified xsi:type="dcterms:W3CDTF">2022-05-19T02:00:00Z</dcterms:modified>
</cp:coreProperties>
</file>