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531C" w14:textId="77777777" w:rsidR="007E349E" w:rsidRPr="000662D8" w:rsidRDefault="009C5A94" w:rsidP="00756B0E">
      <w:pPr>
        <w:rPr>
          <w:rFonts w:cs="Arial"/>
          <w:b/>
          <w:sz w:val="36"/>
          <w:szCs w:val="36"/>
        </w:rPr>
      </w:pPr>
      <w:r>
        <w:rPr>
          <w:rFonts w:cs="Arial"/>
          <w:b/>
          <w:noProof/>
          <w:sz w:val="36"/>
          <w:szCs w:val="36"/>
        </w:rPr>
        <w:drawing>
          <wp:inline distT="0" distB="0" distL="0" distR="0" wp14:anchorId="3C8F2EDB" wp14:editId="5C054ED1">
            <wp:extent cx="4819650" cy="1231900"/>
            <wp:effectExtent l="19050" t="0" r="0" b="0"/>
            <wp:docPr id="1" name="Image 1" descr="logoCOPHAN+slogan-rg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OPHAN+slogan-rgb-S.jpg"/>
                    <pic:cNvPicPr>
                      <a:picLocks noChangeAspect="1" noChangeArrowheads="1"/>
                    </pic:cNvPicPr>
                  </pic:nvPicPr>
                  <pic:blipFill>
                    <a:blip r:embed="rId8"/>
                    <a:srcRect l="8199" t="12056" r="7666" b="10841"/>
                    <a:stretch>
                      <a:fillRect/>
                    </a:stretch>
                  </pic:blipFill>
                  <pic:spPr bwMode="auto">
                    <a:xfrm>
                      <a:off x="0" y="0"/>
                      <a:ext cx="4819650" cy="1231900"/>
                    </a:xfrm>
                    <a:prstGeom prst="rect">
                      <a:avLst/>
                    </a:prstGeom>
                    <a:noFill/>
                    <a:ln w="9525">
                      <a:noFill/>
                      <a:miter lim="800000"/>
                      <a:headEnd/>
                      <a:tailEnd/>
                    </a:ln>
                  </pic:spPr>
                </pic:pic>
              </a:graphicData>
            </a:graphic>
          </wp:inline>
        </w:drawing>
      </w:r>
    </w:p>
    <w:p w14:paraId="33282FB7" w14:textId="77777777" w:rsidR="007E349E" w:rsidRPr="000662D8" w:rsidRDefault="007E349E" w:rsidP="00237A22">
      <w:pPr>
        <w:rPr>
          <w:rFonts w:cs="Arial"/>
          <w:b/>
          <w:sz w:val="36"/>
          <w:szCs w:val="36"/>
        </w:rPr>
      </w:pPr>
    </w:p>
    <w:p w14:paraId="27BB5174" w14:textId="77777777" w:rsidR="007E349E" w:rsidRPr="000662D8" w:rsidRDefault="007E349E" w:rsidP="00237A22">
      <w:pPr>
        <w:rPr>
          <w:rFonts w:cs="Arial"/>
          <w:b/>
          <w:sz w:val="36"/>
          <w:szCs w:val="36"/>
        </w:rPr>
      </w:pPr>
    </w:p>
    <w:p w14:paraId="5C2BC9BC" w14:textId="77777777" w:rsidR="007E349E" w:rsidRDefault="007E349E" w:rsidP="00237A22">
      <w:pPr>
        <w:rPr>
          <w:rFonts w:cs="Arial"/>
          <w:b/>
          <w:sz w:val="36"/>
          <w:szCs w:val="36"/>
        </w:rPr>
      </w:pPr>
    </w:p>
    <w:p w14:paraId="16E724EA" w14:textId="77777777" w:rsidR="007E349E" w:rsidRPr="000662D8" w:rsidRDefault="007E349E" w:rsidP="00237A22">
      <w:pPr>
        <w:rPr>
          <w:rFonts w:cs="Arial"/>
          <w:b/>
          <w:sz w:val="36"/>
          <w:szCs w:val="36"/>
        </w:rPr>
      </w:pPr>
    </w:p>
    <w:p w14:paraId="3C7FE2E6" w14:textId="77777777" w:rsidR="007E349E" w:rsidRPr="000662D8" w:rsidRDefault="007E349E" w:rsidP="00237A22">
      <w:pPr>
        <w:rPr>
          <w:rFonts w:cs="Arial"/>
          <w:b/>
          <w:sz w:val="36"/>
          <w:szCs w:val="36"/>
        </w:rPr>
      </w:pPr>
    </w:p>
    <w:p w14:paraId="11306CBF" w14:textId="77777777" w:rsidR="007E349E" w:rsidRPr="000662D8" w:rsidRDefault="007E349E" w:rsidP="00237A22">
      <w:pPr>
        <w:rPr>
          <w:rFonts w:cs="Arial"/>
          <w:b/>
          <w:sz w:val="36"/>
          <w:szCs w:val="36"/>
        </w:rPr>
      </w:pPr>
    </w:p>
    <w:p w14:paraId="09C8910A" w14:textId="1570AB73" w:rsidR="007E349E" w:rsidRPr="00076FF9" w:rsidRDefault="00DB1D72" w:rsidP="00237A22">
      <w:pPr>
        <w:pBdr>
          <w:bottom w:val="single" w:sz="4" w:space="1" w:color="auto"/>
        </w:pBdr>
        <w:spacing w:after="120"/>
        <w:rPr>
          <w:rFonts w:cs="Arial"/>
          <w:b/>
          <w:sz w:val="32"/>
          <w:szCs w:val="32"/>
        </w:rPr>
      </w:pPr>
      <w:r>
        <w:rPr>
          <w:rFonts w:cs="Arial"/>
          <w:b/>
          <w:bCs/>
          <w:sz w:val="32"/>
          <w:szCs w:val="32"/>
        </w:rPr>
        <w:t xml:space="preserve">Évolution de la </w:t>
      </w:r>
      <w:r w:rsidR="007E349E" w:rsidRPr="00076FF9">
        <w:rPr>
          <w:rFonts w:cs="Arial"/>
          <w:b/>
          <w:bCs/>
          <w:sz w:val="32"/>
          <w:szCs w:val="32"/>
        </w:rPr>
        <w:t>Loi concernant les soins de fin de vie</w:t>
      </w:r>
    </w:p>
    <w:p w14:paraId="6E70E234" w14:textId="63381433" w:rsidR="007E349E" w:rsidRDefault="007E349E" w:rsidP="00237A22">
      <w:pPr>
        <w:rPr>
          <w:rFonts w:cs="Arial"/>
          <w:sz w:val="32"/>
          <w:szCs w:val="32"/>
        </w:rPr>
      </w:pPr>
    </w:p>
    <w:p w14:paraId="796BCA4E" w14:textId="31C415D8" w:rsidR="00DB1D72" w:rsidRDefault="00DB1D72" w:rsidP="00237A22">
      <w:pPr>
        <w:rPr>
          <w:rFonts w:cs="Arial"/>
          <w:sz w:val="32"/>
          <w:szCs w:val="32"/>
        </w:rPr>
      </w:pPr>
      <w:r>
        <w:rPr>
          <w:rFonts w:cs="Arial"/>
          <w:sz w:val="32"/>
          <w:szCs w:val="32"/>
        </w:rPr>
        <w:t xml:space="preserve">Nouveaux enjeux : </w:t>
      </w:r>
      <w:r w:rsidR="00D074D9">
        <w:rPr>
          <w:rFonts w:cs="Arial"/>
          <w:sz w:val="32"/>
          <w:szCs w:val="32"/>
        </w:rPr>
        <w:t>accès à l’aide médicale à mourir pour les personnes en situation d’</w:t>
      </w:r>
      <w:r w:rsidR="00176ECF">
        <w:rPr>
          <w:rFonts w:cs="Arial"/>
          <w:sz w:val="32"/>
          <w:szCs w:val="32"/>
        </w:rPr>
        <w:t>inaptitude ou</w:t>
      </w:r>
      <w:r>
        <w:rPr>
          <w:rFonts w:cs="Arial"/>
          <w:sz w:val="32"/>
          <w:szCs w:val="32"/>
        </w:rPr>
        <w:t xml:space="preserve"> </w:t>
      </w:r>
      <w:r w:rsidR="00D074D9" w:rsidRPr="00D074D9">
        <w:rPr>
          <w:rFonts w:cs="Arial"/>
          <w:sz w:val="32"/>
          <w:szCs w:val="32"/>
        </w:rPr>
        <w:t>dont le seul problème médical est un trouble mental</w:t>
      </w:r>
      <w:r w:rsidR="00D074D9">
        <w:rPr>
          <w:rFonts w:cs="Arial"/>
          <w:sz w:val="32"/>
          <w:szCs w:val="32"/>
        </w:rPr>
        <w:t>.</w:t>
      </w:r>
    </w:p>
    <w:p w14:paraId="3D396717" w14:textId="19313493" w:rsidR="00DB1D72" w:rsidRDefault="00DB1D72" w:rsidP="00D074D9">
      <w:pPr>
        <w:rPr>
          <w:rFonts w:cs="Arial"/>
          <w:sz w:val="32"/>
          <w:szCs w:val="32"/>
        </w:rPr>
      </w:pPr>
    </w:p>
    <w:p w14:paraId="110A3E98" w14:textId="511004E4" w:rsidR="004E63D8" w:rsidRDefault="004E63D8" w:rsidP="00237A22">
      <w:pPr>
        <w:rPr>
          <w:rFonts w:cs="Arial"/>
          <w:sz w:val="32"/>
          <w:szCs w:val="32"/>
        </w:rPr>
      </w:pPr>
    </w:p>
    <w:p w14:paraId="6E987717" w14:textId="77777777" w:rsidR="004E63D8" w:rsidRPr="00756B0E" w:rsidRDefault="004E63D8" w:rsidP="00237A22">
      <w:pPr>
        <w:rPr>
          <w:rFonts w:cs="Arial"/>
          <w:sz w:val="32"/>
          <w:szCs w:val="32"/>
        </w:rPr>
      </w:pPr>
    </w:p>
    <w:p w14:paraId="7BA2E038" w14:textId="5FEFDA3B" w:rsidR="007E349E" w:rsidRPr="00756B0E" w:rsidRDefault="007E349E" w:rsidP="00237A22">
      <w:pPr>
        <w:spacing w:after="120"/>
        <w:jc w:val="both"/>
        <w:rPr>
          <w:rFonts w:cs="Arial"/>
          <w:sz w:val="32"/>
          <w:szCs w:val="32"/>
          <w:lang w:val="fr-FR"/>
        </w:rPr>
      </w:pPr>
      <w:r w:rsidRPr="00756B0E">
        <w:rPr>
          <w:rFonts w:cs="Arial"/>
          <w:sz w:val="32"/>
          <w:szCs w:val="32"/>
          <w:lang w:val="fr-FR"/>
        </w:rPr>
        <w:t>Mémoire déposé par la Confédération des organismes</w:t>
      </w:r>
      <w:r>
        <w:rPr>
          <w:rFonts w:cs="Arial"/>
          <w:sz w:val="32"/>
          <w:szCs w:val="32"/>
          <w:lang w:val="fr-FR"/>
        </w:rPr>
        <w:t xml:space="preserve"> </w:t>
      </w:r>
      <w:r w:rsidRPr="00756B0E">
        <w:rPr>
          <w:rFonts w:cs="Arial"/>
          <w:sz w:val="32"/>
          <w:szCs w:val="32"/>
          <w:lang w:val="fr-FR"/>
        </w:rPr>
        <w:t>de personnes handicapées du Québec</w:t>
      </w:r>
      <w:r>
        <w:rPr>
          <w:rFonts w:cs="Arial"/>
          <w:sz w:val="32"/>
          <w:szCs w:val="32"/>
          <w:lang w:val="fr-FR"/>
        </w:rPr>
        <w:t xml:space="preserve"> </w:t>
      </w:r>
      <w:r w:rsidRPr="00756B0E">
        <w:rPr>
          <w:rFonts w:cs="Arial"/>
          <w:sz w:val="32"/>
          <w:szCs w:val="32"/>
          <w:lang w:val="fr-FR"/>
        </w:rPr>
        <w:t>à la</w:t>
      </w:r>
      <w:r>
        <w:rPr>
          <w:rFonts w:cs="Arial"/>
          <w:sz w:val="32"/>
          <w:szCs w:val="32"/>
        </w:rPr>
        <w:t xml:space="preserve"> </w:t>
      </w:r>
      <w:r w:rsidR="00DB1D72" w:rsidRPr="00DB1D72">
        <w:rPr>
          <w:rFonts w:cs="Arial"/>
          <w:sz w:val="32"/>
          <w:szCs w:val="32"/>
        </w:rPr>
        <w:t>Commission spéciale sur l’évolution de la Loi concernant les soins de fin de vie</w:t>
      </w:r>
      <w:r w:rsidRPr="00756B0E">
        <w:rPr>
          <w:rFonts w:cs="Arial"/>
          <w:sz w:val="32"/>
          <w:szCs w:val="32"/>
        </w:rPr>
        <w:t>.</w:t>
      </w:r>
    </w:p>
    <w:p w14:paraId="3280C3F3" w14:textId="77777777" w:rsidR="007E349E" w:rsidRPr="000662D8" w:rsidRDefault="007E349E" w:rsidP="00237A22">
      <w:pPr>
        <w:rPr>
          <w:rFonts w:cs="Arial"/>
          <w:sz w:val="32"/>
          <w:szCs w:val="32"/>
        </w:rPr>
      </w:pPr>
    </w:p>
    <w:p w14:paraId="10EA01A5" w14:textId="77777777" w:rsidR="007E349E" w:rsidRPr="000662D8" w:rsidRDefault="007E349E" w:rsidP="00237A22">
      <w:pPr>
        <w:rPr>
          <w:rFonts w:cs="Arial"/>
          <w:sz w:val="32"/>
          <w:szCs w:val="32"/>
        </w:rPr>
      </w:pPr>
    </w:p>
    <w:p w14:paraId="15825A9B" w14:textId="77777777" w:rsidR="007E349E" w:rsidRPr="000662D8" w:rsidRDefault="007E349E" w:rsidP="00237A22">
      <w:pPr>
        <w:rPr>
          <w:rFonts w:cs="Arial"/>
          <w:sz w:val="32"/>
          <w:szCs w:val="32"/>
        </w:rPr>
      </w:pPr>
    </w:p>
    <w:p w14:paraId="44DAA57B" w14:textId="77777777" w:rsidR="007E349E" w:rsidRPr="000662D8" w:rsidRDefault="007E349E" w:rsidP="00237A22">
      <w:pPr>
        <w:rPr>
          <w:rFonts w:cs="Arial"/>
          <w:sz w:val="32"/>
          <w:szCs w:val="32"/>
        </w:rPr>
      </w:pPr>
    </w:p>
    <w:p w14:paraId="130B29DE" w14:textId="77777777" w:rsidR="007E349E" w:rsidRDefault="007E349E" w:rsidP="00237A22">
      <w:pPr>
        <w:rPr>
          <w:rFonts w:cs="Arial"/>
          <w:sz w:val="32"/>
          <w:szCs w:val="32"/>
        </w:rPr>
      </w:pPr>
    </w:p>
    <w:p w14:paraId="2E51D662" w14:textId="77777777" w:rsidR="007E349E" w:rsidRPr="000662D8" w:rsidRDefault="007E349E" w:rsidP="00237A22">
      <w:pPr>
        <w:rPr>
          <w:rFonts w:cs="Arial"/>
          <w:sz w:val="32"/>
          <w:szCs w:val="32"/>
        </w:rPr>
      </w:pPr>
    </w:p>
    <w:p w14:paraId="149A31F0" w14:textId="77777777" w:rsidR="007E349E" w:rsidRDefault="007E349E" w:rsidP="00237A22">
      <w:pPr>
        <w:rPr>
          <w:rFonts w:cs="Arial"/>
          <w:sz w:val="32"/>
          <w:szCs w:val="32"/>
        </w:rPr>
      </w:pPr>
    </w:p>
    <w:p w14:paraId="7A7A90D6" w14:textId="77777777" w:rsidR="007E349E" w:rsidRPr="000662D8" w:rsidRDefault="007E349E" w:rsidP="00237A22">
      <w:pPr>
        <w:rPr>
          <w:rFonts w:cs="Arial"/>
          <w:sz w:val="32"/>
          <w:szCs w:val="32"/>
        </w:rPr>
      </w:pPr>
    </w:p>
    <w:p w14:paraId="2E5CE641" w14:textId="353AEA96" w:rsidR="007E349E" w:rsidRDefault="00926077" w:rsidP="00237A22">
      <w:pPr>
        <w:rPr>
          <w:rFonts w:cs="Arial"/>
          <w:b/>
          <w:color w:val="auto"/>
          <w:sz w:val="36"/>
          <w:szCs w:val="36"/>
        </w:rPr>
      </w:pPr>
      <w:r>
        <w:rPr>
          <w:rFonts w:cs="Arial"/>
          <w:b/>
          <w:color w:val="auto"/>
          <w:sz w:val="36"/>
          <w:szCs w:val="36"/>
        </w:rPr>
        <w:t>Août</w:t>
      </w:r>
      <w:r w:rsidR="007E349E" w:rsidRPr="00DB1D72">
        <w:rPr>
          <w:rFonts w:cs="Arial"/>
          <w:b/>
          <w:color w:val="auto"/>
          <w:sz w:val="36"/>
          <w:szCs w:val="36"/>
        </w:rPr>
        <w:t xml:space="preserve"> 20</w:t>
      </w:r>
      <w:r w:rsidR="00DB1D72">
        <w:rPr>
          <w:rFonts w:cs="Arial"/>
          <w:b/>
          <w:color w:val="auto"/>
          <w:sz w:val="36"/>
          <w:szCs w:val="36"/>
        </w:rPr>
        <w:t>21</w:t>
      </w:r>
      <w:r w:rsidR="007E349E" w:rsidRPr="00DB1D72">
        <w:rPr>
          <w:rFonts w:cs="Arial"/>
          <w:b/>
          <w:color w:val="auto"/>
          <w:sz w:val="36"/>
          <w:szCs w:val="36"/>
        </w:rPr>
        <w:br w:type="page"/>
      </w:r>
    </w:p>
    <w:p w14:paraId="1ACC5342" w14:textId="77777777" w:rsidR="00926077" w:rsidRPr="0017205D" w:rsidRDefault="00926077" w:rsidP="00926077">
      <w:pPr>
        <w:spacing w:line="276" w:lineRule="auto"/>
        <w:rPr>
          <w:rFonts w:eastAsia="Arial" w:cs="Arial"/>
        </w:rPr>
      </w:pPr>
      <w:r w:rsidRPr="0017205D">
        <w:rPr>
          <w:rFonts w:eastAsia="Arial" w:cs="Arial"/>
          <w:noProof/>
          <w:sz w:val="36"/>
          <w:szCs w:val="36"/>
        </w:rPr>
        <w:lastRenderedPageBreak/>
        <w:drawing>
          <wp:anchor distT="0" distB="0" distL="114300" distR="114300" simplePos="0" relativeHeight="251659264" behindDoc="0" locked="0" layoutInCell="1" hidden="0" allowOverlap="1" wp14:anchorId="6DC6F62A" wp14:editId="04DE9FB9">
            <wp:simplePos x="0" y="0"/>
            <wp:positionH relativeFrom="margin">
              <wp:align>right</wp:align>
            </wp:positionH>
            <wp:positionV relativeFrom="margin">
              <wp:align>top</wp:align>
            </wp:positionV>
            <wp:extent cx="2522220" cy="1009015"/>
            <wp:effectExtent l="0" t="0" r="0" b="0"/>
            <wp:wrapSquare wrapText="bothSides" distT="0" distB="0" distL="114300" distR="114300"/>
            <wp:docPr id="2" name="image2.jpg" descr="Logo COPHAN"/>
            <wp:cNvGraphicFramePr/>
            <a:graphic xmlns:a="http://schemas.openxmlformats.org/drawingml/2006/main">
              <a:graphicData uri="http://schemas.openxmlformats.org/drawingml/2006/picture">
                <pic:pic xmlns:pic="http://schemas.openxmlformats.org/drawingml/2006/picture">
                  <pic:nvPicPr>
                    <pic:cNvPr id="0" name="image2.jpg" descr="Logo COPHAN"/>
                    <pic:cNvPicPr preferRelativeResize="0"/>
                  </pic:nvPicPr>
                  <pic:blipFill>
                    <a:blip r:embed="rId9"/>
                    <a:srcRect/>
                    <a:stretch>
                      <a:fillRect/>
                    </a:stretch>
                  </pic:blipFill>
                  <pic:spPr>
                    <a:xfrm>
                      <a:off x="0" y="0"/>
                      <a:ext cx="2522220" cy="1009015"/>
                    </a:xfrm>
                    <a:prstGeom prst="rect">
                      <a:avLst/>
                    </a:prstGeom>
                    <a:ln/>
                  </pic:spPr>
                </pic:pic>
              </a:graphicData>
            </a:graphic>
          </wp:anchor>
        </w:drawing>
      </w:r>
      <w:r w:rsidRPr="0017205D">
        <w:rPr>
          <w:rFonts w:eastAsia="Arial" w:cs="Arial"/>
          <w:b/>
        </w:rPr>
        <w:t>R</w:t>
      </w:r>
      <w:r w:rsidRPr="0017205D">
        <w:rPr>
          <w:rFonts w:eastAsia="Arial" w:cs="Arial"/>
          <w:b/>
          <w:smallCaps/>
          <w:sz w:val="28"/>
          <w:szCs w:val="28"/>
        </w:rPr>
        <w:t>édaction</w:t>
      </w:r>
    </w:p>
    <w:p w14:paraId="2BA2D90E" w14:textId="77777777" w:rsidR="00926077" w:rsidRPr="0017205D" w:rsidRDefault="00926077" w:rsidP="00926077">
      <w:pPr>
        <w:spacing w:line="276" w:lineRule="auto"/>
        <w:rPr>
          <w:rFonts w:eastAsia="Arial" w:cs="Arial"/>
        </w:rPr>
      </w:pPr>
    </w:p>
    <w:p w14:paraId="216DABE7" w14:textId="77777777" w:rsidR="00926077" w:rsidRPr="0017205D" w:rsidRDefault="00926077" w:rsidP="00926077">
      <w:pPr>
        <w:spacing w:line="276" w:lineRule="auto"/>
        <w:rPr>
          <w:rFonts w:eastAsia="Arial" w:cs="Arial"/>
        </w:rPr>
      </w:pPr>
      <w:r w:rsidRPr="0017205D">
        <w:rPr>
          <w:rFonts w:eastAsia="Arial" w:cs="Arial"/>
        </w:rPr>
        <w:t xml:space="preserve">Nathalie Boëls </w:t>
      </w:r>
      <w:r>
        <w:rPr>
          <w:rFonts w:eastAsia="Arial" w:cs="Arial"/>
        </w:rPr>
        <w:t>—</w:t>
      </w:r>
      <w:r w:rsidRPr="0017205D">
        <w:rPr>
          <w:rFonts w:eastAsia="Arial" w:cs="Arial"/>
        </w:rPr>
        <w:t xml:space="preserve"> Directrice de dossiers</w:t>
      </w:r>
    </w:p>
    <w:p w14:paraId="07689124" w14:textId="77777777" w:rsidR="00926077" w:rsidRPr="0017205D" w:rsidRDefault="00926077" w:rsidP="00926077">
      <w:pPr>
        <w:spacing w:line="276" w:lineRule="auto"/>
        <w:rPr>
          <w:rFonts w:eastAsia="Arial" w:cs="Arial"/>
        </w:rPr>
      </w:pPr>
    </w:p>
    <w:p w14:paraId="5194CBD9" w14:textId="77777777" w:rsidR="00926077" w:rsidRPr="0017205D" w:rsidRDefault="00926077" w:rsidP="00926077">
      <w:pPr>
        <w:spacing w:line="276" w:lineRule="auto"/>
        <w:rPr>
          <w:rFonts w:eastAsia="Arial" w:cs="Arial"/>
        </w:rPr>
      </w:pPr>
    </w:p>
    <w:p w14:paraId="138A3E2F" w14:textId="283A42EF" w:rsidR="00926077" w:rsidRPr="0017205D" w:rsidRDefault="00926077" w:rsidP="00926077">
      <w:pPr>
        <w:spacing w:line="276" w:lineRule="auto"/>
        <w:rPr>
          <w:rFonts w:eastAsia="Arial" w:cs="Arial"/>
        </w:rPr>
      </w:pPr>
      <w:r>
        <w:rPr>
          <w:rFonts w:eastAsia="Arial" w:cs="Arial"/>
          <w:b/>
          <w:bCs/>
          <w:caps/>
        </w:rPr>
        <w:t>Mise à jour des mémoires de 2010 et 2013 avec les enjeux actuels</w:t>
      </w:r>
    </w:p>
    <w:p w14:paraId="39805868" w14:textId="581D4342" w:rsidR="00926077" w:rsidRDefault="00926077" w:rsidP="00926077">
      <w:pPr>
        <w:spacing w:line="276" w:lineRule="auto"/>
        <w:rPr>
          <w:rFonts w:eastAsia="Arial" w:cs="Arial"/>
        </w:rPr>
      </w:pPr>
    </w:p>
    <w:p w14:paraId="1C4BC0CD" w14:textId="77777777" w:rsidR="00926077" w:rsidRPr="0017205D" w:rsidRDefault="00926077" w:rsidP="00926077">
      <w:pPr>
        <w:spacing w:line="276" w:lineRule="auto"/>
        <w:rPr>
          <w:rFonts w:eastAsia="Arial" w:cs="Arial"/>
          <w:b/>
          <w:bCs/>
          <w:caps/>
        </w:rPr>
      </w:pPr>
      <w:r w:rsidRPr="0017205D">
        <w:rPr>
          <w:rFonts w:eastAsia="Arial" w:cs="Arial"/>
          <w:b/>
          <w:bCs/>
          <w:caps/>
        </w:rPr>
        <w:t>Sous la supervision</w:t>
      </w:r>
    </w:p>
    <w:p w14:paraId="21304953" w14:textId="72257077" w:rsidR="00926077" w:rsidRPr="0017205D" w:rsidRDefault="00926077" w:rsidP="00926077">
      <w:pPr>
        <w:spacing w:line="276" w:lineRule="auto"/>
        <w:rPr>
          <w:rFonts w:eastAsia="Arial" w:cs="Arial"/>
        </w:rPr>
      </w:pPr>
      <w:r>
        <w:rPr>
          <w:rFonts w:eastAsia="Arial" w:cs="Arial"/>
        </w:rPr>
        <w:t>Véronique Vézina</w:t>
      </w:r>
      <w:r w:rsidRPr="0017205D">
        <w:rPr>
          <w:rFonts w:eastAsia="Arial" w:cs="Arial"/>
        </w:rPr>
        <w:t>, Président</w:t>
      </w:r>
      <w:r>
        <w:rPr>
          <w:rFonts w:eastAsia="Arial" w:cs="Arial"/>
        </w:rPr>
        <w:t>e</w:t>
      </w:r>
      <w:r w:rsidRPr="0017205D">
        <w:rPr>
          <w:rFonts w:eastAsia="Arial" w:cs="Arial"/>
        </w:rPr>
        <w:t xml:space="preserve"> du conseil d’administration</w:t>
      </w:r>
    </w:p>
    <w:p w14:paraId="5479A841" w14:textId="77777777" w:rsidR="00926077" w:rsidRPr="0017205D" w:rsidRDefault="00926077" w:rsidP="00926077">
      <w:pPr>
        <w:spacing w:line="276" w:lineRule="auto"/>
        <w:rPr>
          <w:rFonts w:eastAsia="Arial" w:cs="Arial"/>
        </w:rPr>
      </w:pPr>
    </w:p>
    <w:p w14:paraId="5A389ACE" w14:textId="77777777" w:rsidR="00926077" w:rsidRPr="0017205D" w:rsidRDefault="00926077" w:rsidP="00926077">
      <w:pPr>
        <w:spacing w:line="276" w:lineRule="auto"/>
        <w:rPr>
          <w:rFonts w:eastAsia="Arial" w:cs="Arial"/>
        </w:rPr>
      </w:pPr>
    </w:p>
    <w:p w14:paraId="49C92F82" w14:textId="77777777" w:rsidR="00926077" w:rsidRPr="0017205D" w:rsidRDefault="00926077" w:rsidP="00926077">
      <w:pPr>
        <w:spacing w:line="276" w:lineRule="auto"/>
        <w:rPr>
          <w:rFonts w:eastAsia="Arial" w:cs="Arial"/>
          <w:sz w:val="28"/>
          <w:szCs w:val="28"/>
        </w:rPr>
      </w:pPr>
    </w:p>
    <w:p w14:paraId="4630625F" w14:textId="77777777" w:rsidR="00926077" w:rsidRPr="0017205D" w:rsidRDefault="00926077" w:rsidP="00926077">
      <w:pPr>
        <w:spacing w:line="276" w:lineRule="auto"/>
        <w:rPr>
          <w:rFonts w:eastAsia="Arial" w:cs="Arial"/>
          <w:sz w:val="28"/>
          <w:szCs w:val="28"/>
        </w:rPr>
      </w:pPr>
    </w:p>
    <w:p w14:paraId="493AAFAD" w14:textId="77777777" w:rsidR="00926077" w:rsidRPr="0017205D" w:rsidRDefault="00926077" w:rsidP="00926077">
      <w:pPr>
        <w:spacing w:line="276" w:lineRule="auto"/>
        <w:rPr>
          <w:rFonts w:eastAsia="Arial" w:cs="Arial"/>
          <w:sz w:val="28"/>
          <w:szCs w:val="28"/>
        </w:rPr>
      </w:pPr>
    </w:p>
    <w:p w14:paraId="6B725F87" w14:textId="77777777" w:rsidR="00926077" w:rsidRPr="0017205D" w:rsidRDefault="00926077" w:rsidP="00926077">
      <w:pPr>
        <w:spacing w:line="276" w:lineRule="auto"/>
        <w:rPr>
          <w:rFonts w:eastAsia="Arial" w:cs="Arial"/>
          <w:sz w:val="28"/>
          <w:szCs w:val="28"/>
        </w:rPr>
      </w:pPr>
    </w:p>
    <w:p w14:paraId="1DC7BC86" w14:textId="77777777" w:rsidR="00926077" w:rsidRPr="0017205D" w:rsidRDefault="00926077" w:rsidP="00926077">
      <w:pPr>
        <w:spacing w:line="276" w:lineRule="auto"/>
        <w:rPr>
          <w:rFonts w:eastAsia="Arial" w:cs="Arial"/>
          <w:b/>
          <w:smallCaps/>
          <w:sz w:val="28"/>
          <w:szCs w:val="28"/>
        </w:rPr>
      </w:pPr>
      <w:r w:rsidRPr="0017205D">
        <w:rPr>
          <w:rFonts w:eastAsia="Arial" w:cs="Arial"/>
          <w:b/>
          <w:smallCaps/>
          <w:sz w:val="28"/>
          <w:szCs w:val="28"/>
        </w:rPr>
        <w:t>Date de transmission</w:t>
      </w:r>
    </w:p>
    <w:p w14:paraId="12982B89" w14:textId="77777777" w:rsidR="00926077" w:rsidRPr="0017205D" w:rsidRDefault="00926077" w:rsidP="00926077">
      <w:pPr>
        <w:spacing w:line="276" w:lineRule="auto"/>
        <w:rPr>
          <w:rFonts w:eastAsia="Arial" w:cs="Arial"/>
        </w:rPr>
      </w:pPr>
    </w:p>
    <w:p w14:paraId="63008CF2" w14:textId="14CA5B34" w:rsidR="00926077" w:rsidRDefault="00926077" w:rsidP="00C262A4">
      <w:pPr>
        <w:spacing w:line="276" w:lineRule="auto"/>
        <w:rPr>
          <w:rFonts w:cs="Arial"/>
          <w:b/>
          <w:color w:val="auto"/>
          <w:sz w:val="36"/>
          <w:szCs w:val="36"/>
        </w:rPr>
      </w:pPr>
      <w:r w:rsidRPr="0017205D">
        <w:rPr>
          <w:rFonts w:eastAsia="Arial" w:cs="Arial"/>
          <w:noProof/>
          <w:sz w:val="36"/>
          <w:szCs w:val="36"/>
        </w:rPr>
        <w:drawing>
          <wp:anchor distT="0" distB="0" distL="114300" distR="114300" simplePos="0" relativeHeight="251660288" behindDoc="0" locked="0" layoutInCell="1" hidden="0" allowOverlap="1" wp14:anchorId="6BA2366D" wp14:editId="490ED29B">
            <wp:simplePos x="0" y="0"/>
            <wp:positionH relativeFrom="margin">
              <wp:align>right</wp:align>
            </wp:positionH>
            <wp:positionV relativeFrom="margin">
              <wp:posOffset>9525</wp:posOffset>
            </wp:positionV>
            <wp:extent cx="2522270" cy="1009402"/>
            <wp:effectExtent l="0" t="0" r="0" b="0"/>
            <wp:wrapSquare wrapText="bothSides" distT="0" distB="0" distL="114300" distR="114300"/>
            <wp:docPr id="3" name="image2.jpg" descr="Logo COPHAN"/>
            <wp:cNvGraphicFramePr/>
            <a:graphic xmlns:a="http://schemas.openxmlformats.org/drawingml/2006/main">
              <a:graphicData uri="http://schemas.openxmlformats.org/drawingml/2006/picture">
                <pic:pic xmlns:pic="http://schemas.openxmlformats.org/drawingml/2006/picture">
                  <pic:nvPicPr>
                    <pic:cNvPr id="0" name="image2.jpg" descr="Logo COPHAN"/>
                    <pic:cNvPicPr preferRelativeResize="0"/>
                  </pic:nvPicPr>
                  <pic:blipFill>
                    <a:blip r:embed="rId9"/>
                    <a:srcRect/>
                    <a:stretch>
                      <a:fillRect/>
                    </a:stretch>
                  </pic:blipFill>
                  <pic:spPr>
                    <a:xfrm>
                      <a:off x="0" y="0"/>
                      <a:ext cx="2522270" cy="1009402"/>
                    </a:xfrm>
                    <a:prstGeom prst="rect">
                      <a:avLst/>
                    </a:prstGeom>
                    <a:ln/>
                  </pic:spPr>
                </pic:pic>
              </a:graphicData>
            </a:graphic>
          </wp:anchor>
        </w:drawing>
      </w:r>
      <w:r>
        <w:rPr>
          <w:rFonts w:eastAsia="Arial" w:cs="Arial"/>
        </w:rPr>
        <w:t>Août</w:t>
      </w:r>
      <w:r w:rsidRPr="0017205D">
        <w:rPr>
          <w:rFonts w:eastAsia="Arial" w:cs="Arial"/>
        </w:rPr>
        <w:t xml:space="preserve"> 2021</w:t>
      </w:r>
      <w:r>
        <w:rPr>
          <w:rFonts w:cs="Arial"/>
          <w:b/>
          <w:color w:val="auto"/>
          <w:sz w:val="36"/>
          <w:szCs w:val="36"/>
        </w:rPr>
        <w:br w:type="page"/>
      </w:r>
    </w:p>
    <w:p w14:paraId="3CFA065C" w14:textId="77777777" w:rsidR="007E349E" w:rsidRPr="00DB1D72" w:rsidRDefault="007E349E" w:rsidP="00237A22">
      <w:pPr>
        <w:pStyle w:val="En-ttedetabledesmatires"/>
        <w:keepNext w:val="0"/>
        <w:keepLines w:val="0"/>
      </w:pPr>
      <w:r w:rsidRPr="00DB1D72">
        <w:lastRenderedPageBreak/>
        <w:t>Sommaire</w:t>
      </w:r>
    </w:p>
    <w:p w14:paraId="5548F053" w14:textId="77777777" w:rsidR="007E349E" w:rsidRDefault="007E349E" w:rsidP="00237A22">
      <w:pPr>
        <w:rPr>
          <w:lang w:val="fr-FR" w:eastAsia="en-US"/>
        </w:rPr>
      </w:pPr>
    </w:p>
    <w:bookmarkStart w:id="0" w:name="_Toc358126687"/>
    <w:p w14:paraId="0A6BEEF0" w14:textId="183B3433" w:rsidR="00A61517" w:rsidRDefault="00FA2212">
      <w:pPr>
        <w:pStyle w:val="TM1"/>
        <w:rPr>
          <w:rFonts w:asciiTheme="minorHAnsi" w:eastAsiaTheme="minorEastAsia" w:hAnsiTheme="minorHAnsi" w:cstheme="minorBidi"/>
          <w:caps w:val="0"/>
          <w:noProof/>
          <w:color w:val="auto"/>
          <w:sz w:val="22"/>
          <w:szCs w:val="22"/>
        </w:rPr>
      </w:pPr>
      <w:r>
        <w:rPr>
          <w:b/>
        </w:rPr>
        <w:fldChar w:fldCharType="begin"/>
      </w:r>
      <w:r w:rsidR="007E349E">
        <w:rPr>
          <w:b/>
        </w:rPr>
        <w:instrText xml:space="preserve"> TOC \o "1-3" \h \z \u </w:instrText>
      </w:r>
      <w:r>
        <w:rPr>
          <w:b/>
        </w:rPr>
        <w:fldChar w:fldCharType="separate"/>
      </w:r>
      <w:hyperlink w:anchor="_Toc79671854" w:history="1">
        <w:r w:rsidR="00A61517" w:rsidRPr="00872CDB">
          <w:rPr>
            <w:rStyle w:val="Lienhypertexte"/>
            <w:b/>
            <w:noProof/>
          </w:rPr>
          <w:t>Introduction</w:t>
        </w:r>
        <w:r w:rsidR="00A61517">
          <w:rPr>
            <w:noProof/>
            <w:webHidden/>
          </w:rPr>
          <w:tab/>
        </w:r>
        <w:r w:rsidR="00A61517">
          <w:rPr>
            <w:noProof/>
            <w:webHidden/>
          </w:rPr>
          <w:fldChar w:fldCharType="begin"/>
        </w:r>
        <w:r w:rsidR="00A61517">
          <w:rPr>
            <w:noProof/>
            <w:webHidden/>
          </w:rPr>
          <w:instrText xml:space="preserve"> PAGEREF _Toc79671854 \h </w:instrText>
        </w:r>
        <w:r w:rsidR="00A61517">
          <w:rPr>
            <w:noProof/>
            <w:webHidden/>
          </w:rPr>
        </w:r>
        <w:r w:rsidR="00A61517">
          <w:rPr>
            <w:noProof/>
            <w:webHidden/>
          </w:rPr>
          <w:fldChar w:fldCharType="separate"/>
        </w:r>
        <w:r w:rsidR="00592CAE">
          <w:rPr>
            <w:noProof/>
            <w:webHidden/>
          </w:rPr>
          <w:t>5</w:t>
        </w:r>
        <w:r w:rsidR="00A61517">
          <w:rPr>
            <w:noProof/>
            <w:webHidden/>
          </w:rPr>
          <w:fldChar w:fldCharType="end"/>
        </w:r>
      </w:hyperlink>
    </w:p>
    <w:p w14:paraId="69BA2F7F" w14:textId="55997B2A" w:rsidR="00A61517" w:rsidRDefault="00F34947">
      <w:pPr>
        <w:pStyle w:val="TM1"/>
        <w:rPr>
          <w:rFonts w:asciiTheme="minorHAnsi" w:eastAsiaTheme="minorEastAsia" w:hAnsiTheme="minorHAnsi" w:cstheme="minorBidi"/>
          <w:caps w:val="0"/>
          <w:noProof/>
          <w:color w:val="auto"/>
          <w:sz w:val="22"/>
          <w:szCs w:val="22"/>
        </w:rPr>
      </w:pPr>
      <w:hyperlink w:anchor="_Toc79671855" w:history="1">
        <w:r w:rsidR="00A61517" w:rsidRPr="00872CDB">
          <w:rPr>
            <w:rStyle w:val="Lienhypertexte"/>
            <w:b/>
            <w:noProof/>
          </w:rPr>
          <w:t>Le respect de la personne et de la dignité humaine, sans compromis</w:t>
        </w:r>
        <w:r w:rsidR="00A61517">
          <w:rPr>
            <w:noProof/>
            <w:webHidden/>
          </w:rPr>
          <w:tab/>
        </w:r>
        <w:r w:rsidR="00A61517">
          <w:rPr>
            <w:noProof/>
            <w:webHidden/>
          </w:rPr>
          <w:fldChar w:fldCharType="begin"/>
        </w:r>
        <w:r w:rsidR="00A61517">
          <w:rPr>
            <w:noProof/>
            <w:webHidden/>
          </w:rPr>
          <w:instrText xml:space="preserve"> PAGEREF _Toc79671855 \h </w:instrText>
        </w:r>
        <w:r w:rsidR="00A61517">
          <w:rPr>
            <w:noProof/>
            <w:webHidden/>
          </w:rPr>
        </w:r>
        <w:r w:rsidR="00A61517">
          <w:rPr>
            <w:noProof/>
            <w:webHidden/>
          </w:rPr>
          <w:fldChar w:fldCharType="separate"/>
        </w:r>
        <w:r w:rsidR="00592CAE">
          <w:rPr>
            <w:noProof/>
            <w:webHidden/>
          </w:rPr>
          <w:t>8</w:t>
        </w:r>
        <w:r w:rsidR="00A61517">
          <w:rPr>
            <w:noProof/>
            <w:webHidden/>
          </w:rPr>
          <w:fldChar w:fldCharType="end"/>
        </w:r>
      </w:hyperlink>
    </w:p>
    <w:p w14:paraId="26BD11D3" w14:textId="1537D936"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56" w:history="1">
        <w:r w:rsidR="00A61517" w:rsidRPr="00872CDB">
          <w:rPr>
            <w:rStyle w:val="Lienhypertexte"/>
            <w:noProof/>
          </w:rPr>
          <w:t>Recommandation 1</w:t>
        </w:r>
        <w:r w:rsidR="00A61517">
          <w:rPr>
            <w:noProof/>
            <w:webHidden/>
          </w:rPr>
          <w:tab/>
        </w:r>
        <w:r w:rsidR="00A61517">
          <w:rPr>
            <w:noProof/>
            <w:webHidden/>
          </w:rPr>
          <w:fldChar w:fldCharType="begin"/>
        </w:r>
        <w:r w:rsidR="00A61517">
          <w:rPr>
            <w:noProof/>
            <w:webHidden/>
          </w:rPr>
          <w:instrText xml:space="preserve"> PAGEREF _Toc79671856 \h </w:instrText>
        </w:r>
        <w:r w:rsidR="00A61517">
          <w:rPr>
            <w:noProof/>
            <w:webHidden/>
          </w:rPr>
        </w:r>
        <w:r w:rsidR="00A61517">
          <w:rPr>
            <w:noProof/>
            <w:webHidden/>
          </w:rPr>
          <w:fldChar w:fldCharType="separate"/>
        </w:r>
        <w:r w:rsidR="00592CAE">
          <w:rPr>
            <w:noProof/>
            <w:webHidden/>
          </w:rPr>
          <w:t>9</w:t>
        </w:r>
        <w:r w:rsidR="00A61517">
          <w:rPr>
            <w:noProof/>
            <w:webHidden/>
          </w:rPr>
          <w:fldChar w:fldCharType="end"/>
        </w:r>
      </w:hyperlink>
    </w:p>
    <w:p w14:paraId="3E619AB4" w14:textId="536F8326"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57" w:history="1">
        <w:r w:rsidR="00A61517" w:rsidRPr="00872CDB">
          <w:rPr>
            <w:rStyle w:val="Lienhypertexte"/>
            <w:noProof/>
          </w:rPr>
          <w:t>Recommandation 2</w:t>
        </w:r>
        <w:r w:rsidR="00A61517">
          <w:rPr>
            <w:noProof/>
            <w:webHidden/>
          </w:rPr>
          <w:tab/>
        </w:r>
        <w:r w:rsidR="00A61517">
          <w:rPr>
            <w:noProof/>
            <w:webHidden/>
          </w:rPr>
          <w:fldChar w:fldCharType="begin"/>
        </w:r>
        <w:r w:rsidR="00A61517">
          <w:rPr>
            <w:noProof/>
            <w:webHidden/>
          </w:rPr>
          <w:instrText xml:space="preserve"> PAGEREF _Toc79671857 \h </w:instrText>
        </w:r>
        <w:r w:rsidR="00A61517">
          <w:rPr>
            <w:noProof/>
            <w:webHidden/>
          </w:rPr>
        </w:r>
        <w:r w:rsidR="00A61517">
          <w:rPr>
            <w:noProof/>
            <w:webHidden/>
          </w:rPr>
          <w:fldChar w:fldCharType="separate"/>
        </w:r>
        <w:r w:rsidR="00592CAE">
          <w:rPr>
            <w:noProof/>
            <w:webHidden/>
          </w:rPr>
          <w:t>10</w:t>
        </w:r>
        <w:r w:rsidR="00A61517">
          <w:rPr>
            <w:noProof/>
            <w:webHidden/>
          </w:rPr>
          <w:fldChar w:fldCharType="end"/>
        </w:r>
      </w:hyperlink>
    </w:p>
    <w:p w14:paraId="4178B712" w14:textId="44A0A76D" w:rsidR="00A61517" w:rsidRDefault="00F34947">
      <w:pPr>
        <w:pStyle w:val="TM1"/>
        <w:rPr>
          <w:rFonts w:asciiTheme="minorHAnsi" w:eastAsiaTheme="minorEastAsia" w:hAnsiTheme="minorHAnsi" w:cstheme="minorBidi"/>
          <w:caps w:val="0"/>
          <w:noProof/>
          <w:color w:val="auto"/>
          <w:sz w:val="22"/>
          <w:szCs w:val="22"/>
        </w:rPr>
      </w:pPr>
      <w:hyperlink w:anchor="_Toc79671858" w:history="1">
        <w:r w:rsidR="00A61517" w:rsidRPr="00872CDB">
          <w:rPr>
            <w:rStyle w:val="Lienhypertexte"/>
            <w:b/>
            <w:noProof/>
          </w:rPr>
          <w:t>Des services de qualité tout au long de la vie</w:t>
        </w:r>
        <w:r w:rsidR="00A61517">
          <w:rPr>
            <w:noProof/>
            <w:webHidden/>
          </w:rPr>
          <w:tab/>
        </w:r>
        <w:r w:rsidR="00A61517">
          <w:rPr>
            <w:noProof/>
            <w:webHidden/>
          </w:rPr>
          <w:fldChar w:fldCharType="begin"/>
        </w:r>
        <w:r w:rsidR="00A61517">
          <w:rPr>
            <w:noProof/>
            <w:webHidden/>
          </w:rPr>
          <w:instrText xml:space="preserve"> PAGEREF _Toc79671858 \h </w:instrText>
        </w:r>
        <w:r w:rsidR="00A61517">
          <w:rPr>
            <w:noProof/>
            <w:webHidden/>
          </w:rPr>
        </w:r>
        <w:r w:rsidR="00A61517">
          <w:rPr>
            <w:noProof/>
            <w:webHidden/>
          </w:rPr>
          <w:fldChar w:fldCharType="separate"/>
        </w:r>
        <w:r w:rsidR="00592CAE">
          <w:rPr>
            <w:noProof/>
            <w:webHidden/>
          </w:rPr>
          <w:t>10</w:t>
        </w:r>
        <w:r w:rsidR="00A61517">
          <w:rPr>
            <w:noProof/>
            <w:webHidden/>
          </w:rPr>
          <w:fldChar w:fldCharType="end"/>
        </w:r>
      </w:hyperlink>
    </w:p>
    <w:p w14:paraId="4F13F28C" w14:textId="5D346DFC"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59" w:history="1">
        <w:r w:rsidR="00A61517" w:rsidRPr="00872CDB">
          <w:rPr>
            <w:rStyle w:val="Lienhypertexte"/>
            <w:noProof/>
          </w:rPr>
          <w:t>Recommandation 3</w:t>
        </w:r>
        <w:r w:rsidR="00A61517">
          <w:rPr>
            <w:noProof/>
            <w:webHidden/>
          </w:rPr>
          <w:tab/>
        </w:r>
        <w:r w:rsidR="00A61517">
          <w:rPr>
            <w:noProof/>
            <w:webHidden/>
          </w:rPr>
          <w:fldChar w:fldCharType="begin"/>
        </w:r>
        <w:r w:rsidR="00A61517">
          <w:rPr>
            <w:noProof/>
            <w:webHidden/>
          </w:rPr>
          <w:instrText xml:space="preserve"> PAGEREF _Toc79671859 \h </w:instrText>
        </w:r>
        <w:r w:rsidR="00A61517">
          <w:rPr>
            <w:noProof/>
            <w:webHidden/>
          </w:rPr>
        </w:r>
        <w:r w:rsidR="00A61517">
          <w:rPr>
            <w:noProof/>
            <w:webHidden/>
          </w:rPr>
          <w:fldChar w:fldCharType="separate"/>
        </w:r>
        <w:r w:rsidR="00592CAE">
          <w:rPr>
            <w:noProof/>
            <w:webHidden/>
          </w:rPr>
          <w:t>12</w:t>
        </w:r>
        <w:r w:rsidR="00A61517">
          <w:rPr>
            <w:noProof/>
            <w:webHidden/>
          </w:rPr>
          <w:fldChar w:fldCharType="end"/>
        </w:r>
      </w:hyperlink>
    </w:p>
    <w:p w14:paraId="4B4CC9DD" w14:textId="34F68B12" w:rsidR="00A61517" w:rsidRDefault="00F34947">
      <w:pPr>
        <w:pStyle w:val="TM1"/>
        <w:rPr>
          <w:rFonts w:asciiTheme="minorHAnsi" w:eastAsiaTheme="minorEastAsia" w:hAnsiTheme="minorHAnsi" w:cstheme="minorBidi"/>
          <w:caps w:val="0"/>
          <w:noProof/>
          <w:color w:val="auto"/>
          <w:sz w:val="22"/>
          <w:szCs w:val="22"/>
        </w:rPr>
      </w:pPr>
      <w:hyperlink w:anchor="_Toc79671860" w:history="1">
        <w:r w:rsidR="00A61517" w:rsidRPr="00872CDB">
          <w:rPr>
            <w:rStyle w:val="Lienhypertexte"/>
            <w:b/>
            <w:noProof/>
          </w:rPr>
          <w:t>Mettre tout en œuvre pour soulager la souffrance tant physique que psychologique</w:t>
        </w:r>
        <w:r w:rsidR="00A61517">
          <w:rPr>
            <w:noProof/>
            <w:webHidden/>
          </w:rPr>
          <w:tab/>
        </w:r>
        <w:r w:rsidR="00A61517">
          <w:rPr>
            <w:noProof/>
            <w:webHidden/>
          </w:rPr>
          <w:fldChar w:fldCharType="begin"/>
        </w:r>
        <w:r w:rsidR="00A61517">
          <w:rPr>
            <w:noProof/>
            <w:webHidden/>
          </w:rPr>
          <w:instrText xml:space="preserve"> PAGEREF _Toc79671860 \h </w:instrText>
        </w:r>
        <w:r w:rsidR="00A61517">
          <w:rPr>
            <w:noProof/>
            <w:webHidden/>
          </w:rPr>
        </w:r>
        <w:r w:rsidR="00A61517">
          <w:rPr>
            <w:noProof/>
            <w:webHidden/>
          </w:rPr>
          <w:fldChar w:fldCharType="separate"/>
        </w:r>
        <w:r w:rsidR="00592CAE">
          <w:rPr>
            <w:noProof/>
            <w:webHidden/>
          </w:rPr>
          <w:t>12</w:t>
        </w:r>
        <w:r w:rsidR="00A61517">
          <w:rPr>
            <w:noProof/>
            <w:webHidden/>
          </w:rPr>
          <w:fldChar w:fldCharType="end"/>
        </w:r>
      </w:hyperlink>
    </w:p>
    <w:p w14:paraId="5BE8F76E" w14:textId="0ADB7B05"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1" w:history="1">
        <w:r w:rsidR="00A61517" w:rsidRPr="00872CDB">
          <w:rPr>
            <w:rStyle w:val="Lienhypertexte"/>
            <w:noProof/>
          </w:rPr>
          <w:t>Recommandation 4</w:t>
        </w:r>
        <w:r w:rsidR="00A61517">
          <w:rPr>
            <w:noProof/>
            <w:webHidden/>
          </w:rPr>
          <w:tab/>
        </w:r>
        <w:r w:rsidR="00A61517">
          <w:rPr>
            <w:noProof/>
            <w:webHidden/>
          </w:rPr>
          <w:fldChar w:fldCharType="begin"/>
        </w:r>
        <w:r w:rsidR="00A61517">
          <w:rPr>
            <w:noProof/>
            <w:webHidden/>
          </w:rPr>
          <w:instrText xml:space="preserve"> PAGEREF _Toc79671861 \h </w:instrText>
        </w:r>
        <w:r w:rsidR="00A61517">
          <w:rPr>
            <w:noProof/>
            <w:webHidden/>
          </w:rPr>
        </w:r>
        <w:r w:rsidR="00A61517">
          <w:rPr>
            <w:noProof/>
            <w:webHidden/>
          </w:rPr>
          <w:fldChar w:fldCharType="separate"/>
        </w:r>
        <w:r w:rsidR="00592CAE">
          <w:rPr>
            <w:noProof/>
            <w:webHidden/>
          </w:rPr>
          <w:t>13</w:t>
        </w:r>
        <w:r w:rsidR="00A61517">
          <w:rPr>
            <w:noProof/>
            <w:webHidden/>
          </w:rPr>
          <w:fldChar w:fldCharType="end"/>
        </w:r>
      </w:hyperlink>
    </w:p>
    <w:p w14:paraId="13691021" w14:textId="4603C854" w:rsidR="00A61517" w:rsidRDefault="00F34947">
      <w:pPr>
        <w:pStyle w:val="TM1"/>
        <w:rPr>
          <w:rFonts w:asciiTheme="minorHAnsi" w:eastAsiaTheme="minorEastAsia" w:hAnsiTheme="minorHAnsi" w:cstheme="minorBidi"/>
          <w:caps w:val="0"/>
          <w:noProof/>
          <w:color w:val="auto"/>
          <w:sz w:val="22"/>
          <w:szCs w:val="22"/>
        </w:rPr>
      </w:pPr>
      <w:hyperlink w:anchor="_Toc79671862" w:history="1">
        <w:r w:rsidR="00A61517" w:rsidRPr="00872CDB">
          <w:rPr>
            <w:rStyle w:val="Lienhypertexte"/>
            <w:b/>
            <w:noProof/>
          </w:rPr>
          <w:t>Humaniser la médecine et développer une meilleure formation pour les professionnels de la santé</w:t>
        </w:r>
        <w:r w:rsidR="00A61517">
          <w:rPr>
            <w:noProof/>
            <w:webHidden/>
          </w:rPr>
          <w:tab/>
        </w:r>
        <w:r w:rsidR="00A61517">
          <w:rPr>
            <w:noProof/>
            <w:webHidden/>
          </w:rPr>
          <w:fldChar w:fldCharType="begin"/>
        </w:r>
        <w:r w:rsidR="00A61517">
          <w:rPr>
            <w:noProof/>
            <w:webHidden/>
          </w:rPr>
          <w:instrText xml:space="preserve"> PAGEREF _Toc79671862 \h </w:instrText>
        </w:r>
        <w:r w:rsidR="00A61517">
          <w:rPr>
            <w:noProof/>
            <w:webHidden/>
          </w:rPr>
        </w:r>
        <w:r w:rsidR="00A61517">
          <w:rPr>
            <w:noProof/>
            <w:webHidden/>
          </w:rPr>
          <w:fldChar w:fldCharType="separate"/>
        </w:r>
        <w:r w:rsidR="00592CAE">
          <w:rPr>
            <w:noProof/>
            <w:webHidden/>
          </w:rPr>
          <w:t>14</w:t>
        </w:r>
        <w:r w:rsidR="00A61517">
          <w:rPr>
            <w:noProof/>
            <w:webHidden/>
          </w:rPr>
          <w:fldChar w:fldCharType="end"/>
        </w:r>
      </w:hyperlink>
    </w:p>
    <w:p w14:paraId="409C7B4F" w14:textId="351F722A"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3" w:history="1">
        <w:r w:rsidR="00A61517" w:rsidRPr="00872CDB">
          <w:rPr>
            <w:rStyle w:val="Lienhypertexte"/>
            <w:noProof/>
          </w:rPr>
          <w:t>Recommandation 5</w:t>
        </w:r>
        <w:r w:rsidR="00A61517">
          <w:rPr>
            <w:noProof/>
            <w:webHidden/>
          </w:rPr>
          <w:tab/>
        </w:r>
        <w:r w:rsidR="00A61517">
          <w:rPr>
            <w:noProof/>
            <w:webHidden/>
          </w:rPr>
          <w:fldChar w:fldCharType="begin"/>
        </w:r>
        <w:r w:rsidR="00A61517">
          <w:rPr>
            <w:noProof/>
            <w:webHidden/>
          </w:rPr>
          <w:instrText xml:space="preserve"> PAGEREF _Toc79671863 \h </w:instrText>
        </w:r>
        <w:r w:rsidR="00A61517">
          <w:rPr>
            <w:noProof/>
            <w:webHidden/>
          </w:rPr>
        </w:r>
        <w:r w:rsidR="00A61517">
          <w:rPr>
            <w:noProof/>
            <w:webHidden/>
          </w:rPr>
          <w:fldChar w:fldCharType="separate"/>
        </w:r>
        <w:r w:rsidR="00592CAE">
          <w:rPr>
            <w:noProof/>
            <w:webHidden/>
          </w:rPr>
          <w:t>15</w:t>
        </w:r>
        <w:r w:rsidR="00A61517">
          <w:rPr>
            <w:noProof/>
            <w:webHidden/>
          </w:rPr>
          <w:fldChar w:fldCharType="end"/>
        </w:r>
      </w:hyperlink>
    </w:p>
    <w:p w14:paraId="4E335DD0" w14:textId="407DA4DD" w:rsidR="00A61517" w:rsidRDefault="00F34947">
      <w:pPr>
        <w:pStyle w:val="TM1"/>
        <w:rPr>
          <w:rFonts w:asciiTheme="minorHAnsi" w:eastAsiaTheme="minorEastAsia" w:hAnsiTheme="minorHAnsi" w:cstheme="minorBidi"/>
          <w:caps w:val="0"/>
          <w:noProof/>
          <w:color w:val="auto"/>
          <w:sz w:val="22"/>
          <w:szCs w:val="22"/>
        </w:rPr>
      </w:pPr>
      <w:hyperlink w:anchor="_Toc79671864" w:history="1">
        <w:r w:rsidR="00A61517" w:rsidRPr="00872CDB">
          <w:rPr>
            <w:rStyle w:val="Lienhypertexte"/>
            <w:b/>
            <w:noProof/>
          </w:rPr>
          <w:t>Le consentement libre et éclairé et le droit à l’information</w:t>
        </w:r>
        <w:r w:rsidR="00A61517">
          <w:rPr>
            <w:noProof/>
            <w:webHidden/>
          </w:rPr>
          <w:tab/>
        </w:r>
        <w:r w:rsidR="00A61517">
          <w:rPr>
            <w:noProof/>
            <w:webHidden/>
          </w:rPr>
          <w:fldChar w:fldCharType="begin"/>
        </w:r>
        <w:r w:rsidR="00A61517">
          <w:rPr>
            <w:noProof/>
            <w:webHidden/>
          </w:rPr>
          <w:instrText xml:space="preserve"> PAGEREF _Toc79671864 \h </w:instrText>
        </w:r>
        <w:r w:rsidR="00A61517">
          <w:rPr>
            <w:noProof/>
            <w:webHidden/>
          </w:rPr>
        </w:r>
        <w:r w:rsidR="00A61517">
          <w:rPr>
            <w:noProof/>
            <w:webHidden/>
          </w:rPr>
          <w:fldChar w:fldCharType="separate"/>
        </w:r>
        <w:r w:rsidR="00592CAE">
          <w:rPr>
            <w:noProof/>
            <w:webHidden/>
          </w:rPr>
          <w:t>15</w:t>
        </w:r>
        <w:r w:rsidR="00A61517">
          <w:rPr>
            <w:noProof/>
            <w:webHidden/>
          </w:rPr>
          <w:fldChar w:fldCharType="end"/>
        </w:r>
      </w:hyperlink>
    </w:p>
    <w:p w14:paraId="23A2E5C8" w14:textId="0B5D5B2F"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5" w:history="1">
        <w:r w:rsidR="00A61517" w:rsidRPr="00872CDB">
          <w:rPr>
            <w:rStyle w:val="Lienhypertexte"/>
            <w:noProof/>
          </w:rPr>
          <w:t>Recommandation 6</w:t>
        </w:r>
        <w:r w:rsidR="00A61517">
          <w:rPr>
            <w:noProof/>
            <w:webHidden/>
          </w:rPr>
          <w:tab/>
        </w:r>
        <w:r w:rsidR="00A61517">
          <w:rPr>
            <w:noProof/>
            <w:webHidden/>
          </w:rPr>
          <w:fldChar w:fldCharType="begin"/>
        </w:r>
        <w:r w:rsidR="00A61517">
          <w:rPr>
            <w:noProof/>
            <w:webHidden/>
          </w:rPr>
          <w:instrText xml:space="preserve"> PAGEREF _Toc79671865 \h </w:instrText>
        </w:r>
        <w:r w:rsidR="00A61517">
          <w:rPr>
            <w:noProof/>
            <w:webHidden/>
          </w:rPr>
        </w:r>
        <w:r w:rsidR="00A61517">
          <w:rPr>
            <w:noProof/>
            <w:webHidden/>
          </w:rPr>
          <w:fldChar w:fldCharType="separate"/>
        </w:r>
        <w:r w:rsidR="00592CAE">
          <w:rPr>
            <w:noProof/>
            <w:webHidden/>
          </w:rPr>
          <w:t>16</w:t>
        </w:r>
        <w:r w:rsidR="00A61517">
          <w:rPr>
            <w:noProof/>
            <w:webHidden/>
          </w:rPr>
          <w:fldChar w:fldCharType="end"/>
        </w:r>
      </w:hyperlink>
    </w:p>
    <w:p w14:paraId="3B55EEBE" w14:textId="1DC0E31A"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6" w:history="1">
        <w:r w:rsidR="00A61517" w:rsidRPr="00872CDB">
          <w:rPr>
            <w:rStyle w:val="Lienhypertexte"/>
            <w:noProof/>
          </w:rPr>
          <w:t>Recommandation 7</w:t>
        </w:r>
        <w:r w:rsidR="00A61517">
          <w:rPr>
            <w:noProof/>
            <w:webHidden/>
          </w:rPr>
          <w:tab/>
        </w:r>
        <w:r w:rsidR="00A61517">
          <w:rPr>
            <w:noProof/>
            <w:webHidden/>
          </w:rPr>
          <w:fldChar w:fldCharType="begin"/>
        </w:r>
        <w:r w:rsidR="00A61517">
          <w:rPr>
            <w:noProof/>
            <w:webHidden/>
          </w:rPr>
          <w:instrText xml:space="preserve"> PAGEREF _Toc79671866 \h </w:instrText>
        </w:r>
        <w:r w:rsidR="00A61517">
          <w:rPr>
            <w:noProof/>
            <w:webHidden/>
          </w:rPr>
        </w:r>
        <w:r w:rsidR="00A61517">
          <w:rPr>
            <w:noProof/>
            <w:webHidden/>
          </w:rPr>
          <w:fldChar w:fldCharType="separate"/>
        </w:r>
        <w:r w:rsidR="00592CAE">
          <w:rPr>
            <w:noProof/>
            <w:webHidden/>
          </w:rPr>
          <w:t>17</w:t>
        </w:r>
        <w:r w:rsidR="00A61517">
          <w:rPr>
            <w:noProof/>
            <w:webHidden/>
          </w:rPr>
          <w:fldChar w:fldCharType="end"/>
        </w:r>
      </w:hyperlink>
    </w:p>
    <w:p w14:paraId="6AB4B4A1" w14:textId="0BBEB525"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7" w:history="1">
        <w:r w:rsidR="00A61517" w:rsidRPr="00872CDB">
          <w:rPr>
            <w:rStyle w:val="Lienhypertexte"/>
            <w:noProof/>
          </w:rPr>
          <w:t>Recommandation 8</w:t>
        </w:r>
        <w:r w:rsidR="00A61517">
          <w:rPr>
            <w:noProof/>
            <w:webHidden/>
          </w:rPr>
          <w:tab/>
        </w:r>
        <w:r w:rsidR="00A61517">
          <w:rPr>
            <w:noProof/>
            <w:webHidden/>
          </w:rPr>
          <w:fldChar w:fldCharType="begin"/>
        </w:r>
        <w:r w:rsidR="00A61517">
          <w:rPr>
            <w:noProof/>
            <w:webHidden/>
          </w:rPr>
          <w:instrText xml:space="preserve"> PAGEREF _Toc79671867 \h </w:instrText>
        </w:r>
        <w:r w:rsidR="00A61517">
          <w:rPr>
            <w:noProof/>
            <w:webHidden/>
          </w:rPr>
        </w:r>
        <w:r w:rsidR="00A61517">
          <w:rPr>
            <w:noProof/>
            <w:webHidden/>
          </w:rPr>
          <w:fldChar w:fldCharType="separate"/>
        </w:r>
        <w:r w:rsidR="00592CAE">
          <w:rPr>
            <w:noProof/>
            <w:webHidden/>
          </w:rPr>
          <w:t>17</w:t>
        </w:r>
        <w:r w:rsidR="00A61517">
          <w:rPr>
            <w:noProof/>
            <w:webHidden/>
          </w:rPr>
          <w:fldChar w:fldCharType="end"/>
        </w:r>
      </w:hyperlink>
    </w:p>
    <w:p w14:paraId="31827AE0" w14:textId="37A0922E"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68" w:history="1">
        <w:r w:rsidR="00A61517" w:rsidRPr="00872CDB">
          <w:rPr>
            <w:rStyle w:val="Lienhypertexte"/>
            <w:noProof/>
          </w:rPr>
          <w:t>Recommandation 9</w:t>
        </w:r>
        <w:r w:rsidR="00A61517">
          <w:rPr>
            <w:noProof/>
            <w:webHidden/>
          </w:rPr>
          <w:tab/>
        </w:r>
        <w:r w:rsidR="00A61517">
          <w:rPr>
            <w:noProof/>
            <w:webHidden/>
          </w:rPr>
          <w:fldChar w:fldCharType="begin"/>
        </w:r>
        <w:r w:rsidR="00A61517">
          <w:rPr>
            <w:noProof/>
            <w:webHidden/>
          </w:rPr>
          <w:instrText xml:space="preserve"> PAGEREF _Toc79671868 \h </w:instrText>
        </w:r>
        <w:r w:rsidR="00A61517">
          <w:rPr>
            <w:noProof/>
            <w:webHidden/>
          </w:rPr>
        </w:r>
        <w:r w:rsidR="00A61517">
          <w:rPr>
            <w:noProof/>
            <w:webHidden/>
          </w:rPr>
          <w:fldChar w:fldCharType="separate"/>
        </w:r>
        <w:r w:rsidR="00592CAE">
          <w:rPr>
            <w:noProof/>
            <w:webHidden/>
          </w:rPr>
          <w:t>17</w:t>
        </w:r>
        <w:r w:rsidR="00A61517">
          <w:rPr>
            <w:noProof/>
            <w:webHidden/>
          </w:rPr>
          <w:fldChar w:fldCharType="end"/>
        </w:r>
      </w:hyperlink>
    </w:p>
    <w:p w14:paraId="75B0BCE9" w14:textId="03847BBF" w:rsidR="00A61517" w:rsidRDefault="00F34947">
      <w:pPr>
        <w:pStyle w:val="TM1"/>
        <w:rPr>
          <w:rFonts w:asciiTheme="minorHAnsi" w:eastAsiaTheme="minorEastAsia" w:hAnsiTheme="minorHAnsi" w:cstheme="minorBidi"/>
          <w:caps w:val="0"/>
          <w:noProof/>
          <w:color w:val="auto"/>
          <w:sz w:val="22"/>
          <w:szCs w:val="22"/>
        </w:rPr>
      </w:pPr>
      <w:hyperlink w:anchor="_Toc79671869" w:history="1">
        <w:r w:rsidR="00A61517" w:rsidRPr="00872CDB">
          <w:rPr>
            <w:rStyle w:val="Lienhypertexte"/>
            <w:b/>
            <w:noProof/>
          </w:rPr>
          <w:t>L’accès à l’aide médicale à mourir pour les personnes en situation d’inaptitude</w:t>
        </w:r>
        <w:r w:rsidR="00A61517">
          <w:rPr>
            <w:noProof/>
            <w:webHidden/>
          </w:rPr>
          <w:tab/>
        </w:r>
        <w:r w:rsidR="00A61517">
          <w:rPr>
            <w:noProof/>
            <w:webHidden/>
          </w:rPr>
          <w:fldChar w:fldCharType="begin"/>
        </w:r>
        <w:r w:rsidR="00A61517">
          <w:rPr>
            <w:noProof/>
            <w:webHidden/>
          </w:rPr>
          <w:instrText xml:space="preserve"> PAGEREF _Toc79671869 \h </w:instrText>
        </w:r>
        <w:r w:rsidR="00A61517">
          <w:rPr>
            <w:noProof/>
            <w:webHidden/>
          </w:rPr>
        </w:r>
        <w:r w:rsidR="00A61517">
          <w:rPr>
            <w:noProof/>
            <w:webHidden/>
          </w:rPr>
          <w:fldChar w:fldCharType="separate"/>
        </w:r>
        <w:r w:rsidR="00592CAE">
          <w:rPr>
            <w:noProof/>
            <w:webHidden/>
          </w:rPr>
          <w:t>17</w:t>
        </w:r>
        <w:r w:rsidR="00A61517">
          <w:rPr>
            <w:noProof/>
            <w:webHidden/>
          </w:rPr>
          <w:fldChar w:fldCharType="end"/>
        </w:r>
      </w:hyperlink>
    </w:p>
    <w:p w14:paraId="184C392C" w14:textId="73C2BAD9" w:rsidR="00A61517" w:rsidRDefault="00F34947">
      <w:pPr>
        <w:pStyle w:val="TM2"/>
        <w:tabs>
          <w:tab w:val="left" w:pos="720"/>
          <w:tab w:val="right" w:leader="dot" w:pos="8630"/>
        </w:tabs>
        <w:rPr>
          <w:rFonts w:asciiTheme="minorHAnsi" w:eastAsiaTheme="minorEastAsia" w:hAnsiTheme="minorHAnsi" w:cstheme="minorBidi"/>
          <w:noProof/>
          <w:color w:val="auto"/>
          <w:sz w:val="22"/>
          <w:szCs w:val="22"/>
        </w:rPr>
      </w:pPr>
      <w:hyperlink w:anchor="_Toc79671870" w:history="1">
        <w:r w:rsidR="00A61517" w:rsidRPr="00872CDB">
          <w:rPr>
            <w:rStyle w:val="Lienhypertexte"/>
            <w:noProof/>
          </w:rPr>
          <w:t>1)</w:t>
        </w:r>
        <w:r w:rsidR="00A61517">
          <w:rPr>
            <w:rFonts w:asciiTheme="minorHAnsi" w:eastAsiaTheme="minorEastAsia" w:hAnsiTheme="minorHAnsi" w:cstheme="minorBidi"/>
            <w:noProof/>
            <w:color w:val="auto"/>
            <w:sz w:val="22"/>
            <w:szCs w:val="22"/>
          </w:rPr>
          <w:tab/>
        </w:r>
        <w:r w:rsidR="00A61517" w:rsidRPr="00872CDB">
          <w:rPr>
            <w:rStyle w:val="Lienhypertexte"/>
            <w:noProof/>
          </w:rPr>
          <w:t>Pour les personnes qui n’ont jamais été aptes à consentir.</w:t>
        </w:r>
        <w:r w:rsidR="00A61517">
          <w:rPr>
            <w:noProof/>
            <w:webHidden/>
          </w:rPr>
          <w:tab/>
        </w:r>
        <w:r w:rsidR="00A61517">
          <w:rPr>
            <w:noProof/>
            <w:webHidden/>
          </w:rPr>
          <w:fldChar w:fldCharType="begin"/>
        </w:r>
        <w:r w:rsidR="00A61517">
          <w:rPr>
            <w:noProof/>
            <w:webHidden/>
          </w:rPr>
          <w:instrText xml:space="preserve"> PAGEREF _Toc79671870 \h </w:instrText>
        </w:r>
        <w:r w:rsidR="00A61517">
          <w:rPr>
            <w:noProof/>
            <w:webHidden/>
          </w:rPr>
        </w:r>
        <w:r w:rsidR="00A61517">
          <w:rPr>
            <w:noProof/>
            <w:webHidden/>
          </w:rPr>
          <w:fldChar w:fldCharType="separate"/>
        </w:r>
        <w:r w:rsidR="00592CAE">
          <w:rPr>
            <w:noProof/>
            <w:webHidden/>
          </w:rPr>
          <w:t>18</w:t>
        </w:r>
        <w:r w:rsidR="00A61517">
          <w:rPr>
            <w:noProof/>
            <w:webHidden/>
          </w:rPr>
          <w:fldChar w:fldCharType="end"/>
        </w:r>
      </w:hyperlink>
    </w:p>
    <w:p w14:paraId="3F3A10A5" w14:textId="2940C961"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1" w:history="1">
        <w:r w:rsidR="00A61517" w:rsidRPr="00872CDB">
          <w:rPr>
            <w:rStyle w:val="Lienhypertexte"/>
            <w:noProof/>
          </w:rPr>
          <w:t>Recommandation 10</w:t>
        </w:r>
        <w:r w:rsidR="00A61517">
          <w:rPr>
            <w:noProof/>
            <w:webHidden/>
          </w:rPr>
          <w:tab/>
        </w:r>
        <w:r w:rsidR="00A61517">
          <w:rPr>
            <w:noProof/>
            <w:webHidden/>
          </w:rPr>
          <w:fldChar w:fldCharType="begin"/>
        </w:r>
        <w:r w:rsidR="00A61517">
          <w:rPr>
            <w:noProof/>
            <w:webHidden/>
          </w:rPr>
          <w:instrText xml:space="preserve"> PAGEREF _Toc79671871 \h </w:instrText>
        </w:r>
        <w:r w:rsidR="00A61517">
          <w:rPr>
            <w:noProof/>
            <w:webHidden/>
          </w:rPr>
        </w:r>
        <w:r w:rsidR="00A61517">
          <w:rPr>
            <w:noProof/>
            <w:webHidden/>
          </w:rPr>
          <w:fldChar w:fldCharType="separate"/>
        </w:r>
        <w:r w:rsidR="00592CAE">
          <w:rPr>
            <w:noProof/>
            <w:webHidden/>
          </w:rPr>
          <w:t>19</w:t>
        </w:r>
        <w:r w:rsidR="00A61517">
          <w:rPr>
            <w:noProof/>
            <w:webHidden/>
          </w:rPr>
          <w:fldChar w:fldCharType="end"/>
        </w:r>
      </w:hyperlink>
    </w:p>
    <w:p w14:paraId="319D649B" w14:textId="33C0FB65"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2" w:history="1">
        <w:r w:rsidR="00A61517" w:rsidRPr="00872CDB">
          <w:rPr>
            <w:rStyle w:val="Lienhypertexte"/>
            <w:noProof/>
          </w:rPr>
          <w:t>Recommandation 11</w:t>
        </w:r>
        <w:r w:rsidR="00A61517">
          <w:rPr>
            <w:noProof/>
            <w:webHidden/>
          </w:rPr>
          <w:tab/>
        </w:r>
        <w:r w:rsidR="00A61517">
          <w:rPr>
            <w:noProof/>
            <w:webHidden/>
          </w:rPr>
          <w:fldChar w:fldCharType="begin"/>
        </w:r>
        <w:r w:rsidR="00A61517">
          <w:rPr>
            <w:noProof/>
            <w:webHidden/>
          </w:rPr>
          <w:instrText xml:space="preserve"> PAGEREF _Toc79671872 \h </w:instrText>
        </w:r>
        <w:r w:rsidR="00A61517">
          <w:rPr>
            <w:noProof/>
            <w:webHidden/>
          </w:rPr>
        </w:r>
        <w:r w:rsidR="00A61517">
          <w:rPr>
            <w:noProof/>
            <w:webHidden/>
          </w:rPr>
          <w:fldChar w:fldCharType="separate"/>
        </w:r>
        <w:r w:rsidR="00592CAE">
          <w:rPr>
            <w:noProof/>
            <w:webHidden/>
          </w:rPr>
          <w:t>19</w:t>
        </w:r>
        <w:r w:rsidR="00A61517">
          <w:rPr>
            <w:noProof/>
            <w:webHidden/>
          </w:rPr>
          <w:fldChar w:fldCharType="end"/>
        </w:r>
      </w:hyperlink>
    </w:p>
    <w:p w14:paraId="7E295FE7" w14:textId="7CB2F023"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3" w:history="1">
        <w:r w:rsidR="00A61517" w:rsidRPr="00872CDB">
          <w:rPr>
            <w:rStyle w:val="Lienhypertexte"/>
            <w:noProof/>
          </w:rPr>
          <w:t>Recommandation 12</w:t>
        </w:r>
        <w:r w:rsidR="00A61517">
          <w:rPr>
            <w:noProof/>
            <w:webHidden/>
          </w:rPr>
          <w:tab/>
        </w:r>
        <w:r w:rsidR="00A61517">
          <w:rPr>
            <w:noProof/>
            <w:webHidden/>
          </w:rPr>
          <w:fldChar w:fldCharType="begin"/>
        </w:r>
        <w:r w:rsidR="00A61517">
          <w:rPr>
            <w:noProof/>
            <w:webHidden/>
          </w:rPr>
          <w:instrText xml:space="preserve"> PAGEREF _Toc79671873 \h </w:instrText>
        </w:r>
        <w:r w:rsidR="00A61517">
          <w:rPr>
            <w:noProof/>
            <w:webHidden/>
          </w:rPr>
        </w:r>
        <w:r w:rsidR="00A61517">
          <w:rPr>
            <w:noProof/>
            <w:webHidden/>
          </w:rPr>
          <w:fldChar w:fldCharType="separate"/>
        </w:r>
        <w:r w:rsidR="00592CAE">
          <w:rPr>
            <w:noProof/>
            <w:webHidden/>
          </w:rPr>
          <w:t>20</w:t>
        </w:r>
        <w:r w:rsidR="00A61517">
          <w:rPr>
            <w:noProof/>
            <w:webHidden/>
          </w:rPr>
          <w:fldChar w:fldCharType="end"/>
        </w:r>
      </w:hyperlink>
    </w:p>
    <w:p w14:paraId="145119B5" w14:textId="361E084C"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4" w:history="1">
        <w:r w:rsidR="00A61517" w:rsidRPr="00872CDB">
          <w:rPr>
            <w:rStyle w:val="Lienhypertexte"/>
            <w:noProof/>
          </w:rPr>
          <w:t>Recommandation 13</w:t>
        </w:r>
        <w:r w:rsidR="00A61517">
          <w:rPr>
            <w:noProof/>
            <w:webHidden/>
          </w:rPr>
          <w:tab/>
        </w:r>
        <w:r w:rsidR="00A61517">
          <w:rPr>
            <w:noProof/>
            <w:webHidden/>
          </w:rPr>
          <w:fldChar w:fldCharType="begin"/>
        </w:r>
        <w:r w:rsidR="00A61517">
          <w:rPr>
            <w:noProof/>
            <w:webHidden/>
          </w:rPr>
          <w:instrText xml:space="preserve"> PAGEREF _Toc79671874 \h </w:instrText>
        </w:r>
        <w:r w:rsidR="00A61517">
          <w:rPr>
            <w:noProof/>
            <w:webHidden/>
          </w:rPr>
        </w:r>
        <w:r w:rsidR="00A61517">
          <w:rPr>
            <w:noProof/>
            <w:webHidden/>
          </w:rPr>
          <w:fldChar w:fldCharType="separate"/>
        </w:r>
        <w:r w:rsidR="00592CAE">
          <w:rPr>
            <w:noProof/>
            <w:webHidden/>
          </w:rPr>
          <w:t>20</w:t>
        </w:r>
        <w:r w:rsidR="00A61517">
          <w:rPr>
            <w:noProof/>
            <w:webHidden/>
          </w:rPr>
          <w:fldChar w:fldCharType="end"/>
        </w:r>
      </w:hyperlink>
    </w:p>
    <w:p w14:paraId="0653E0BE" w14:textId="2EF1ED61"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5" w:history="1">
        <w:r w:rsidR="00A61517" w:rsidRPr="00872CDB">
          <w:rPr>
            <w:rStyle w:val="Lienhypertexte"/>
            <w:noProof/>
          </w:rPr>
          <w:t>Recommandation 14</w:t>
        </w:r>
        <w:r w:rsidR="00A61517">
          <w:rPr>
            <w:noProof/>
            <w:webHidden/>
          </w:rPr>
          <w:tab/>
        </w:r>
        <w:r w:rsidR="00A61517">
          <w:rPr>
            <w:noProof/>
            <w:webHidden/>
          </w:rPr>
          <w:fldChar w:fldCharType="begin"/>
        </w:r>
        <w:r w:rsidR="00A61517">
          <w:rPr>
            <w:noProof/>
            <w:webHidden/>
          </w:rPr>
          <w:instrText xml:space="preserve"> PAGEREF _Toc79671875 \h </w:instrText>
        </w:r>
        <w:r w:rsidR="00A61517">
          <w:rPr>
            <w:noProof/>
            <w:webHidden/>
          </w:rPr>
        </w:r>
        <w:r w:rsidR="00A61517">
          <w:rPr>
            <w:noProof/>
            <w:webHidden/>
          </w:rPr>
          <w:fldChar w:fldCharType="separate"/>
        </w:r>
        <w:r w:rsidR="00592CAE">
          <w:rPr>
            <w:noProof/>
            <w:webHidden/>
          </w:rPr>
          <w:t>20</w:t>
        </w:r>
        <w:r w:rsidR="00A61517">
          <w:rPr>
            <w:noProof/>
            <w:webHidden/>
          </w:rPr>
          <w:fldChar w:fldCharType="end"/>
        </w:r>
      </w:hyperlink>
    </w:p>
    <w:p w14:paraId="5AE17E09" w14:textId="4E87299C"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6" w:history="1">
        <w:r w:rsidR="00A61517" w:rsidRPr="00872CDB">
          <w:rPr>
            <w:rStyle w:val="Lienhypertexte"/>
            <w:noProof/>
          </w:rPr>
          <w:t>Recommandation 15</w:t>
        </w:r>
        <w:r w:rsidR="00A61517">
          <w:rPr>
            <w:noProof/>
            <w:webHidden/>
          </w:rPr>
          <w:tab/>
        </w:r>
        <w:r w:rsidR="00A61517">
          <w:rPr>
            <w:noProof/>
            <w:webHidden/>
          </w:rPr>
          <w:fldChar w:fldCharType="begin"/>
        </w:r>
        <w:r w:rsidR="00A61517">
          <w:rPr>
            <w:noProof/>
            <w:webHidden/>
          </w:rPr>
          <w:instrText xml:space="preserve"> PAGEREF _Toc79671876 \h </w:instrText>
        </w:r>
        <w:r w:rsidR="00A61517">
          <w:rPr>
            <w:noProof/>
            <w:webHidden/>
          </w:rPr>
        </w:r>
        <w:r w:rsidR="00A61517">
          <w:rPr>
            <w:noProof/>
            <w:webHidden/>
          </w:rPr>
          <w:fldChar w:fldCharType="separate"/>
        </w:r>
        <w:r w:rsidR="00592CAE">
          <w:rPr>
            <w:noProof/>
            <w:webHidden/>
          </w:rPr>
          <w:t>21</w:t>
        </w:r>
        <w:r w:rsidR="00A61517">
          <w:rPr>
            <w:noProof/>
            <w:webHidden/>
          </w:rPr>
          <w:fldChar w:fldCharType="end"/>
        </w:r>
      </w:hyperlink>
    </w:p>
    <w:p w14:paraId="17AD1522" w14:textId="6340941E" w:rsidR="00A61517" w:rsidRDefault="00F34947">
      <w:pPr>
        <w:pStyle w:val="TM2"/>
        <w:tabs>
          <w:tab w:val="left" w:pos="720"/>
          <w:tab w:val="right" w:leader="dot" w:pos="8630"/>
        </w:tabs>
        <w:rPr>
          <w:rFonts w:asciiTheme="minorHAnsi" w:eastAsiaTheme="minorEastAsia" w:hAnsiTheme="minorHAnsi" w:cstheme="minorBidi"/>
          <w:noProof/>
          <w:color w:val="auto"/>
          <w:sz w:val="22"/>
          <w:szCs w:val="22"/>
        </w:rPr>
      </w:pPr>
      <w:hyperlink w:anchor="_Toc79671877" w:history="1">
        <w:r w:rsidR="00A61517" w:rsidRPr="00872CDB">
          <w:rPr>
            <w:rStyle w:val="Lienhypertexte"/>
            <w:noProof/>
          </w:rPr>
          <w:t>2)</w:t>
        </w:r>
        <w:r w:rsidR="00A61517">
          <w:rPr>
            <w:rFonts w:asciiTheme="minorHAnsi" w:eastAsiaTheme="minorEastAsia" w:hAnsiTheme="minorHAnsi" w:cstheme="minorBidi"/>
            <w:noProof/>
            <w:color w:val="auto"/>
            <w:sz w:val="22"/>
            <w:szCs w:val="22"/>
          </w:rPr>
          <w:tab/>
        </w:r>
        <w:r w:rsidR="00A61517" w:rsidRPr="00872CDB">
          <w:rPr>
            <w:rStyle w:val="Lienhypertexte"/>
            <w:noProof/>
          </w:rPr>
          <w:t>Pour les personnes qui anticipent une perte d’aptitude.</w:t>
        </w:r>
        <w:r w:rsidR="00A61517">
          <w:rPr>
            <w:noProof/>
            <w:webHidden/>
          </w:rPr>
          <w:tab/>
        </w:r>
        <w:r w:rsidR="00A61517">
          <w:rPr>
            <w:noProof/>
            <w:webHidden/>
          </w:rPr>
          <w:fldChar w:fldCharType="begin"/>
        </w:r>
        <w:r w:rsidR="00A61517">
          <w:rPr>
            <w:noProof/>
            <w:webHidden/>
          </w:rPr>
          <w:instrText xml:space="preserve"> PAGEREF _Toc79671877 \h </w:instrText>
        </w:r>
        <w:r w:rsidR="00A61517">
          <w:rPr>
            <w:noProof/>
            <w:webHidden/>
          </w:rPr>
        </w:r>
        <w:r w:rsidR="00A61517">
          <w:rPr>
            <w:noProof/>
            <w:webHidden/>
          </w:rPr>
          <w:fldChar w:fldCharType="separate"/>
        </w:r>
        <w:r w:rsidR="00592CAE">
          <w:rPr>
            <w:noProof/>
            <w:webHidden/>
          </w:rPr>
          <w:t>21</w:t>
        </w:r>
        <w:r w:rsidR="00A61517">
          <w:rPr>
            <w:noProof/>
            <w:webHidden/>
          </w:rPr>
          <w:fldChar w:fldCharType="end"/>
        </w:r>
      </w:hyperlink>
    </w:p>
    <w:p w14:paraId="66108879" w14:textId="0E1BE6B1"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78" w:history="1">
        <w:r w:rsidR="00A61517" w:rsidRPr="00872CDB">
          <w:rPr>
            <w:rStyle w:val="Lienhypertexte"/>
            <w:noProof/>
          </w:rPr>
          <w:t>Recommandation 16</w:t>
        </w:r>
        <w:r w:rsidR="00A61517">
          <w:rPr>
            <w:noProof/>
            <w:webHidden/>
          </w:rPr>
          <w:tab/>
        </w:r>
        <w:r w:rsidR="00A61517">
          <w:rPr>
            <w:noProof/>
            <w:webHidden/>
          </w:rPr>
          <w:fldChar w:fldCharType="begin"/>
        </w:r>
        <w:r w:rsidR="00A61517">
          <w:rPr>
            <w:noProof/>
            <w:webHidden/>
          </w:rPr>
          <w:instrText xml:space="preserve"> PAGEREF _Toc79671878 \h </w:instrText>
        </w:r>
        <w:r w:rsidR="00A61517">
          <w:rPr>
            <w:noProof/>
            <w:webHidden/>
          </w:rPr>
        </w:r>
        <w:r w:rsidR="00A61517">
          <w:rPr>
            <w:noProof/>
            <w:webHidden/>
          </w:rPr>
          <w:fldChar w:fldCharType="separate"/>
        </w:r>
        <w:r w:rsidR="00592CAE">
          <w:rPr>
            <w:noProof/>
            <w:webHidden/>
          </w:rPr>
          <w:t>21</w:t>
        </w:r>
        <w:r w:rsidR="00A61517">
          <w:rPr>
            <w:noProof/>
            <w:webHidden/>
          </w:rPr>
          <w:fldChar w:fldCharType="end"/>
        </w:r>
      </w:hyperlink>
    </w:p>
    <w:p w14:paraId="235082F8" w14:textId="13E05496" w:rsidR="00A61517" w:rsidRDefault="00F34947">
      <w:pPr>
        <w:pStyle w:val="TM2"/>
        <w:tabs>
          <w:tab w:val="left" w:pos="720"/>
          <w:tab w:val="right" w:leader="dot" w:pos="8630"/>
        </w:tabs>
        <w:rPr>
          <w:rFonts w:asciiTheme="minorHAnsi" w:eastAsiaTheme="minorEastAsia" w:hAnsiTheme="minorHAnsi" w:cstheme="minorBidi"/>
          <w:noProof/>
          <w:color w:val="auto"/>
          <w:sz w:val="22"/>
          <w:szCs w:val="22"/>
        </w:rPr>
      </w:pPr>
      <w:hyperlink w:anchor="_Toc79671879" w:history="1">
        <w:r w:rsidR="00A61517" w:rsidRPr="00872CDB">
          <w:rPr>
            <w:rStyle w:val="Lienhypertexte"/>
            <w:noProof/>
          </w:rPr>
          <w:t>3)</w:t>
        </w:r>
        <w:r w:rsidR="00A61517">
          <w:rPr>
            <w:rFonts w:asciiTheme="minorHAnsi" w:eastAsiaTheme="minorEastAsia" w:hAnsiTheme="minorHAnsi" w:cstheme="minorBidi"/>
            <w:noProof/>
            <w:color w:val="auto"/>
            <w:sz w:val="22"/>
            <w:szCs w:val="22"/>
          </w:rPr>
          <w:tab/>
        </w:r>
        <w:r w:rsidR="00A61517" w:rsidRPr="00872CDB">
          <w:rPr>
            <w:rStyle w:val="Lienhypertexte"/>
            <w:noProof/>
          </w:rPr>
          <w:t>Pour les personnes victimes d’un accident soudain et inattendu, tel qu’un accident vasculaire cérébral, un traumatisme craniocérébral ou un coma.</w:t>
        </w:r>
        <w:r w:rsidR="00A61517">
          <w:rPr>
            <w:noProof/>
            <w:webHidden/>
          </w:rPr>
          <w:tab/>
        </w:r>
        <w:r w:rsidR="00A61517">
          <w:rPr>
            <w:noProof/>
            <w:webHidden/>
          </w:rPr>
          <w:fldChar w:fldCharType="begin"/>
        </w:r>
        <w:r w:rsidR="00A61517">
          <w:rPr>
            <w:noProof/>
            <w:webHidden/>
          </w:rPr>
          <w:instrText xml:space="preserve"> PAGEREF _Toc79671879 \h </w:instrText>
        </w:r>
        <w:r w:rsidR="00A61517">
          <w:rPr>
            <w:noProof/>
            <w:webHidden/>
          </w:rPr>
        </w:r>
        <w:r w:rsidR="00A61517">
          <w:rPr>
            <w:noProof/>
            <w:webHidden/>
          </w:rPr>
          <w:fldChar w:fldCharType="separate"/>
        </w:r>
        <w:r w:rsidR="00592CAE">
          <w:rPr>
            <w:noProof/>
            <w:webHidden/>
          </w:rPr>
          <w:t>21</w:t>
        </w:r>
        <w:r w:rsidR="00A61517">
          <w:rPr>
            <w:noProof/>
            <w:webHidden/>
          </w:rPr>
          <w:fldChar w:fldCharType="end"/>
        </w:r>
      </w:hyperlink>
    </w:p>
    <w:p w14:paraId="62BD24FB" w14:textId="153A83DB"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80" w:history="1">
        <w:r w:rsidR="00A61517" w:rsidRPr="00872CDB">
          <w:rPr>
            <w:rStyle w:val="Lienhypertexte"/>
            <w:noProof/>
          </w:rPr>
          <w:t>Recommandation 17</w:t>
        </w:r>
        <w:r w:rsidR="00A61517">
          <w:rPr>
            <w:noProof/>
            <w:webHidden/>
          </w:rPr>
          <w:tab/>
        </w:r>
        <w:r w:rsidR="00A61517">
          <w:rPr>
            <w:noProof/>
            <w:webHidden/>
          </w:rPr>
          <w:fldChar w:fldCharType="begin"/>
        </w:r>
        <w:r w:rsidR="00A61517">
          <w:rPr>
            <w:noProof/>
            <w:webHidden/>
          </w:rPr>
          <w:instrText xml:space="preserve"> PAGEREF _Toc79671880 \h </w:instrText>
        </w:r>
        <w:r w:rsidR="00A61517">
          <w:rPr>
            <w:noProof/>
            <w:webHidden/>
          </w:rPr>
        </w:r>
        <w:r w:rsidR="00A61517">
          <w:rPr>
            <w:noProof/>
            <w:webHidden/>
          </w:rPr>
          <w:fldChar w:fldCharType="separate"/>
        </w:r>
        <w:r w:rsidR="00592CAE">
          <w:rPr>
            <w:noProof/>
            <w:webHidden/>
          </w:rPr>
          <w:t>23</w:t>
        </w:r>
        <w:r w:rsidR="00A61517">
          <w:rPr>
            <w:noProof/>
            <w:webHidden/>
          </w:rPr>
          <w:fldChar w:fldCharType="end"/>
        </w:r>
      </w:hyperlink>
    </w:p>
    <w:p w14:paraId="0D409691" w14:textId="56735D26" w:rsidR="00A61517" w:rsidRDefault="00F34947">
      <w:pPr>
        <w:pStyle w:val="TM1"/>
        <w:rPr>
          <w:rFonts w:asciiTheme="minorHAnsi" w:eastAsiaTheme="minorEastAsia" w:hAnsiTheme="minorHAnsi" w:cstheme="minorBidi"/>
          <w:caps w:val="0"/>
          <w:noProof/>
          <w:color w:val="auto"/>
          <w:sz w:val="22"/>
          <w:szCs w:val="22"/>
        </w:rPr>
      </w:pPr>
      <w:hyperlink w:anchor="_Toc79671881" w:history="1">
        <w:r w:rsidR="00A61517" w:rsidRPr="00872CDB">
          <w:rPr>
            <w:rStyle w:val="Lienhypertexte"/>
            <w:b/>
            <w:noProof/>
          </w:rPr>
          <w:t>L’élargissement potentiel de l’aide médicale à mourir aux personnes dont le seul problème médical est un trouble mental</w:t>
        </w:r>
        <w:r w:rsidR="00A61517">
          <w:rPr>
            <w:noProof/>
            <w:webHidden/>
          </w:rPr>
          <w:tab/>
        </w:r>
        <w:r w:rsidR="00A61517">
          <w:rPr>
            <w:noProof/>
            <w:webHidden/>
          </w:rPr>
          <w:fldChar w:fldCharType="begin"/>
        </w:r>
        <w:r w:rsidR="00A61517">
          <w:rPr>
            <w:noProof/>
            <w:webHidden/>
          </w:rPr>
          <w:instrText xml:space="preserve"> PAGEREF _Toc79671881 \h </w:instrText>
        </w:r>
        <w:r w:rsidR="00A61517">
          <w:rPr>
            <w:noProof/>
            <w:webHidden/>
          </w:rPr>
        </w:r>
        <w:r w:rsidR="00A61517">
          <w:rPr>
            <w:noProof/>
            <w:webHidden/>
          </w:rPr>
          <w:fldChar w:fldCharType="separate"/>
        </w:r>
        <w:r w:rsidR="00592CAE">
          <w:rPr>
            <w:noProof/>
            <w:webHidden/>
          </w:rPr>
          <w:t>23</w:t>
        </w:r>
        <w:r w:rsidR="00A61517">
          <w:rPr>
            <w:noProof/>
            <w:webHidden/>
          </w:rPr>
          <w:fldChar w:fldCharType="end"/>
        </w:r>
      </w:hyperlink>
    </w:p>
    <w:p w14:paraId="01DCE2F1" w14:textId="2195D182"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82" w:history="1">
        <w:r w:rsidR="00A61517" w:rsidRPr="00872CDB">
          <w:rPr>
            <w:rStyle w:val="Lienhypertexte"/>
            <w:noProof/>
          </w:rPr>
          <w:t>Recommandation 18</w:t>
        </w:r>
        <w:r w:rsidR="00A61517">
          <w:rPr>
            <w:noProof/>
            <w:webHidden/>
          </w:rPr>
          <w:tab/>
        </w:r>
        <w:r w:rsidR="00A61517">
          <w:rPr>
            <w:noProof/>
            <w:webHidden/>
          </w:rPr>
          <w:fldChar w:fldCharType="begin"/>
        </w:r>
        <w:r w:rsidR="00A61517">
          <w:rPr>
            <w:noProof/>
            <w:webHidden/>
          </w:rPr>
          <w:instrText xml:space="preserve"> PAGEREF _Toc79671882 \h </w:instrText>
        </w:r>
        <w:r w:rsidR="00A61517">
          <w:rPr>
            <w:noProof/>
            <w:webHidden/>
          </w:rPr>
        </w:r>
        <w:r w:rsidR="00A61517">
          <w:rPr>
            <w:noProof/>
            <w:webHidden/>
          </w:rPr>
          <w:fldChar w:fldCharType="separate"/>
        </w:r>
        <w:r w:rsidR="00592CAE">
          <w:rPr>
            <w:noProof/>
            <w:webHidden/>
          </w:rPr>
          <w:t>23</w:t>
        </w:r>
        <w:r w:rsidR="00A61517">
          <w:rPr>
            <w:noProof/>
            <w:webHidden/>
          </w:rPr>
          <w:fldChar w:fldCharType="end"/>
        </w:r>
      </w:hyperlink>
    </w:p>
    <w:p w14:paraId="11FAD5C0" w14:textId="2A60431A" w:rsidR="00A61517" w:rsidRDefault="00F34947">
      <w:pPr>
        <w:pStyle w:val="TM1"/>
        <w:rPr>
          <w:rFonts w:asciiTheme="minorHAnsi" w:eastAsiaTheme="minorEastAsia" w:hAnsiTheme="minorHAnsi" w:cstheme="minorBidi"/>
          <w:caps w:val="0"/>
          <w:noProof/>
          <w:color w:val="auto"/>
          <w:sz w:val="22"/>
          <w:szCs w:val="22"/>
        </w:rPr>
      </w:pPr>
      <w:hyperlink w:anchor="_Toc79671883" w:history="1">
        <w:r w:rsidR="00A61517" w:rsidRPr="00872CDB">
          <w:rPr>
            <w:rStyle w:val="Lienhypertexte"/>
            <w:b/>
            <w:noProof/>
          </w:rPr>
          <w:t>Les directives médicales anticipées</w:t>
        </w:r>
        <w:r w:rsidR="00A61517">
          <w:rPr>
            <w:noProof/>
            <w:webHidden/>
          </w:rPr>
          <w:tab/>
        </w:r>
        <w:r w:rsidR="00A61517">
          <w:rPr>
            <w:noProof/>
            <w:webHidden/>
          </w:rPr>
          <w:fldChar w:fldCharType="begin"/>
        </w:r>
        <w:r w:rsidR="00A61517">
          <w:rPr>
            <w:noProof/>
            <w:webHidden/>
          </w:rPr>
          <w:instrText xml:space="preserve"> PAGEREF _Toc79671883 \h </w:instrText>
        </w:r>
        <w:r w:rsidR="00A61517">
          <w:rPr>
            <w:noProof/>
            <w:webHidden/>
          </w:rPr>
        </w:r>
        <w:r w:rsidR="00A61517">
          <w:rPr>
            <w:noProof/>
            <w:webHidden/>
          </w:rPr>
          <w:fldChar w:fldCharType="separate"/>
        </w:r>
        <w:r w:rsidR="00592CAE">
          <w:rPr>
            <w:noProof/>
            <w:webHidden/>
          </w:rPr>
          <w:t>23</w:t>
        </w:r>
        <w:r w:rsidR="00A61517">
          <w:rPr>
            <w:noProof/>
            <w:webHidden/>
          </w:rPr>
          <w:fldChar w:fldCharType="end"/>
        </w:r>
      </w:hyperlink>
    </w:p>
    <w:p w14:paraId="5EE6E1F2" w14:textId="3CBE8C4B" w:rsidR="00A61517" w:rsidRDefault="00F34947">
      <w:pPr>
        <w:pStyle w:val="TM2"/>
        <w:tabs>
          <w:tab w:val="right" w:leader="dot" w:pos="8630"/>
        </w:tabs>
        <w:rPr>
          <w:rFonts w:asciiTheme="minorHAnsi" w:eastAsiaTheme="minorEastAsia" w:hAnsiTheme="minorHAnsi" w:cstheme="minorBidi"/>
          <w:noProof/>
          <w:color w:val="auto"/>
          <w:sz w:val="22"/>
          <w:szCs w:val="22"/>
        </w:rPr>
      </w:pPr>
      <w:hyperlink w:anchor="_Toc79671884" w:history="1">
        <w:r w:rsidR="00A61517" w:rsidRPr="00872CDB">
          <w:rPr>
            <w:rStyle w:val="Lienhypertexte"/>
            <w:noProof/>
          </w:rPr>
          <w:t>Recommandation 19</w:t>
        </w:r>
        <w:r w:rsidR="00A61517">
          <w:rPr>
            <w:noProof/>
            <w:webHidden/>
          </w:rPr>
          <w:tab/>
        </w:r>
        <w:r w:rsidR="00A61517">
          <w:rPr>
            <w:noProof/>
            <w:webHidden/>
          </w:rPr>
          <w:fldChar w:fldCharType="begin"/>
        </w:r>
        <w:r w:rsidR="00A61517">
          <w:rPr>
            <w:noProof/>
            <w:webHidden/>
          </w:rPr>
          <w:instrText xml:space="preserve"> PAGEREF _Toc79671884 \h </w:instrText>
        </w:r>
        <w:r w:rsidR="00A61517">
          <w:rPr>
            <w:noProof/>
            <w:webHidden/>
          </w:rPr>
        </w:r>
        <w:r w:rsidR="00A61517">
          <w:rPr>
            <w:noProof/>
            <w:webHidden/>
          </w:rPr>
          <w:fldChar w:fldCharType="separate"/>
        </w:r>
        <w:r w:rsidR="00592CAE">
          <w:rPr>
            <w:noProof/>
            <w:webHidden/>
          </w:rPr>
          <w:t>24</w:t>
        </w:r>
        <w:r w:rsidR="00A61517">
          <w:rPr>
            <w:noProof/>
            <w:webHidden/>
          </w:rPr>
          <w:fldChar w:fldCharType="end"/>
        </w:r>
      </w:hyperlink>
    </w:p>
    <w:p w14:paraId="5A76DE6C" w14:textId="5701DDE2" w:rsidR="00A61517" w:rsidRDefault="00F34947">
      <w:pPr>
        <w:pStyle w:val="TM1"/>
        <w:rPr>
          <w:rFonts w:asciiTheme="minorHAnsi" w:eastAsiaTheme="minorEastAsia" w:hAnsiTheme="minorHAnsi" w:cstheme="minorBidi"/>
          <w:caps w:val="0"/>
          <w:noProof/>
          <w:color w:val="auto"/>
          <w:sz w:val="22"/>
          <w:szCs w:val="22"/>
        </w:rPr>
      </w:pPr>
      <w:hyperlink w:anchor="_Toc79671885" w:history="1">
        <w:r w:rsidR="00A61517" w:rsidRPr="00872CDB">
          <w:rPr>
            <w:rStyle w:val="Lienhypertexte"/>
            <w:b/>
            <w:noProof/>
          </w:rPr>
          <w:t>Conclusion</w:t>
        </w:r>
        <w:r w:rsidR="00A61517">
          <w:rPr>
            <w:noProof/>
            <w:webHidden/>
          </w:rPr>
          <w:tab/>
        </w:r>
        <w:r w:rsidR="00A61517">
          <w:rPr>
            <w:noProof/>
            <w:webHidden/>
          </w:rPr>
          <w:fldChar w:fldCharType="begin"/>
        </w:r>
        <w:r w:rsidR="00A61517">
          <w:rPr>
            <w:noProof/>
            <w:webHidden/>
          </w:rPr>
          <w:instrText xml:space="preserve"> PAGEREF _Toc79671885 \h </w:instrText>
        </w:r>
        <w:r w:rsidR="00A61517">
          <w:rPr>
            <w:noProof/>
            <w:webHidden/>
          </w:rPr>
        </w:r>
        <w:r w:rsidR="00A61517">
          <w:rPr>
            <w:noProof/>
            <w:webHidden/>
          </w:rPr>
          <w:fldChar w:fldCharType="separate"/>
        </w:r>
        <w:r w:rsidR="00592CAE">
          <w:rPr>
            <w:noProof/>
            <w:webHidden/>
          </w:rPr>
          <w:t>25</w:t>
        </w:r>
        <w:r w:rsidR="00A61517">
          <w:rPr>
            <w:noProof/>
            <w:webHidden/>
          </w:rPr>
          <w:fldChar w:fldCharType="end"/>
        </w:r>
      </w:hyperlink>
    </w:p>
    <w:p w14:paraId="1D3FC973" w14:textId="7D96F35C" w:rsidR="00A61517" w:rsidRDefault="00F34947">
      <w:pPr>
        <w:pStyle w:val="TM1"/>
        <w:rPr>
          <w:rFonts w:asciiTheme="minorHAnsi" w:eastAsiaTheme="minorEastAsia" w:hAnsiTheme="minorHAnsi" w:cstheme="minorBidi"/>
          <w:caps w:val="0"/>
          <w:noProof/>
          <w:color w:val="auto"/>
          <w:sz w:val="22"/>
          <w:szCs w:val="22"/>
        </w:rPr>
      </w:pPr>
      <w:hyperlink w:anchor="_Toc79671886" w:history="1">
        <w:r w:rsidR="00A61517" w:rsidRPr="00872CDB">
          <w:rPr>
            <w:rStyle w:val="Lienhypertexte"/>
            <w:b/>
            <w:noProof/>
          </w:rPr>
          <w:t>Liste des recommandations</w:t>
        </w:r>
        <w:r w:rsidR="00A61517">
          <w:rPr>
            <w:noProof/>
            <w:webHidden/>
          </w:rPr>
          <w:tab/>
        </w:r>
        <w:r w:rsidR="00A61517">
          <w:rPr>
            <w:noProof/>
            <w:webHidden/>
          </w:rPr>
          <w:fldChar w:fldCharType="begin"/>
        </w:r>
        <w:r w:rsidR="00A61517">
          <w:rPr>
            <w:noProof/>
            <w:webHidden/>
          </w:rPr>
          <w:instrText xml:space="preserve"> PAGEREF _Toc79671886 \h </w:instrText>
        </w:r>
        <w:r w:rsidR="00A61517">
          <w:rPr>
            <w:noProof/>
            <w:webHidden/>
          </w:rPr>
        </w:r>
        <w:r w:rsidR="00A61517">
          <w:rPr>
            <w:noProof/>
            <w:webHidden/>
          </w:rPr>
          <w:fldChar w:fldCharType="separate"/>
        </w:r>
        <w:r w:rsidR="00592CAE">
          <w:rPr>
            <w:noProof/>
            <w:webHidden/>
          </w:rPr>
          <w:t>27</w:t>
        </w:r>
        <w:r w:rsidR="00A61517">
          <w:rPr>
            <w:noProof/>
            <w:webHidden/>
          </w:rPr>
          <w:fldChar w:fldCharType="end"/>
        </w:r>
      </w:hyperlink>
    </w:p>
    <w:p w14:paraId="5933FEDA" w14:textId="3320100D" w:rsidR="007E349E" w:rsidRDefault="00FA2212" w:rsidP="00237A22">
      <w:pPr>
        <w:rPr>
          <w:b/>
        </w:rPr>
        <w:sectPr w:rsidR="007E349E" w:rsidSect="00297FF1">
          <w:footerReference w:type="default" r:id="rId10"/>
          <w:footerReference w:type="first" r:id="rId11"/>
          <w:pgSz w:w="12240" w:h="15840"/>
          <w:pgMar w:top="1440" w:right="1800" w:bottom="1440" w:left="1800" w:header="708" w:footer="708" w:gutter="0"/>
          <w:cols w:space="708"/>
          <w:docGrid w:linePitch="360"/>
        </w:sectPr>
      </w:pPr>
      <w:r>
        <w:rPr>
          <w:b/>
        </w:rPr>
        <w:fldChar w:fldCharType="end"/>
      </w:r>
    </w:p>
    <w:p w14:paraId="3AC4D41A" w14:textId="77777777" w:rsidR="007E349E" w:rsidRPr="00756B0E" w:rsidRDefault="007E349E" w:rsidP="00237A22">
      <w:pPr>
        <w:pStyle w:val="Titre"/>
        <w:pBdr>
          <w:bottom w:val="none" w:sz="0" w:space="0" w:color="auto"/>
        </w:pBdr>
        <w:outlineLvl w:val="0"/>
        <w:rPr>
          <w:b/>
          <w:sz w:val="36"/>
          <w:szCs w:val="36"/>
        </w:rPr>
      </w:pPr>
      <w:bookmarkStart w:id="1" w:name="_Toc366600887"/>
      <w:bookmarkStart w:id="2" w:name="_Toc367793278"/>
      <w:bookmarkStart w:id="3" w:name="_Toc367800657"/>
      <w:bookmarkStart w:id="4" w:name="_Toc79671854"/>
      <w:bookmarkEnd w:id="0"/>
      <w:r w:rsidRPr="00880B52">
        <w:rPr>
          <w:b/>
          <w:sz w:val="36"/>
          <w:szCs w:val="36"/>
        </w:rPr>
        <w:lastRenderedPageBreak/>
        <w:t>Introduction</w:t>
      </w:r>
      <w:bookmarkEnd w:id="1"/>
      <w:bookmarkEnd w:id="2"/>
      <w:bookmarkEnd w:id="3"/>
      <w:bookmarkEnd w:id="4"/>
    </w:p>
    <w:p w14:paraId="2C09BA4B" w14:textId="0B6B3F32" w:rsidR="007E349E" w:rsidRPr="00061E4D" w:rsidRDefault="007E349E" w:rsidP="00237A22">
      <w:pPr>
        <w:spacing w:line="276" w:lineRule="auto"/>
        <w:jc w:val="both"/>
        <w:rPr>
          <w:noProof/>
        </w:rPr>
      </w:pPr>
      <w:r w:rsidRPr="00FC197F">
        <w:rPr>
          <w:noProof/>
        </w:rPr>
        <w:t xml:space="preserve">La Confédération des organismes de personnes handicapées du Québec (COPHAN) est un organisme à but non lucratif, incorporé depuis 1985, qui milite pour la défense collective des droits et la promotion des intérêts des personnes </w:t>
      </w:r>
      <w:r w:rsidR="005C291B">
        <w:rPr>
          <w:noProof/>
        </w:rPr>
        <w:t>en situation de handicap</w:t>
      </w:r>
      <w:r w:rsidRPr="00FC197F">
        <w:rPr>
          <w:noProof/>
        </w:rPr>
        <w:t xml:space="preserve"> de tous âges et de</w:t>
      </w:r>
      <w:r>
        <w:rPr>
          <w:noProof/>
        </w:rPr>
        <w:t xml:space="preserve"> leurs proches. </w:t>
      </w:r>
      <w:r w:rsidRPr="00142B28">
        <w:rPr>
          <w:noProof/>
        </w:rPr>
        <w:t xml:space="preserve">Elle </w:t>
      </w:r>
      <w:r w:rsidRPr="00061E4D">
        <w:rPr>
          <w:noProof/>
        </w:rPr>
        <w:t xml:space="preserve">regroupe </w:t>
      </w:r>
      <w:r w:rsidR="00AF1030" w:rsidRPr="00061E4D">
        <w:rPr>
          <w:noProof/>
        </w:rPr>
        <w:t xml:space="preserve">une trentaine </w:t>
      </w:r>
      <w:r w:rsidR="00683FF8">
        <w:rPr>
          <w:noProof/>
        </w:rPr>
        <w:t>de</w:t>
      </w:r>
      <w:r w:rsidRPr="00061E4D">
        <w:rPr>
          <w:noProof/>
        </w:rPr>
        <w:t xml:space="preserve"> regroupements provinciaux et régionaux de personnes </w:t>
      </w:r>
      <w:r w:rsidR="005C291B" w:rsidRPr="00061E4D">
        <w:rPr>
          <w:noProof/>
        </w:rPr>
        <w:t>en situation de handicap</w:t>
      </w:r>
      <w:r w:rsidRPr="00061E4D">
        <w:rPr>
          <w:noProof/>
        </w:rPr>
        <w:t xml:space="preserve">. La COPHAN représente toutes les limitations fonctionnelles : motrice, organique, neurologique, troubles d’apprentissage, intellectuelle, visuelle, auditive, parole et langage, troubles envahissant du développement et santé mentale. Elle fonctionne </w:t>
      </w:r>
      <w:r w:rsidR="00767345">
        <w:rPr>
          <w:noProof/>
        </w:rPr>
        <w:t>par</w:t>
      </w:r>
      <w:r w:rsidRPr="00061E4D">
        <w:rPr>
          <w:noProof/>
        </w:rPr>
        <w:t xml:space="preserve"> et p</w:t>
      </w:r>
      <w:r w:rsidR="00767345">
        <w:rPr>
          <w:noProof/>
        </w:rPr>
        <w:t>ou</w:t>
      </w:r>
      <w:r w:rsidRPr="00061E4D">
        <w:rPr>
          <w:noProof/>
        </w:rPr>
        <w:t xml:space="preserve">r </w:t>
      </w:r>
      <w:r w:rsidR="00767345">
        <w:rPr>
          <w:noProof/>
        </w:rPr>
        <w:t>les personnes en situation de handicap</w:t>
      </w:r>
      <w:r w:rsidRPr="00061E4D">
        <w:rPr>
          <w:noProof/>
        </w:rPr>
        <w:t>.</w:t>
      </w:r>
    </w:p>
    <w:p w14:paraId="0C3CA8B7" w14:textId="39871FE3" w:rsidR="007E349E" w:rsidRPr="00061E4D" w:rsidRDefault="007E349E" w:rsidP="00237A22">
      <w:pPr>
        <w:spacing w:line="276" w:lineRule="auto"/>
        <w:jc w:val="both"/>
        <w:rPr>
          <w:noProof/>
        </w:rPr>
      </w:pPr>
    </w:p>
    <w:p w14:paraId="0E212350" w14:textId="4B08CE4C" w:rsidR="007E349E" w:rsidRDefault="007E349E" w:rsidP="00237A22">
      <w:pPr>
        <w:spacing w:line="276" w:lineRule="auto"/>
        <w:jc w:val="both"/>
        <w:rPr>
          <w:noProof/>
        </w:rPr>
      </w:pPr>
      <w:r w:rsidRPr="00061E4D">
        <w:rPr>
          <w:noProof/>
        </w:rPr>
        <w:t>La COPHAN s’appuie sur l’expertise et les compétences de</w:t>
      </w:r>
      <w:r w:rsidR="00767345">
        <w:rPr>
          <w:noProof/>
        </w:rPr>
        <w:t>s personnes via</w:t>
      </w:r>
      <w:r w:rsidRPr="00061E4D">
        <w:rPr>
          <w:noProof/>
        </w:rPr>
        <w:t xml:space="preserve"> ses membres afin que leurs recommandations puissent éclairer les décisions politiques. </w:t>
      </w:r>
      <w:r w:rsidRPr="00D074D9">
        <w:rPr>
          <w:noProof/>
        </w:rPr>
        <w:t xml:space="preserve">Son mandat est </w:t>
      </w:r>
      <w:r w:rsidR="00683FF8" w:rsidRPr="00D074D9">
        <w:rPr>
          <w:noProof/>
        </w:rPr>
        <w:t xml:space="preserve">de représenter et </w:t>
      </w:r>
      <w:r w:rsidR="00AF1030" w:rsidRPr="00D074D9">
        <w:rPr>
          <w:noProof/>
        </w:rPr>
        <w:t xml:space="preserve">de défendre les droits des personnes </w:t>
      </w:r>
      <w:r w:rsidR="00142B28" w:rsidRPr="00D074D9">
        <w:rPr>
          <w:noProof/>
        </w:rPr>
        <w:t xml:space="preserve">en situation de handicap et </w:t>
      </w:r>
      <w:r w:rsidR="00953933" w:rsidRPr="00D074D9">
        <w:rPr>
          <w:noProof/>
        </w:rPr>
        <w:t xml:space="preserve">de </w:t>
      </w:r>
      <w:r w:rsidR="00AF1030" w:rsidRPr="00D074D9">
        <w:rPr>
          <w:noProof/>
        </w:rPr>
        <w:t>leurs proches</w:t>
      </w:r>
      <w:r w:rsidR="00683FF8" w:rsidRPr="00D074D9">
        <w:rPr>
          <w:noProof/>
        </w:rPr>
        <w:t xml:space="preserve"> auprès des instances décisionnelles sur les scènes fédérale et provinciale</w:t>
      </w:r>
      <w:r w:rsidR="00AF1030" w:rsidRPr="00D074D9">
        <w:rPr>
          <w:noProof/>
        </w:rPr>
        <w:t xml:space="preserve">, </w:t>
      </w:r>
      <w:r w:rsidRPr="00D074D9">
        <w:rPr>
          <w:noProof/>
        </w:rPr>
        <w:t xml:space="preserve">de favoriser la concertation, d’établir une collaboration avec le mouvement d’action communautaire autonome et </w:t>
      </w:r>
      <w:r w:rsidR="005C291B" w:rsidRPr="00D074D9">
        <w:rPr>
          <w:noProof/>
        </w:rPr>
        <w:t>s</w:t>
      </w:r>
      <w:r w:rsidRPr="00D074D9">
        <w:rPr>
          <w:noProof/>
        </w:rPr>
        <w:t>es partenaires. Elle intervient dan</w:t>
      </w:r>
      <w:r w:rsidRPr="00061E4D">
        <w:rPr>
          <w:noProof/>
        </w:rPr>
        <w:t>s le vaste domaine des politiques sociales : la santé et les services sociaux, l’habitation, la famille et l’enfance, l’éducation et la formation continue, le transport, le travail, la justice, la sécurité</w:t>
      </w:r>
      <w:r w:rsidRPr="00FC197F">
        <w:rPr>
          <w:noProof/>
        </w:rPr>
        <w:t xml:space="preserve"> du revenu, l’aide juridique, la fiscalité, les régimes de compensation des déficiences et des situations de handicap, l’accès à l’information et aux nouvelles technologies, la culture, les sports, les loisirs, etc.</w:t>
      </w:r>
    </w:p>
    <w:p w14:paraId="3765B2A5" w14:textId="538325E1" w:rsidR="004E63D8" w:rsidRDefault="004E63D8" w:rsidP="00237A22">
      <w:pPr>
        <w:spacing w:line="276" w:lineRule="auto"/>
        <w:jc w:val="both"/>
        <w:rPr>
          <w:noProof/>
        </w:rPr>
      </w:pPr>
    </w:p>
    <w:p w14:paraId="042CD5CF" w14:textId="34BFC0C5" w:rsidR="004E63D8" w:rsidRPr="00061E4D" w:rsidRDefault="00F265A1" w:rsidP="00237A22">
      <w:pPr>
        <w:spacing w:line="276" w:lineRule="auto"/>
        <w:jc w:val="both"/>
        <w:rPr>
          <w:noProof/>
        </w:rPr>
      </w:pPr>
      <w:r>
        <w:rPr>
          <w:noProof/>
        </w:rPr>
        <w:t xml:space="preserve">Nous souhaitons </w:t>
      </w:r>
      <w:r w:rsidR="004E63D8">
        <w:rPr>
          <w:noProof/>
        </w:rPr>
        <w:t>participer au débat concernant l</w:t>
      </w:r>
      <w:r w:rsidR="004E63D8" w:rsidRPr="004E63D8">
        <w:rPr>
          <w:noProof/>
        </w:rPr>
        <w:t>’élargissement de l’aide médicale à mourir</w:t>
      </w:r>
      <w:r w:rsidR="004E63D8">
        <w:rPr>
          <w:noProof/>
        </w:rPr>
        <w:t xml:space="preserve"> aux personnes en situation </w:t>
      </w:r>
      <w:r w:rsidR="00B356C2">
        <w:rPr>
          <w:noProof/>
        </w:rPr>
        <w:t xml:space="preserve">de handicap et à </w:t>
      </w:r>
      <w:r w:rsidR="00AE514B">
        <w:rPr>
          <w:noProof/>
        </w:rPr>
        <w:t xml:space="preserve">l’élargissement </w:t>
      </w:r>
      <w:r w:rsidR="00AE514B" w:rsidRPr="00AE514B">
        <w:rPr>
          <w:b/>
          <w:bCs/>
          <w:noProof/>
        </w:rPr>
        <w:t>potentiel</w:t>
      </w:r>
      <w:r w:rsidR="00B356C2">
        <w:rPr>
          <w:noProof/>
        </w:rPr>
        <w:t xml:space="preserve"> </w:t>
      </w:r>
      <w:r w:rsidR="00AE514B">
        <w:rPr>
          <w:noProof/>
        </w:rPr>
        <w:t xml:space="preserve">à celles en </w:t>
      </w:r>
      <w:r w:rsidR="00B356C2">
        <w:rPr>
          <w:noProof/>
        </w:rPr>
        <w:t xml:space="preserve">en situation </w:t>
      </w:r>
      <w:r w:rsidR="004E63D8">
        <w:rPr>
          <w:noProof/>
        </w:rPr>
        <w:t>d’inaptitude. Cependant</w:t>
      </w:r>
      <w:r w:rsidR="00AF1030">
        <w:rPr>
          <w:noProof/>
        </w:rPr>
        <w:t>,</w:t>
      </w:r>
      <w:r w:rsidR="004E63D8">
        <w:rPr>
          <w:noProof/>
        </w:rPr>
        <w:t xml:space="preserve"> nous tenons à mentionner à la Commission notre indignation concernant le moment de cette consultation : en plein été</w:t>
      </w:r>
      <w:r w:rsidR="004E63D8" w:rsidRPr="00061E4D">
        <w:rPr>
          <w:noProof/>
        </w:rPr>
        <w:t xml:space="preserve">! </w:t>
      </w:r>
      <w:r w:rsidR="00953933" w:rsidRPr="00061E4D">
        <w:rPr>
          <w:noProof/>
        </w:rPr>
        <w:t xml:space="preserve">À ce propos, nous rappelons le </w:t>
      </w:r>
      <w:hyperlink r:id="rId12" w:history="1">
        <w:r w:rsidR="00953933" w:rsidRPr="00061E4D">
          <w:rPr>
            <w:rStyle w:val="Lienhypertexte"/>
            <w:noProof/>
          </w:rPr>
          <w:t xml:space="preserve">mémoire que la COPHAN avait déposé en février 2017 </w:t>
        </w:r>
        <w:r w:rsidR="00B356C2">
          <w:rPr>
            <w:rStyle w:val="Lienhypertexte"/>
            <w:noProof/>
          </w:rPr>
          <w:t>lors de</w:t>
        </w:r>
        <w:r w:rsidR="00953933" w:rsidRPr="00061E4D">
          <w:rPr>
            <w:rStyle w:val="Lienhypertexte"/>
            <w:noProof/>
          </w:rPr>
          <w:t xml:space="preserve"> la consultation sur le Cadre de référence gouvernemental sur la participation publique</w:t>
        </w:r>
      </w:hyperlink>
      <w:r w:rsidR="00953933" w:rsidRPr="00061E4D">
        <w:rPr>
          <w:noProof/>
        </w:rPr>
        <w:t xml:space="preserve">. </w:t>
      </w:r>
      <w:r w:rsidR="00247C90" w:rsidRPr="00061E4D">
        <w:rPr>
          <w:noProof/>
        </w:rPr>
        <w:t xml:space="preserve">Les recommandations qu’il contenait sont toujours </w:t>
      </w:r>
      <w:r w:rsidR="00BA0C8D" w:rsidRPr="00061E4D">
        <w:rPr>
          <w:noProof/>
        </w:rPr>
        <w:t>d’actualité</w:t>
      </w:r>
      <w:r w:rsidR="004E63D8">
        <w:rPr>
          <w:noProof/>
        </w:rPr>
        <w:t>.</w:t>
      </w:r>
      <w:r w:rsidR="0022025B">
        <w:rPr>
          <w:noProof/>
        </w:rPr>
        <w:t xml:space="preserve"> Considérant que la première version de la Loi </w:t>
      </w:r>
      <w:r w:rsidR="0022025B" w:rsidRPr="0022025B">
        <w:rPr>
          <w:noProof/>
        </w:rPr>
        <w:t>concernant les soins de fin de vie</w:t>
      </w:r>
      <w:r w:rsidR="0022025B">
        <w:rPr>
          <w:noProof/>
        </w:rPr>
        <w:t xml:space="preserve"> a bénéficié de </w:t>
      </w:r>
      <w:r w:rsidR="00C0213B">
        <w:rPr>
          <w:noProof/>
        </w:rPr>
        <w:t>près de</w:t>
      </w:r>
      <w:r w:rsidR="0022025B">
        <w:rPr>
          <w:noProof/>
        </w:rPr>
        <w:t xml:space="preserve"> </w:t>
      </w:r>
      <w:r w:rsidR="00C0213B">
        <w:rPr>
          <w:noProof/>
        </w:rPr>
        <w:t xml:space="preserve">cinq </w:t>
      </w:r>
      <w:r w:rsidR="0022025B">
        <w:rPr>
          <w:noProof/>
        </w:rPr>
        <w:t>ans de réfl</w:t>
      </w:r>
      <w:r w:rsidR="003F3E5A">
        <w:rPr>
          <w:noProof/>
        </w:rPr>
        <w:t>e</w:t>
      </w:r>
      <w:r w:rsidR="0022025B">
        <w:rPr>
          <w:noProof/>
        </w:rPr>
        <w:t xml:space="preserve">xion pour finalement être adoptée seulement en </w:t>
      </w:r>
      <w:r w:rsidR="00C0213B">
        <w:rPr>
          <w:noProof/>
        </w:rPr>
        <w:t xml:space="preserve">juin 2014 et entrer en vigueur en décembre </w:t>
      </w:r>
      <w:r w:rsidR="0022025B">
        <w:rPr>
          <w:noProof/>
        </w:rPr>
        <w:t xml:space="preserve">2015, nous considérons que </w:t>
      </w:r>
      <w:r w:rsidR="00F222E0">
        <w:rPr>
          <w:noProof/>
        </w:rPr>
        <w:t>la réflexion sur l’élargissement de l’aide médicale à mourir aux personnes qui ne sont pas en fin de vie aurait mérité une attention tout aussi importante</w:t>
      </w:r>
      <w:r w:rsidR="0022025B">
        <w:rPr>
          <w:noProof/>
        </w:rPr>
        <w:t xml:space="preserve">. Sur des enjeux aussi </w:t>
      </w:r>
      <w:r w:rsidR="004366BB">
        <w:rPr>
          <w:noProof/>
        </w:rPr>
        <w:t>décisifs</w:t>
      </w:r>
      <w:r w:rsidR="0022025B">
        <w:rPr>
          <w:noProof/>
        </w:rPr>
        <w:t xml:space="preserve"> pour la société</w:t>
      </w:r>
      <w:r w:rsidR="00C0213B">
        <w:rPr>
          <w:noProof/>
        </w:rPr>
        <w:t xml:space="preserve"> québécoise</w:t>
      </w:r>
      <w:r w:rsidR="0022025B">
        <w:rPr>
          <w:noProof/>
        </w:rPr>
        <w:t>, nous nous serions attendus à plus de considération pour recueillir le point de vu</w:t>
      </w:r>
      <w:r w:rsidR="004366BB">
        <w:rPr>
          <w:noProof/>
        </w:rPr>
        <w:t>e</w:t>
      </w:r>
      <w:r w:rsidR="0022025B">
        <w:rPr>
          <w:noProof/>
        </w:rPr>
        <w:t xml:space="preserve"> des personnes qui sont directement concerné</w:t>
      </w:r>
      <w:r w:rsidR="004366BB">
        <w:rPr>
          <w:noProof/>
        </w:rPr>
        <w:t>e</w:t>
      </w:r>
      <w:r w:rsidR="0022025B">
        <w:rPr>
          <w:noProof/>
        </w:rPr>
        <w:t>s</w:t>
      </w:r>
      <w:r w:rsidR="00C0213B">
        <w:rPr>
          <w:noProof/>
        </w:rPr>
        <w:t xml:space="preserve"> par les nouveaux enjeux de cette loi</w:t>
      </w:r>
      <w:r w:rsidR="0022025B">
        <w:rPr>
          <w:noProof/>
        </w:rPr>
        <w:t>.</w:t>
      </w:r>
      <w:r w:rsidR="00E2505B">
        <w:rPr>
          <w:noProof/>
        </w:rPr>
        <w:t xml:space="preserve"> Nous aurions souhaité participer au processus de réflexion sur </w:t>
      </w:r>
      <w:r w:rsidR="00D30760">
        <w:rPr>
          <w:noProof/>
        </w:rPr>
        <w:t>ceux-ci</w:t>
      </w:r>
      <w:r w:rsidR="00E2505B">
        <w:rPr>
          <w:noProof/>
        </w:rPr>
        <w:t xml:space="preserve">. Nous avions demandé que les groupes représentant les personnes en situation de handicap soient consultés. Or, nous </w:t>
      </w:r>
      <w:r w:rsidR="00E2505B">
        <w:rPr>
          <w:noProof/>
        </w:rPr>
        <w:lastRenderedPageBreak/>
        <w:t xml:space="preserve">constatons </w:t>
      </w:r>
      <w:r w:rsidR="0035055B">
        <w:rPr>
          <w:noProof/>
        </w:rPr>
        <w:t xml:space="preserve">qu’aucun </w:t>
      </w:r>
      <w:r w:rsidR="00E2505B">
        <w:rPr>
          <w:noProof/>
        </w:rPr>
        <w:t>organisme</w:t>
      </w:r>
      <w:r w:rsidR="0035055B">
        <w:rPr>
          <w:noProof/>
        </w:rPr>
        <w:t xml:space="preserve"> n’est présent dans les membres du</w:t>
      </w:r>
      <w:r w:rsidR="00E2505B">
        <w:rPr>
          <w:noProof/>
        </w:rPr>
        <w:t xml:space="preserve"> </w:t>
      </w:r>
      <w:r w:rsidR="0035055B">
        <w:rPr>
          <w:noProof/>
        </w:rPr>
        <w:t xml:space="preserve">Groupe d’experts </w:t>
      </w:r>
      <w:r w:rsidR="0035055B" w:rsidRPr="0035055B">
        <w:rPr>
          <w:noProof/>
        </w:rPr>
        <w:t>sur la question de l’inaptitude et l’aide médicale à mourir</w:t>
      </w:r>
      <w:r w:rsidR="0035055B">
        <w:rPr>
          <w:noProof/>
        </w:rPr>
        <w:t xml:space="preserve"> et que seulement </w:t>
      </w:r>
      <w:r w:rsidR="00D30760">
        <w:rPr>
          <w:noProof/>
          <w:color w:val="auto"/>
        </w:rPr>
        <w:t>deux</w:t>
      </w:r>
      <w:r w:rsidR="0035055B" w:rsidRPr="00061E4D">
        <w:rPr>
          <w:noProof/>
          <w:color w:val="auto"/>
        </w:rPr>
        <w:t xml:space="preserve"> organismes ont été rencontrés par ce groupe parmi</w:t>
      </w:r>
      <w:r w:rsidR="00E2505B" w:rsidRPr="00061E4D">
        <w:rPr>
          <w:noProof/>
          <w:color w:val="auto"/>
        </w:rPr>
        <w:t xml:space="preserve"> les 22 intervenants</w:t>
      </w:r>
      <w:r w:rsidR="00745FA3" w:rsidRPr="00061E4D">
        <w:rPr>
          <w:rStyle w:val="Appelnotedebasdep"/>
          <w:noProof/>
          <w:color w:val="auto"/>
        </w:rPr>
        <w:footnoteReference w:id="1"/>
      </w:r>
      <w:r w:rsidR="0035055B" w:rsidRPr="00061E4D">
        <w:rPr>
          <w:noProof/>
          <w:color w:val="auto"/>
        </w:rPr>
        <w:t xml:space="preserve">, alors que les personnes qu’ils </w:t>
      </w:r>
      <w:r w:rsidR="0035055B" w:rsidRPr="00061E4D">
        <w:rPr>
          <w:noProof/>
        </w:rPr>
        <w:t xml:space="preserve">représentent sont les </w:t>
      </w:r>
      <w:r w:rsidR="00D30760">
        <w:rPr>
          <w:noProof/>
        </w:rPr>
        <w:t>principales</w:t>
      </w:r>
      <w:r w:rsidR="0035055B" w:rsidRPr="00061E4D">
        <w:rPr>
          <w:noProof/>
        </w:rPr>
        <w:t xml:space="preserve"> concernées par ces enjeux. Faut-il encore une fois rappel</w:t>
      </w:r>
      <w:r w:rsidR="00B15179">
        <w:rPr>
          <w:noProof/>
        </w:rPr>
        <w:t>er</w:t>
      </w:r>
      <w:r w:rsidR="0035055B" w:rsidRPr="00061E4D">
        <w:rPr>
          <w:noProof/>
        </w:rPr>
        <w:t xml:space="preserve"> notre mot d’ordre : </w:t>
      </w:r>
      <w:r w:rsidR="0035055B" w:rsidRPr="00061E4D">
        <w:rPr>
          <w:b/>
          <w:bCs/>
        </w:rPr>
        <w:t>« Rien sur nous sans nous ! »</w:t>
      </w:r>
    </w:p>
    <w:p w14:paraId="63C85E09" w14:textId="18CC6C5E" w:rsidR="0022025B" w:rsidRPr="00061E4D" w:rsidRDefault="0022025B" w:rsidP="00237A22">
      <w:pPr>
        <w:spacing w:line="276" w:lineRule="auto"/>
        <w:rPr>
          <w:noProof/>
        </w:rPr>
      </w:pPr>
    </w:p>
    <w:p w14:paraId="218A708F" w14:textId="57AED340" w:rsidR="00F265A1" w:rsidRDefault="0022025B" w:rsidP="00F265A1">
      <w:pPr>
        <w:spacing w:line="276" w:lineRule="auto"/>
        <w:jc w:val="both"/>
        <w:rPr>
          <w:noProof/>
        </w:rPr>
      </w:pPr>
      <w:r w:rsidRPr="00061E4D">
        <w:rPr>
          <w:noProof/>
        </w:rPr>
        <w:t xml:space="preserve">Cela dit, </w:t>
      </w:r>
      <w:r w:rsidR="004366BB" w:rsidRPr="00061E4D">
        <w:rPr>
          <w:noProof/>
        </w:rPr>
        <w:t>vous trouverez dans ce mémoire</w:t>
      </w:r>
      <w:r w:rsidRPr="00061E4D">
        <w:rPr>
          <w:noProof/>
        </w:rPr>
        <w:t xml:space="preserve"> notre position concernant </w:t>
      </w:r>
      <w:r w:rsidR="004366BB" w:rsidRPr="00061E4D">
        <w:rPr>
          <w:noProof/>
        </w:rPr>
        <w:t xml:space="preserve">un possible </w:t>
      </w:r>
      <w:r w:rsidRPr="00061E4D">
        <w:rPr>
          <w:noProof/>
        </w:rPr>
        <w:t>élargissement de l’aide médicale à mourir aux personnes en situation d’inaptitude</w:t>
      </w:r>
      <w:r w:rsidR="00F265A1">
        <w:rPr>
          <w:noProof/>
        </w:rPr>
        <w:t xml:space="preserve"> ainsi que des éléments à prendre en considération pour l’élargissement de </w:t>
      </w:r>
      <w:r w:rsidR="00F265A1" w:rsidRPr="00061E4D">
        <w:rPr>
          <w:noProof/>
        </w:rPr>
        <w:t>l’aide médicale à mourir aux personnes en situation</w:t>
      </w:r>
      <w:r w:rsidR="00F265A1">
        <w:rPr>
          <w:noProof/>
        </w:rPr>
        <w:t xml:space="preserve"> de handicap</w:t>
      </w:r>
      <w:r w:rsidR="00745FA3" w:rsidRPr="00061E4D">
        <w:rPr>
          <w:rStyle w:val="Marquedecommentaire"/>
          <w:noProof/>
          <w:sz w:val="24"/>
          <w:szCs w:val="24"/>
        </w:rPr>
        <w:t>.</w:t>
      </w:r>
      <w:r w:rsidR="00F265A1">
        <w:rPr>
          <w:rStyle w:val="Marquedecommentaire"/>
          <w:noProof/>
          <w:sz w:val="24"/>
          <w:szCs w:val="24"/>
        </w:rPr>
        <w:t xml:space="preserve"> Nous appuyons également la position d</w:t>
      </w:r>
      <w:r w:rsidR="007231DD">
        <w:rPr>
          <w:rStyle w:val="Marquedecommentaire"/>
          <w:noProof/>
          <w:sz w:val="24"/>
          <w:szCs w:val="24"/>
        </w:rPr>
        <w:t xml:space="preserve">e </w:t>
      </w:r>
      <w:r w:rsidR="00C20C1D">
        <w:rPr>
          <w:rStyle w:val="Marquedecommentaire"/>
          <w:noProof/>
          <w:sz w:val="24"/>
          <w:szCs w:val="24"/>
        </w:rPr>
        <w:t>l’</w:t>
      </w:r>
      <w:r w:rsidR="00C20C1D" w:rsidRPr="00C20C1D">
        <w:rPr>
          <w:rStyle w:val="Marquedecommentaire"/>
          <w:noProof/>
          <w:sz w:val="24"/>
          <w:szCs w:val="24"/>
        </w:rPr>
        <w:t>Office des personnes handicapées du Québec</w:t>
      </w:r>
      <w:r w:rsidR="00C20C1D">
        <w:rPr>
          <w:rStyle w:val="Marquedecommentaire"/>
          <w:noProof/>
          <w:sz w:val="24"/>
          <w:szCs w:val="24"/>
        </w:rPr>
        <w:t xml:space="preserve"> </w:t>
      </w:r>
      <w:r w:rsidR="007231DD">
        <w:rPr>
          <w:rStyle w:val="Marquedecommentaire"/>
          <w:noProof/>
          <w:sz w:val="24"/>
          <w:szCs w:val="24"/>
        </w:rPr>
        <w:t xml:space="preserve">et du </w:t>
      </w:r>
      <w:r w:rsidR="00C20C1D" w:rsidRPr="00C20C1D">
        <w:rPr>
          <w:rStyle w:val="Marquedecommentaire"/>
          <w:noProof/>
          <w:sz w:val="24"/>
          <w:szCs w:val="24"/>
        </w:rPr>
        <w:t>Réseau communautaire en santé mentale</w:t>
      </w:r>
      <w:r w:rsidR="00C20C1D">
        <w:rPr>
          <w:rStyle w:val="Marquedecommentaire"/>
          <w:noProof/>
          <w:sz w:val="24"/>
          <w:szCs w:val="24"/>
        </w:rPr>
        <w:t xml:space="preserve"> </w:t>
      </w:r>
      <w:r w:rsidR="00C20C1D" w:rsidRPr="00C20C1D">
        <w:rPr>
          <w:rStyle w:val="Marquedecommentaire"/>
          <w:noProof/>
          <w:sz w:val="24"/>
          <w:szCs w:val="24"/>
        </w:rPr>
        <w:t>(</w:t>
      </w:r>
      <w:r w:rsidR="007231DD" w:rsidRPr="00C20C1D">
        <w:rPr>
          <w:rStyle w:val="Marquedecommentaire"/>
          <w:noProof/>
          <w:sz w:val="24"/>
          <w:szCs w:val="24"/>
        </w:rPr>
        <w:t>COSME</w:t>
      </w:r>
      <w:r w:rsidR="00C20C1D" w:rsidRPr="00C20C1D">
        <w:rPr>
          <w:rStyle w:val="Marquedecommentaire"/>
          <w:noProof/>
          <w:sz w:val="24"/>
          <w:szCs w:val="24"/>
        </w:rPr>
        <w:t>)</w:t>
      </w:r>
      <w:r w:rsidR="007231DD">
        <w:rPr>
          <w:rStyle w:val="Marquedecommentaire"/>
          <w:noProof/>
          <w:sz w:val="24"/>
          <w:szCs w:val="24"/>
        </w:rPr>
        <w:t xml:space="preserve"> </w:t>
      </w:r>
      <w:r w:rsidR="00F265A1">
        <w:rPr>
          <w:rStyle w:val="Marquedecommentaire"/>
          <w:noProof/>
          <w:sz w:val="24"/>
          <w:szCs w:val="24"/>
        </w:rPr>
        <w:t xml:space="preserve">recommandant plus de réflexion avant de penser à élargir </w:t>
      </w:r>
      <w:r w:rsidR="00F265A1" w:rsidRPr="00061E4D">
        <w:rPr>
          <w:noProof/>
        </w:rPr>
        <w:t>l’aide médicale à mourir</w:t>
      </w:r>
      <w:r w:rsidR="00F265A1">
        <w:rPr>
          <w:noProof/>
        </w:rPr>
        <w:t xml:space="preserve"> aux personnes </w:t>
      </w:r>
      <w:r w:rsidR="00D074D9" w:rsidRPr="00D074D9">
        <w:rPr>
          <w:noProof/>
        </w:rPr>
        <w:t>dont le seul problème médical est un trouble mental</w:t>
      </w:r>
      <w:r w:rsidR="00F265A1">
        <w:rPr>
          <w:noProof/>
        </w:rPr>
        <w:t>.</w:t>
      </w:r>
    </w:p>
    <w:p w14:paraId="570CD193" w14:textId="77777777" w:rsidR="00F265A1" w:rsidRDefault="00F265A1" w:rsidP="00F265A1">
      <w:pPr>
        <w:spacing w:line="276" w:lineRule="auto"/>
        <w:jc w:val="both"/>
        <w:rPr>
          <w:noProof/>
        </w:rPr>
      </w:pPr>
    </w:p>
    <w:p w14:paraId="4C2A0EA6" w14:textId="3B531DE8" w:rsidR="00C0213B" w:rsidRPr="00061E4D" w:rsidRDefault="00BD48F6" w:rsidP="00237A22">
      <w:pPr>
        <w:spacing w:line="276" w:lineRule="auto"/>
        <w:jc w:val="both"/>
        <w:rPr>
          <w:noProof/>
        </w:rPr>
      </w:pPr>
      <w:r w:rsidRPr="00061E4D">
        <w:rPr>
          <w:noProof/>
        </w:rPr>
        <w:t xml:space="preserve">Les principes </w:t>
      </w:r>
      <w:r w:rsidR="00975BB0" w:rsidRPr="00061E4D">
        <w:rPr>
          <w:noProof/>
        </w:rPr>
        <w:t xml:space="preserve">qui </w:t>
      </w:r>
      <w:r w:rsidRPr="00061E4D">
        <w:rPr>
          <w:noProof/>
        </w:rPr>
        <w:t>ont guidé notre réflexion</w:t>
      </w:r>
      <w:r w:rsidR="00975BB0" w:rsidRPr="00061E4D">
        <w:rPr>
          <w:noProof/>
        </w:rPr>
        <w:t xml:space="preserve"> </w:t>
      </w:r>
      <w:r w:rsidR="004366BB" w:rsidRPr="00061E4D">
        <w:rPr>
          <w:noProof/>
        </w:rPr>
        <w:t>sont les suivants</w:t>
      </w:r>
      <w:r w:rsidRPr="00061E4D">
        <w:rPr>
          <w:noProof/>
        </w:rPr>
        <w:t xml:space="preserve"> : </w:t>
      </w:r>
      <w:bookmarkStart w:id="5" w:name="_Hlk79416424"/>
      <w:r w:rsidRPr="00061E4D">
        <w:rPr>
          <w:noProof/>
        </w:rPr>
        <w:t>l’autodétermination des personnes, le respect de leur dignité</w:t>
      </w:r>
      <w:r w:rsidR="00C0213B" w:rsidRPr="00061E4D">
        <w:rPr>
          <w:noProof/>
        </w:rPr>
        <w:t>,</w:t>
      </w:r>
      <w:r w:rsidR="00975BB0" w:rsidRPr="00061E4D">
        <w:rPr>
          <w:noProof/>
        </w:rPr>
        <w:t xml:space="preserve"> </w:t>
      </w:r>
      <w:r w:rsidR="00C0213B" w:rsidRPr="00061E4D">
        <w:rPr>
          <w:noProof/>
        </w:rPr>
        <w:t xml:space="preserve">leur aptitude à comprendre les enjeux entourant l’aide médicale à mourir </w:t>
      </w:r>
      <w:r w:rsidR="00975BB0" w:rsidRPr="00061E4D">
        <w:rPr>
          <w:noProof/>
        </w:rPr>
        <w:t>et</w:t>
      </w:r>
      <w:r w:rsidRPr="00061E4D">
        <w:rPr>
          <w:noProof/>
        </w:rPr>
        <w:t xml:space="preserve"> l’évaluation de leur</w:t>
      </w:r>
      <w:r w:rsidR="004366BB" w:rsidRPr="00061E4D">
        <w:rPr>
          <w:noProof/>
        </w:rPr>
        <w:t>s</w:t>
      </w:r>
      <w:r w:rsidRPr="00061E4D">
        <w:rPr>
          <w:noProof/>
        </w:rPr>
        <w:t xml:space="preserve"> besoin</w:t>
      </w:r>
      <w:r w:rsidR="004366BB" w:rsidRPr="00061E4D">
        <w:rPr>
          <w:noProof/>
        </w:rPr>
        <w:t>s</w:t>
      </w:r>
      <w:r w:rsidRPr="00061E4D">
        <w:rPr>
          <w:noProof/>
        </w:rPr>
        <w:t xml:space="preserve"> basé</w:t>
      </w:r>
      <w:r w:rsidR="004366BB" w:rsidRPr="00061E4D">
        <w:rPr>
          <w:noProof/>
        </w:rPr>
        <w:t>e</w:t>
      </w:r>
      <w:r w:rsidRPr="00061E4D">
        <w:rPr>
          <w:noProof/>
        </w:rPr>
        <w:t xml:space="preserve"> non pas sur un diagnostic</w:t>
      </w:r>
      <w:r w:rsidR="00B15179">
        <w:rPr>
          <w:noProof/>
        </w:rPr>
        <w:t>,</w:t>
      </w:r>
      <w:r w:rsidRPr="00061E4D">
        <w:rPr>
          <w:noProof/>
        </w:rPr>
        <w:t xml:space="preserve"> mais sur leurs souffrances.</w:t>
      </w:r>
      <w:bookmarkEnd w:id="5"/>
    </w:p>
    <w:p w14:paraId="5EB4F67B" w14:textId="401B08B9" w:rsidR="00C0213B" w:rsidRPr="00061E4D" w:rsidRDefault="00C0213B" w:rsidP="00237A22">
      <w:pPr>
        <w:spacing w:line="276" w:lineRule="auto"/>
        <w:jc w:val="both"/>
        <w:rPr>
          <w:noProof/>
        </w:rPr>
      </w:pPr>
    </w:p>
    <w:p w14:paraId="72397168" w14:textId="498D0675" w:rsidR="00BD48F6" w:rsidRPr="00061E4D" w:rsidRDefault="00BD48F6" w:rsidP="0035055B">
      <w:pPr>
        <w:spacing w:line="276" w:lineRule="auto"/>
        <w:jc w:val="both"/>
        <w:rPr>
          <w:noProof/>
        </w:rPr>
      </w:pPr>
      <w:r w:rsidRPr="00061E4D">
        <w:rPr>
          <w:noProof/>
        </w:rPr>
        <w:t xml:space="preserve">À ce titre, nous </w:t>
      </w:r>
      <w:r w:rsidR="00FA37DC">
        <w:rPr>
          <w:noProof/>
        </w:rPr>
        <w:t>sommes favorables à</w:t>
      </w:r>
      <w:r w:rsidRPr="00061E4D">
        <w:rPr>
          <w:noProof/>
        </w:rPr>
        <w:t xml:space="preserve"> l’accès de l’aide médicale à mourir aux personnes </w:t>
      </w:r>
      <w:r w:rsidR="00FA37DC">
        <w:rPr>
          <w:noProof/>
        </w:rPr>
        <w:t>en situation d’inaptitude, à la condition que des balises et des outils soient développés afin d’encadrer cette démarche</w:t>
      </w:r>
      <w:r w:rsidRPr="00061E4D">
        <w:rPr>
          <w:noProof/>
        </w:rPr>
        <w:t xml:space="preserve">. </w:t>
      </w:r>
      <w:bookmarkStart w:id="6" w:name="_Hlk79416543"/>
      <w:r w:rsidR="00DF4DFD" w:rsidRPr="00D074D9">
        <w:rPr>
          <w:noProof/>
        </w:rPr>
        <w:t>À noter que dans ce mémoire, lorsque nous parlons de personne en situation d’inaptitude, nous parlons exclusivement de l’inaptitude à consentir à un soin</w:t>
      </w:r>
      <w:r w:rsidR="00430331" w:rsidRPr="00D074D9">
        <w:rPr>
          <w:noProof/>
        </w:rPr>
        <w:t>, parce que l’inaptitude peut varier selon le champ de compétence concerné.</w:t>
      </w:r>
      <w:r w:rsidR="00430331">
        <w:rPr>
          <w:noProof/>
        </w:rPr>
        <w:t xml:space="preserve"> </w:t>
      </w:r>
      <w:bookmarkEnd w:id="6"/>
      <w:r w:rsidRPr="00061E4D">
        <w:rPr>
          <w:noProof/>
        </w:rPr>
        <w:t>Nous acceptons le consentement anticipé pour les personnes qui ont reçu un diagnostic de maladie dégénérative</w:t>
      </w:r>
      <w:r w:rsidR="004366BB" w:rsidRPr="00061E4D">
        <w:rPr>
          <w:noProof/>
        </w:rPr>
        <w:t xml:space="preserve"> ayant des conséquences à terme sur leurs capacités cognitives</w:t>
      </w:r>
      <w:r w:rsidRPr="00061E4D">
        <w:rPr>
          <w:noProof/>
        </w:rPr>
        <w:t xml:space="preserve">. Cependant, nous recommandons que les personnes qui deviennent inaptes à la suite d’un </w:t>
      </w:r>
      <w:r w:rsidR="0035055B" w:rsidRPr="00061E4D">
        <w:rPr>
          <w:noProof/>
        </w:rPr>
        <w:t>« </w:t>
      </w:r>
      <w:r w:rsidRPr="00061E4D">
        <w:rPr>
          <w:noProof/>
        </w:rPr>
        <w:t xml:space="preserve">accident </w:t>
      </w:r>
      <w:r w:rsidR="0035055B" w:rsidRPr="00061E4D">
        <w:rPr>
          <w:noProof/>
        </w:rPr>
        <w:t xml:space="preserve">soudain et inattendu », même </w:t>
      </w:r>
      <w:r w:rsidR="000372C5" w:rsidRPr="00061E4D">
        <w:rPr>
          <w:noProof/>
        </w:rPr>
        <w:t>si</w:t>
      </w:r>
      <w:r w:rsidR="0035055B" w:rsidRPr="00061E4D">
        <w:rPr>
          <w:noProof/>
        </w:rPr>
        <w:t xml:space="preserve"> </w:t>
      </w:r>
      <w:r w:rsidR="000372C5" w:rsidRPr="00061E4D">
        <w:rPr>
          <w:noProof/>
        </w:rPr>
        <w:t>cet év</w:t>
      </w:r>
      <w:r w:rsidR="00B970AD">
        <w:rPr>
          <w:noProof/>
        </w:rPr>
        <w:t>è</w:t>
      </w:r>
      <w:r w:rsidR="000372C5" w:rsidRPr="00061E4D">
        <w:rPr>
          <w:noProof/>
        </w:rPr>
        <w:t xml:space="preserve">nement </w:t>
      </w:r>
      <w:r w:rsidR="0035055B" w:rsidRPr="00061E4D">
        <w:rPr>
          <w:noProof/>
        </w:rPr>
        <w:t>entra</w:t>
      </w:r>
      <w:r w:rsidR="00C26220">
        <w:rPr>
          <w:noProof/>
        </w:rPr>
        <w:t>î</w:t>
      </w:r>
      <w:r w:rsidR="0035055B" w:rsidRPr="00061E4D">
        <w:rPr>
          <w:noProof/>
        </w:rPr>
        <w:t>ne des séquelles graves et irréversibles</w:t>
      </w:r>
      <w:r w:rsidR="000372C5" w:rsidRPr="00061E4D">
        <w:rPr>
          <w:noProof/>
        </w:rPr>
        <w:t>,</w:t>
      </w:r>
      <w:r w:rsidR="0035055B" w:rsidRPr="00061E4D">
        <w:rPr>
          <w:noProof/>
        </w:rPr>
        <w:t xml:space="preserve"> </w:t>
      </w:r>
      <w:r w:rsidRPr="00061E4D">
        <w:rPr>
          <w:noProof/>
        </w:rPr>
        <w:t xml:space="preserve">ne puissent </w:t>
      </w:r>
      <w:r w:rsidR="00910170" w:rsidRPr="00061E4D">
        <w:rPr>
          <w:noProof/>
        </w:rPr>
        <w:t xml:space="preserve">pas </w:t>
      </w:r>
      <w:r w:rsidRPr="00061E4D">
        <w:rPr>
          <w:noProof/>
        </w:rPr>
        <w:t>avoir accès à l’aide médicale à mourir</w:t>
      </w:r>
      <w:r w:rsidR="00F54C6B" w:rsidRPr="00061E4D">
        <w:rPr>
          <w:noProof/>
        </w:rPr>
        <w:t xml:space="preserve"> sur la base d’un consentement anticipé</w:t>
      </w:r>
      <w:r w:rsidR="00910170" w:rsidRPr="00061E4D">
        <w:rPr>
          <w:noProof/>
        </w:rPr>
        <w:t xml:space="preserve">. </w:t>
      </w:r>
      <w:r w:rsidR="000372C5" w:rsidRPr="00061E4D">
        <w:rPr>
          <w:noProof/>
        </w:rPr>
        <w:t xml:space="preserve">Nous justifions notre position par le fait que </w:t>
      </w:r>
      <w:r w:rsidR="00F54C6B" w:rsidRPr="00061E4D">
        <w:rPr>
          <w:noProof/>
        </w:rPr>
        <w:t>les séquelles peuvent vari</w:t>
      </w:r>
      <w:r w:rsidR="000372C5" w:rsidRPr="00061E4D">
        <w:rPr>
          <w:noProof/>
        </w:rPr>
        <w:t>er</w:t>
      </w:r>
      <w:r w:rsidR="00F54C6B" w:rsidRPr="00061E4D">
        <w:rPr>
          <w:noProof/>
        </w:rPr>
        <w:t xml:space="preserve"> </w:t>
      </w:r>
      <w:r w:rsidR="000372C5" w:rsidRPr="00061E4D">
        <w:rPr>
          <w:noProof/>
        </w:rPr>
        <w:t xml:space="preserve">énormément </w:t>
      </w:r>
      <w:r w:rsidR="00F54C6B" w:rsidRPr="00061E4D">
        <w:rPr>
          <w:noProof/>
        </w:rPr>
        <w:t>d’une personne à l’autre</w:t>
      </w:r>
      <w:r w:rsidR="000372C5" w:rsidRPr="00061E4D">
        <w:rPr>
          <w:noProof/>
        </w:rPr>
        <w:t xml:space="preserve">. </w:t>
      </w:r>
      <w:r w:rsidR="00F32929" w:rsidRPr="00061E4D">
        <w:rPr>
          <w:noProof/>
        </w:rPr>
        <w:t>Un consentement anticipé</w:t>
      </w:r>
      <w:r w:rsidR="000372C5" w:rsidRPr="00061E4D">
        <w:rPr>
          <w:noProof/>
        </w:rPr>
        <w:t xml:space="preserve"> pour ces conditions de santé équivaut à baser un choix de soins de fin de vie</w:t>
      </w:r>
      <w:r w:rsidR="00F54C6B" w:rsidRPr="00061E4D">
        <w:rPr>
          <w:noProof/>
        </w:rPr>
        <w:t xml:space="preserve"> sur un diagnostic et non </w:t>
      </w:r>
      <w:r w:rsidR="000372C5" w:rsidRPr="00061E4D">
        <w:rPr>
          <w:noProof/>
        </w:rPr>
        <w:t>sur</w:t>
      </w:r>
      <w:r w:rsidR="00F54C6B" w:rsidRPr="00061E4D">
        <w:rPr>
          <w:noProof/>
        </w:rPr>
        <w:t xml:space="preserve"> des souffrances</w:t>
      </w:r>
      <w:r w:rsidR="00F32929" w:rsidRPr="00061E4D">
        <w:rPr>
          <w:noProof/>
        </w:rPr>
        <w:t xml:space="preserve"> occasionnées par ces conditions de santé</w:t>
      </w:r>
      <w:r w:rsidR="00F54C6B" w:rsidRPr="00061E4D">
        <w:rPr>
          <w:noProof/>
        </w:rPr>
        <w:t xml:space="preserve">. </w:t>
      </w:r>
      <w:r w:rsidR="003B5074">
        <w:rPr>
          <w:noProof/>
        </w:rPr>
        <w:t>L</w:t>
      </w:r>
      <w:r w:rsidR="003B5074" w:rsidRPr="00061E4D">
        <w:rPr>
          <w:noProof/>
        </w:rPr>
        <w:t>es personnes qui deviennent inaptes à la suite d’un « accident soudain et inattendu »</w:t>
      </w:r>
      <w:r w:rsidR="00DF4DFD">
        <w:rPr>
          <w:noProof/>
        </w:rPr>
        <w:t xml:space="preserve"> pourrai</w:t>
      </w:r>
      <w:r w:rsidR="003B5074">
        <w:rPr>
          <w:noProof/>
        </w:rPr>
        <w:t>en</w:t>
      </w:r>
      <w:r w:rsidR="00DF4DFD">
        <w:rPr>
          <w:noProof/>
        </w:rPr>
        <w:t xml:space="preserve">t toutefois avoir accès à l’aide médicale à mourir dans les mêmes conditions qu’une personne ayant toujours été inapte. </w:t>
      </w:r>
      <w:r w:rsidR="004366BB" w:rsidRPr="00061E4D">
        <w:rPr>
          <w:noProof/>
        </w:rPr>
        <w:t xml:space="preserve">Afin de répondre aux besoins de </w:t>
      </w:r>
      <w:r w:rsidR="00975BB0" w:rsidRPr="00061E4D">
        <w:rPr>
          <w:noProof/>
        </w:rPr>
        <w:t>celles-ci</w:t>
      </w:r>
      <w:r w:rsidR="004366BB" w:rsidRPr="00061E4D">
        <w:rPr>
          <w:noProof/>
        </w:rPr>
        <w:t>, nous sommes d’avis que le</w:t>
      </w:r>
      <w:r w:rsidR="00420C08" w:rsidRPr="00061E4D">
        <w:rPr>
          <w:noProof/>
        </w:rPr>
        <w:t xml:space="preserve"> gouvernement, sous la responsabilité du</w:t>
      </w:r>
      <w:r w:rsidR="00910170" w:rsidRPr="00061E4D">
        <w:rPr>
          <w:noProof/>
        </w:rPr>
        <w:t xml:space="preserve"> ministère de la </w:t>
      </w:r>
      <w:r w:rsidR="004366BB" w:rsidRPr="00061E4D">
        <w:rPr>
          <w:noProof/>
        </w:rPr>
        <w:t>S</w:t>
      </w:r>
      <w:r w:rsidR="00910170" w:rsidRPr="00061E4D">
        <w:rPr>
          <w:noProof/>
        </w:rPr>
        <w:t xml:space="preserve">anté et des </w:t>
      </w:r>
      <w:r w:rsidR="004366BB" w:rsidRPr="00061E4D">
        <w:rPr>
          <w:noProof/>
        </w:rPr>
        <w:t>S</w:t>
      </w:r>
      <w:r w:rsidR="00910170" w:rsidRPr="00061E4D">
        <w:rPr>
          <w:noProof/>
        </w:rPr>
        <w:t>ervices sociaux</w:t>
      </w:r>
      <w:r w:rsidR="00420C08" w:rsidRPr="00061E4D">
        <w:rPr>
          <w:noProof/>
        </w:rPr>
        <w:t xml:space="preserve">, </w:t>
      </w:r>
      <w:r w:rsidR="00420C08" w:rsidRPr="00061E4D">
        <w:rPr>
          <w:noProof/>
        </w:rPr>
        <w:lastRenderedPageBreak/>
        <w:t>de la Régie de l’assurance maladie du Québec ou autre ministère ou organisme gouvernementa</w:t>
      </w:r>
      <w:r w:rsidR="00573300">
        <w:rPr>
          <w:noProof/>
        </w:rPr>
        <w:t>l</w:t>
      </w:r>
      <w:r w:rsidR="00420C08" w:rsidRPr="00061E4D">
        <w:rPr>
          <w:noProof/>
        </w:rPr>
        <w:t>,</w:t>
      </w:r>
      <w:r w:rsidR="00910170" w:rsidRPr="00061E4D">
        <w:rPr>
          <w:noProof/>
        </w:rPr>
        <w:t xml:space="preserve"> devrait plutôt encourager davantage la population québécoise à remplir son formulaire de directives médicales anticipées</w:t>
      </w:r>
      <w:r w:rsidR="00420C08" w:rsidRPr="00061E4D">
        <w:rPr>
          <w:noProof/>
        </w:rPr>
        <w:t>. Il serait aussi approprié de mener une réflexion sur l’ajout possible de choix de traitements</w:t>
      </w:r>
      <w:r w:rsidR="00D00307" w:rsidRPr="00061E4D">
        <w:rPr>
          <w:noProof/>
        </w:rPr>
        <w:t xml:space="preserve"> </w:t>
      </w:r>
      <w:r w:rsidR="00420C08" w:rsidRPr="00061E4D">
        <w:rPr>
          <w:noProof/>
        </w:rPr>
        <w:t>dans le formulaire de directives médicales anticipées</w:t>
      </w:r>
      <w:r w:rsidR="00910170" w:rsidRPr="00061E4D">
        <w:rPr>
          <w:noProof/>
        </w:rPr>
        <w:t xml:space="preserve">. </w:t>
      </w:r>
    </w:p>
    <w:p w14:paraId="227DFED1" w14:textId="6069C0E3" w:rsidR="007E349E" w:rsidRPr="00061E4D" w:rsidRDefault="007E349E" w:rsidP="00237A22">
      <w:pPr>
        <w:spacing w:line="276" w:lineRule="auto"/>
        <w:jc w:val="both"/>
        <w:rPr>
          <w:noProof/>
        </w:rPr>
      </w:pPr>
    </w:p>
    <w:p w14:paraId="56B869C9" w14:textId="74AAD097" w:rsidR="005E40F6" w:rsidRPr="00061E4D" w:rsidRDefault="00910170" w:rsidP="00237A22">
      <w:pPr>
        <w:spacing w:line="276" w:lineRule="auto"/>
        <w:jc w:val="both"/>
        <w:rPr>
          <w:noProof/>
        </w:rPr>
      </w:pPr>
      <w:r w:rsidRPr="00061E4D">
        <w:rPr>
          <w:noProof/>
        </w:rPr>
        <w:t>Nos</w:t>
      </w:r>
      <w:r w:rsidR="005E40F6" w:rsidRPr="00061E4D">
        <w:rPr>
          <w:noProof/>
        </w:rPr>
        <w:t xml:space="preserve"> recommandations visent </w:t>
      </w:r>
      <w:r w:rsidR="00E04BEB" w:rsidRPr="00061E4D">
        <w:rPr>
          <w:noProof/>
        </w:rPr>
        <w:t xml:space="preserve">aussi </w:t>
      </w:r>
      <w:r w:rsidR="005E40F6" w:rsidRPr="00061E4D">
        <w:rPr>
          <w:noProof/>
        </w:rPr>
        <w:t xml:space="preserve">à assurer </w:t>
      </w:r>
      <w:r w:rsidR="00E04BEB" w:rsidRPr="00061E4D">
        <w:rPr>
          <w:noProof/>
        </w:rPr>
        <w:t xml:space="preserve">à toute </w:t>
      </w:r>
      <w:r w:rsidR="005E40F6" w:rsidRPr="00061E4D">
        <w:rPr>
          <w:noProof/>
        </w:rPr>
        <w:t xml:space="preserve">personne </w:t>
      </w:r>
      <w:r w:rsidRPr="00061E4D">
        <w:rPr>
          <w:noProof/>
        </w:rPr>
        <w:t>en situation de handicap</w:t>
      </w:r>
      <w:r w:rsidR="005E40F6" w:rsidRPr="00061E4D">
        <w:rPr>
          <w:noProof/>
        </w:rPr>
        <w:t xml:space="preserve"> </w:t>
      </w:r>
      <w:r w:rsidR="005E694A" w:rsidRPr="00061E4D">
        <w:rPr>
          <w:noProof/>
        </w:rPr>
        <w:t xml:space="preserve">l’exercice de leurs droits, sans préjugés ni discrimination à leur égard et </w:t>
      </w:r>
      <w:r w:rsidR="005E40F6" w:rsidRPr="00061E4D">
        <w:rPr>
          <w:noProof/>
        </w:rPr>
        <w:t>le plein pouvoir sur leur fin de vie.</w:t>
      </w:r>
      <w:r w:rsidRPr="00061E4D">
        <w:rPr>
          <w:noProof/>
        </w:rPr>
        <w:t xml:space="preserve"> Dans cet objectif nous faisons toutefois plusieurs recommandations afin de s’assurer du consentement libre et éclairé des personnes, surtout lorsqu’il s’agit d’élargir l’accès à l’aide médicale à mourir aux personnes inaptes. </w:t>
      </w:r>
      <w:r w:rsidR="00B246BD" w:rsidRPr="00061E4D">
        <w:t>Cela dit, tous les principes sur lesquels nous basons notre position, tous les outils et les balises que nous recommandons de mettre en place s’appliquent autant aux personnes inaptes qu’à toute personne en situation de handicap</w:t>
      </w:r>
      <w:r w:rsidR="00E04BEB" w:rsidRPr="00061E4D">
        <w:t xml:space="preserve"> demandant l’accès à l’aide médicale à mourir</w:t>
      </w:r>
      <w:r w:rsidR="00B246BD" w:rsidRPr="00061E4D">
        <w:t>.</w:t>
      </w:r>
    </w:p>
    <w:p w14:paraId="70E03073" w14:textId="77777777" w:rsidR="005E40F6" w:rsidRPr="00061E4D" w:rsidRDefault="005E40F6" w:rsidP="00237A22">
      <w:pPr>
        <w:spacing w:line="276" w:lineRule="auto"/>
        <w:jc w:val="both"/>
        <w:rPr>
          <w:noProof/>
        </w:rPr>
      </w:pPr>
    </w:p>
    <w:p w14:paraId="2027AAA0" w14:textId="612AB39B" w:rsidR="007E349E" w:rsidRPr="00061E4D" w:rsidRDefault="00975BB0" w:rsidP="00C0213B">
      <w:pPr>
        <w:spacing w:line="276" w:lineRule="auto"/>
        <w:jc w:val="both"/>
        <w:rPr>
          <w:rFonts w:cs="Arial"/>
          <w:b/>
          <w:bCs/>
          <w:kern w:val="32"/>
          <w:sz w:val="32"/>
          <w:szCs w:val="32"/>
          <w:lang w:eastAsia="fr-FR"/>
        </w:rPr>
      </w:pPr>
      <w:r w:rsidRPr="00061E4D">
        <w:rPr>
          <w:noProof/>
          <w:color w:val="auto"/>
        </w:rPr>
        <w:t>Enfin, nous voulons insister sur le fait que, a</w:t>
      </w:r>
      <w:r w:rsidR="001255E2" w:rsidRPr="00061E4D">
        <w:rPr>
          <w:noProof/>
          <w:color w:val="auto"/>
        </w:rPr>
        <w:t xml:space="preserve">vant même de penser à « mourir dans la dignité » comme </w:t>
      </w:r>
      <w:r w:rsidR="00F328FF" w:rsidRPr="00061E4D">
        <w:rPr>
          <w:noProof/>
          <w:color w:val="auto"/>
        </w:rPr>
        <w:t>on disait dans les années 2010</w:t>
      </w:r>
      <w:r w:rsidR="001255E2" w:rsidRPr="00061E4D">
        <w:rPr>
          <w:noProof/>
          <w:color w:val="auto"/>
        </w:rPr>
        <w:t xml:space="preserve">, il faut s’assurer de mettre en place des services </w:t>
      </w:r>
      <w:r w:rsidR="00F328FF" w:rsidRPr="00061E4D">
        <w:rPr>
          <w:noProof/>
          <w:color w:val="auto"/>
        </w:rPr>
        <w:t xml:space="preserve">et des bonnes pratiques de soins </w:t>
      </w:r>
      <w:r w:rsidR="001255E2" w:rsidRPr="00061E4D">
        <w:rPr>
          <w:noProof/>
          <w:color w:val="auto"/>
        </w:rPr>
        <w:t xml:space="preserve">pour </w:t>
      </w:r>
      <w:r w:rsidR="00F328FF" w:rsidRPr="00061E4D">
        <w:rPr>
          <w:noProof/>
          <w:color w:val="auto"/>
        </w:rPr>
        <w:t xml:space="preserve">que les personnes en situation de handicap </w:t>
      </w:r>
      <w:r w:rsidR="001255E2" w:rsidRPr="00061E4D">
        <w:rPr>
          <w:noProof/>
          <w:color w:val="auto"/>
        </w:rPr>
        <w:t xml:space="preserve">puissent </w:t>
      </w:r>
      <w:r w:rsidR="001255E2" w:rsidRPr="00061E4D">
        <w:rPr>
          <w:b/>
          <w:bCs/>
          <w:noProof/>
          <w:color w:val="auto"/>
        </w:rPr>
        <w:t>vivre dans la dignité</w:t>
      </w:r>
      <w:r w:rsidR="00F328FF" w:rsidRPr="00061E4D">
        <w:rPr>
          <w:noProof/>
          <w:color w:val="auto"/>
        </w:rPr>
        <w:t xml:space="preserve"> au quotidien et avoir une participation sociale pleine et entière.</w:t>
      </w:r>
      <w:r w:rsidR="001255E2" w:rsidRPr="00061E4D">
        <w:rPr>
          <w:noProof/>
          <w:color w:val="auto"/>
        </w:rPr>
        <w:t xml:space="preserve"> </w:t>
      </w:r>
      <w:r w:rsidR="0022025B" w:rsidRPr="00061E4D">
        <w:rPr>
          <w:noProof/>
          <w:color w:val="auto"/>
        </w:rPr>
        <w:t>Nous commen</w:t>
      </w:r>
      <w:r w:rsidR="00D66A58">
        <w:rPr>
          <w:noProof/>
          <w:color w:val="auto"/>
        </w:rPr>
        <w:t>ç</w:t>
      </w:r>
      <w:r w:rsidR="005E40F6" w:rsidRPr="00061E4D">
        <w:rPr>
          <w:noProof/>
          <w:color w:val="auto"/>
        </w:rPr>
        <w:t>o</w:t>
      </w:r>
      <w:r w:rsidR="0022025B" w:rsidRPr="00061E4D">
        <w:rPr>
          <w:noProof/>
          <w:color w:val="auto"/>
        </w:rPr>
        <w:t xml:space="preserve">ns </w:t>
      </w:r>
      <w:r w:rsidR="001255E2" w:rsidRPr="00061E4D">
        <w:rPr>
          <w:noProof/>
          <w:color w:val="auto"/>
        </w:rPr>
        <w:t xml:space="preserve">donc </w:t>
      </w:r>
      <w:r w:rsidR="00910170" w:rsidRPr="00061E4D">
        <w:rPr>
          <w:noProof/>
          <w:color w:val="auto"/>
        </w:rPr>
        <w:t>ce</w:t>
      </w:r>
      <w:r w:rsidR="005E40F6" w:rsidRPr="00061E4D">
        <w:rPr>
          <w:noProof/>
          <w:color w:val="auto"/>
        </w:rPr>
        <w:t xml:space="preserve"> mémoire </w:t>
      </w:r>
      <w:r w:rsidR="001255E2" w:rsidRPr="00061E4D">
        <w:rPr>
          <w:noProof/>
          <w:color w:val="auto"/>
        </w:rPr>
        <w:t xml:space="preserve">en rappelant plusieurs principes que nous avions mis de l’avant dans </w:t>
      </w:r>
      <w:r w:rsidR="00910170" w:rsidRPr="00061E4D">
        <w:rPr>
          <w:noProof/>
          <w:color w:val="auto"/>
        </w:rPr>
        <w:t>celui</w:t>
      </w:r>
      <w:r w:rsidR="001255E2" w:rsidRPr="00061E4D">
        <w:rPr>
          <w:noProof/>
          <w:color w:val="auto"/>
        </w:rPr>
        <w:t xml:space="preserve"> de 2010</w:t>
      </w:r>
      <w:r w:rsidR="0022025B" w:rsidRPr="00061E4D">
        <w:rPr>
          <w:noProof/>
          <w:color w:val="auto"/>
        </w:rPr>
        <w:t>.</w:t>
      </w:r>
      <w:r w:rsidR="001255E2" w:rsidRPr="00061E4D">
        <w:rPr>
          <w:noProof/>
          <w:color w:val="auto"/>
        </w:rPr>
        <w:t xml:space="preserve"> Ils sont à la base à la fois d’une </w:t>
      </w:r>
      <w:r w:rsidR="00F07AED" w:rsidRPr="00061E4D">
        <w:rPr>
          <w:noProof/>
          <w:color w:val="auto"/>
        </w:rPr>
        <w:t xml:space="preserve">vie digne </w:t>
      </w:r>
      <w:r w:rsidR="001255E2" w:rsidRPr="00061E4D">
        <w:rPr>
          <w:noProof/>
          <w:color w:val="auto"/>
        </w:rPr>
        <w:t xml:space="preserve">et du respect des volontés </w:t>
      </w:r>
      <w:r w:rsidR="00F07AED" w:rsidRPr="00061E4D">
        <w:rPr>
          <w:noProof/>
          <w:color w:val="auto"/>
        </w:rPr>
        <w:t xml:space="preserve">pour toutes les </w:t>
      </w:r>
      <w:r w:rsidR="001255E2" w:rsidRPr="00061E4D">
        <w:rPr>
          <w:noProof/>
          <w:color w:val="auto"/>
        </w:rPr>
        <w:t>personne</w:t>
      </w:r>
      <w:r w:rsidR="00F07AED" w:rsidRPr="00061E4D">
        <w:rPr>
          <w:noProof/>
          <w:color w:val="auto"/>
        </w:rPr>
        <w:t>s</w:t>
      </w:r>
      <w:r w:rsidR="001255E2" w:rsidRPr="00061E4D">
        <w:rPr>
          <w:noProof/>
          <w:color w:val="auto"/>
        </w:rPr>
        <w:t xml:space="preserve"> en situation de handicap tout au long de </w:t>
      </w:r>
      <w:r w:rsidR="00F07AED" w:rsidRPr="00061E4D">
        <w:rPr>
          <w:noProof/>
          <w:color w:val="auto"/>
        </w:rPr>
        <w:t>leur</w:t>
      </w:r>
      <w:r w:rsidR="001255E2" w:rsidRPr="00061E4D">
        <w:rPr>
          <w:noProof/>
          <w:color w:val="auto"/>
        </w:rPr>
        <w:t xml:space="preserve"> vie jusqu’à </w:t>
      </w:r>
      <w:r w:rsidR="00F07AED" w:rsidRPr="00061E4D">
        <w:rPr>
          <w:noProof/>
          <w:color w:val="auto"/>
        </w:rPr>
        <w:t>leur</w:t>
      </w:r>
      <w:r w:rsidR="001255E2" w:rsidRPr="00061E4D">
        <w:rPr>
          <w:noProof/>
          <w:color w:val="auto"/>
        </w:rPr>
        <w:t>s choix de soins de fin de vie</w:t>
      </w:r>
      <w:r w:rsidR="00910170" w:rsidRPr="00061E4D">
        <w:rPr>
          <w:noProof/>
          <w:color w:val="auto"/>
        </w:rPr>
        <w:t xml:space="preserve"> et, éventuellement, si telle est leur volonté, de l</w:t>
      </w:r>
      <w:r w:rsidR="00910170" w:rsidRPr="00061E4D">
        <w:rPr>
          <w:noProof/>
        </w:rPr>
        <w:t>’aide médicale à mourir</w:t>
      </w:r>
      <w:r w:rsidR="001255E2" w:rsidRPr="00061E4D">
        <w:rPr>
          <w:noProof/>
          <w:color w:val="auto"/>
        </w:rPr>
        <w:t>.</w:t>
      </w:r>
      <w:r w:rsidR="007E349E" w:rsidRPr="00061E4D">
        <w:rPr>
          <w:rFonts w:cs="Arial"/>
        </w:rPr>
        <w:br w:type="page"/>
      </w:r>
    </w:p>
    <w:p w14:paraId="7C385968" w14:textId="77777777" w:rsidR="005826B3" w:rsidRPr="00061E4D" w:rsidRDefault="005826B3" w:rsidP="00237A22">
      <w:pPr>
        <w:pStyle w:val="Titre"/>
        <w:pBdr>
          <w:bottom w:val="none" w:sz="0" w:space="0" w:color="auto"/>
        </w:pBdr>
        <w:outlineLvl w:val="0"/>
        <w:rPr>
          <w:b/>
          <w:sz w:val="36"/>
          <w:szCs w:val="36"/>
        </w:rPr>
      </w:pPr>
      <w:bookmarkStart w:id="7" w:name="_Toc79671855"/>
      <w:bookmarkStart w:id="8" w:name="_Toc367793279"/>
      <w:bookmarkStart w:id="9" w:name="_Toc367800658"/>
      <w:r w:rsidRPr="00061E4D">
        <w:rPr>
          <w:b/>
          <w:sz w:val="36"/>
          <w:szCs w:val="36"/>
        </w:rPr>
        <w:lastRenderedPageBreak/>
        <w:t>Le respect de la personne et de la dignité humaine, sans compromis</w:t>
      </w:r>
      <w:bookmarkEnd w:id="7"/>
    </w:p>
    <w:p w14:paraId="47B7B068" w14:textId="0422FDFE" w:rsidR="00B22D5B" w:rsidRPr="00061E4D" w:rsidRDefault="00847ABD" w:rsidP="00237A22">
      <w:pPr>
        <w:spacing w:line="276" w:lineRule="auto"/>
        <w:jc w:val="both"/>
        <w:rPr>
          <w:noProof/>
        </w:rPr>
      </w:pPr>
      <w:r w:rsidRPr="00061E4D">
        <w:rPr>
          <w:noProof/>
        </w:rPr>
        <w:t xml:space="preserve">Rappelons ici que plusieurs facteurs sociaux ont un impact sur la santé d’une personne. C’est ce qu’on appelle les déterminants sociaux de la santé. Ce sont, entre autres, </w:t>
      </w:r>
      <w:r w:rsidRPr="00061E4D">
        <w:t>l’éducation, le revenu, le travail, le milieu de vie, le logement et l’accès aux services.</w:t>
      </w:r>
      <w:r w:rsidRPr="00061E4D">
        <w:rPr>
          <w:noProof/>
        </w:rPr>
        <w:t xml:space="preserve"> Or, les personnes en situation de hand</w:t>
      </w:r>
      <w:r w:rsidR="00FA5233" w:rsidRPr="00061E4D">
        <w:rPr>
          <w:noProof/>
        </w:rPr>
        <w:t>ic</w:t>
      </w:r>
      <w:r w:rsidRPr="00061E4D">
        <w:rPr>
          <w:noProof/>
        </w:rPr>
        <w:t xml:space="preserve">ap vivent plusieurs </w:t>
      </w:r>
      <w:r w:rsidR="00FA5233" w:rsidRPr="00061E4D">
        <w:rPr>
          <w:noProof/>
        </w:rPr>
        <w:t>inégalités sociales (moins scolarisées, moins présentes sur le marché du travail), des inégalités dans leurs conditions de vie (logement, loisirs)</w:t>
      </w:r>
      <w:r w:rsidR="002C766A" w:rsidRPr="00061E4D">
        <w:rPr>
          <w:rStyle w:val="Appelnotedebasdep"/>
          <w:noProof/>
        </w:rPr>
        <w:footnoteReference w:id="2"/>
      </w:r>
      <w:r w:rsidR="00FA5233" w:rsidRPr="00061E4D">
        <w:rPr>
          <w:noProof/>
        </w:rPr>
        <w:t>. Or, « ces conditions socioéconomiques défavorables ont une incidence certaine sur la santé physique et mentale des personnes ayant des limitations »</w:t>
      </w:r>
      <w:r w:rsidR="002C766A" w:rsidRPr="00061E4D">
        <w:rPr>
          <w:rStyle w:val="Appelnotedebasdep"/>
          <w:noProof/>
        </w:rPr>
        <w:t xml:space="preserve"> </w:t>
      </w:r>
      <w:r w:rsidR="002C766A" w:rsidRPr="00061E4D">
        <w:rPr>
          <w:rStyle w:val="Appelnotedebasdep"/>
          <w:noProof/>
        </w:rPr>
        <w:footnoteReference w:id="3"/>
      </w:r>
      <w:r w:rsidR="002C766A" w:rsidRPr="00061E4D">
        <w:rPr>
          <w:noProof/>
        </w:rPr>
        <w:t>. C</w:t>
      </w:r>
      <w:r w:rsidR="000124EC" w:rsidRPr="00061E4D">
        <w:rPr>
          <w:noProof/>
        </w:rPr>
        <w:t>es personnes ont également un accès inéquitable au système de santé, avec de multiples obstacles, autant pour le coût de services non assurés, le manque de services spécialisés, la non-accessibilité des lieux physiques, etc.</w:t>
      </w:r>
    </w:p>
    <w:p w14:paraId="5DA89FB5" w14:textId="77777777" w:rsidR="000124EC" w:rsidRPr="00061E4D" w:rsidRDefault="000124EC" w:rsidP="00237A22">
      <w:pPr>
        <w:spacing w:line="276" w:lineRule="auto"/>
        <w:jc w:val="both"/>
        <w:rPr>
          <w:noProof/>
        </w:rPr>
      </w:pPr>
    </w:p>
    <w:p w14:paraId="2FC5DCD2" w14:textId="62DA6258" w:rsidR="00154E1B" w:rsidRDefault="005826B3" w:rsidP="00686F30">
      <w:pPr>
        <w:spacing w:line="276" w:lineRule="auto"/>
        <w:jc w:val="both"/>
        <w:rPr>
          <w:noProof/>
        </w:rPr>
      </w:pPr>
      <w:r w:rsidRPr="00061E4D">
        <w:rPr>
          <w:noProof/>
        </w:rPr>
        <w:t xml:space="preserve">L’élargissement de l’accès à l’aide médicale à mourir, dans </w:t>
      </w:r>
      <w:r w:rsidR="000124EC" w:rsidRPr="00061E4D">
        <w:rPr>
          <w:noProof/>
        </w:rPr>
        <w:t xml:space="preserve">ce </w:t>
      </w:r>
      <w:r w:rsidRPr="00061E4D">
        <w:rPr>
          <w:noProof/>
        </w:rPr>
        <w:t>contexte</w:t>
      </w:r>
      <w:r w:rsidR="000124EC" w:rsidRPr="00061E4D">
        <w:rPr>
          <w:noProof/>
        </w:rPr>
        <w:t>, ajouté à la situation</w:t>
      </w:r>
      <w:r w:rsidRPr="00061E4D">
        <w:rPr>
          <w:noProof/>
        </w:rPr>
        <w:t xml:space="preserve"> actuel</w:t>
      </w:r>
      <w:r w:rsidR="000124EC" w:rsidRPr="00061E4D">
        <w:rPr>
          <w:noProof/>
        </w:rPr>
        <w:t>le</w:t>
      </w:r>
      <w:r w:rsidRPr="00061E4D">
        <w:rPr>
          <w:noProof/>
        </w:rPr>
        <w:t xml:space="preserve"> de coupures dans les services de soutien à </w:t>
      </w:r>
      <w:r w:rsidR="00987253" w:rsidRPr="00061E4D">
        <w:rPr>
          <w:noProof/>
        </w:rPr>
        <w:t>la personne</w:t>
      </w:r>
      <w:r w:rsidRPr="00061E4D">
        <w:rPr>
          <w:noProof/>
        </w:rPr>
        <w:t>, l’accès diffic</w:t>
      </w:r>
      <w:r w:rsidR="00F07AED" w:rsidRPr="00061E4D">
        <w:rPr>
          <w:noProof/>
        </w:rPr>
        <w:t>i</w:t>
      </w:r>
      <w:r w:rsidRPr="00061E4D">
        <w:rPr>
          <w:noProof/>
        </w:rPr>
        <w:t>le à des services sociaux ou en santé mentale, nous f</w:t>
      </w:r>
      <w:r w:rsidR="0080427C" w:rsidRPr="00061E4D">
        <w:rPr>
          <w:noProof/>
        </w:rPr>
        <w:t>ai</w:t>
      </w:r>
      <w:r w:rsidRPr="00061E4D">
        <w:rPr>
          <w:noProof/>
        </w:rPr>
        <w:t>t craindre que l’aide médicale à mourir puisse être une option choisie pour de mauvaises raisons par des personnes en situation de handicap.</w:t>
      </w:r>
      <w:r w:rsidR="00154E1B">
        <w:rPr>
          <w:noProof/>
        </w:rPr>
        <w:t xml:space="preserve"> </w:t>
      </w:r>
      <w:r w:rsidR="0053729D" w:rsidRPr="002931CB">
        <w:rPr>
          <w:noProof/>
        </w:rPr>
        <w:t>En d’autres mots</w:t>
      </w:r>
      <w:r w:rsidR="0066408B" w:rsidRPr="002931CB">
        <w:rPr>
          <w:noProof/>
        </w:rPr>
        <w:t xml:space="preserve">, </w:t>
      </w:r>
      <w:r w:rsidR="0053729D" w:rsidRPr="002931CB">
        <w:rPr>
          <w:noProof/>
        </w:rPr>
        <w:t xml:space="preserve">ces personnes </w:t>
      </w:r>
      <w:r w:rsidR="0066408B" w:rsidRPr="002931CB">
        <w:rPr>
          <w:noProof/>
        </w:rPr>
        <w:t>pourraient</w:t>
      </w:r>
      <w:r w:rsidR="0053729D" w:rsidRPr="002931CB">
        <w:rPr>
          <w:noProof/>
        </w:rPr>
        <w:t xml:space="preserve"> </w:t>
      </w:r>
      <w:r w:rsidR="0066408B" w:rsidRPr="002931CB">
        <w:rPr>
          <w:noProof/>
        </w:rPr>
        <w:t xml:space="preserve">demander </w:t>
      </w:r>
      <w:r w:rsidR="0053729D" w:rsidRPr="002931CB">
        <w:rPr>
          <w:noProof/>
        </w:rPr>
        <w:t>l’aide médicale à mourir, « </w:t>
      </w:r>
      <w:r w:rsidR="0053729D" w:rsidRPr="002931CB">
        <w:t>fatigué[es] de se battre pour avoir accès à des soins », tel que le relate</w:t>
      </w:r>
      <w:r w:rsidR="00686F30" w:rsidRPr="002931CB">
        <w:rPr>
          <w:noProof/>
        </w:rPr>
        <w:t xml:space="preserve"> Timothy Stainton, professeur de l’Université de Colombie-Britannique </w:t>
      </w:r>
      <w:r w:rsidR="0053729D" w:rsidRPr="002931CB">
        <w:rPr>
          <w:noProof/>
        </w:rPr>
        <w:t>en s’appuyant sur</w:t>
      </w:r>
      <w:r w:rsidR="00686F30" w:rsidRPr="002931CB">
        <w:rPr>
          <w:noProof/>
        </w:rPr>
        <w:t xml:space="preserve"> plusieurs exemples dans son mémoire déposé dans le cadre de cette consultation</w:t>
      </w:r>
      <w:r w:rsidR="00686F30" w:rsidRPr="002931CB">
        <w:rPr>
          <w:rStyle w:val="Appelnotedebasdep"/>
          <w:noProof/>
        </w:rPr>
        <w:footnoteReference w:id="4"/>
      </w:r>
      <w:r w:rsidR="00686F30" w:rsidRPr="002931CB">
        <w:rPr>
          <w:noProof/>
        </w:rPr>
        <w:t>,</w:t>
      </w:r>
      <w:r w:rsidR="0053729D" w:rsidRPr="002931CB">
        <w:rPr>
          <w:noProof/>
        </w:rPr>
        <w:t xml:space="preserve"> </w:t>
      </w:r>
      <w:r w:rsidR="00686F30" w:rsidRPr="002931CB">
        <w:rPr>
          <w:noProof/>
        </w:rPr>
        <w:t>dans une section judicieusement appelée « L’AMM comme substitut à des mesures de soutien acceptables pour les personnes handicapées ».</w:t>
      </w:r>
    </w:p>
    <w:p w14:paraId="477C50E7" w14:textId="77777777" w:rsidR="00154E1B" w:rsidRDefault="00154E1B" w:rsidP="00237A22">
      <w:pPr>
        <w:spacing w:line="276" w:lineRule="auto"/>
        <w:jc w:val="both"/>
        <w:rPr>
          <w:noProof/>
        </w:rPr>
      </w:pPr>
    </w:p>
    <w:p w14:paraId="7AD5B0E7" w14:textId="54B539EE" w:rsidR="005826B3" w:rsidRPr="00061E4D" w:rsidRDefault="006D49F6" w:rsidP="00237A22">
      <w:pPr>
        <w:spacing w:line="276" w:lineRule="auto"/>
        <w:jc w:val="both"/>
        <w:rPr>
          <w:noProof/>
        </w:rPr>
      </w:pPr>
      <w:r w:rsidRPr="00061E4D">
        <w:rPr>
          <w:noProof/>
        </w:rPr>
        <w:t>De plus, c</w:t>
      </w:r>
      <w:r w:rsidR="00F07AED" w:rsidRPr="00061E4D">
        <w:rPr>
          <w:noProof/>
        </w:rPr>
        <w:t>et élargissement ouvre</w:t>
      </w:r>
      <w:r w:rsidR="005826B3" w:rsidRPr="00061E4D">
        <w:rPr>
          <w:noProof/>
        </w:rPr>
        <w:t xml:space="preserve"> la porte à une discrimination envers les personnes </w:t>
      </w:r>
      <w:r w:rsidR="00D164BF" w:rsidRPr="00061E4D">
        <w:rPr>
          <w:noProof/>
        </w:rPr>
        <w:t>en situation de handicap</w:t>
      </w:r>
      <w:r w:rsidR="005826B3" w:rsidRPr="00061E4D">
        <w:rPr>
          <w:noProof/>
        </w:rPr>
        <w:t xml:space="preserve"> gravement malades ou dans leurs derniers mois de vie.</w:t>
      </w:r>
    </w:p>
    <w:p w14:paraId="7AE1CE12" w14:textId="43AB78C8" w:rsidR="000E3E66" w:rsidRPr="00061E4D" w:rsidRDefault="000E3E66" w:rsidP="00237A22">
      <w:pPr>
        <w:spacing w:line="276" w:lineRule="auto"/>
        <w:jc w:val="both"/>
        <w:rPr>
          <w:noProof/>
        </w:rPr>
      </w:pPr>
    </w:p>
    <w:p w14:paraId="24456E65" w14:textId="4CFA271C" w:rsidR="000E3E66" w:rsidRPr="00061E4D" w:rsidRDefault="00686F30" w:rsidP="00237A22">
      <w:pPr>
        <w:spacing w:line="276" w:lineRule="auto"/>
        <w:jc w:val="both"/>
        <w:rPr>
          <w:noProof/>
        </w:rPr>
      </w:pPr>
      <w:r>
        <w:rPr>
          <w:noProof/>
        </w:rPr>
        <w:t>À nouveau, l</w:t>
      </w:r>
      <w:r w:rsidR="000E3E66" w:rsidRPr="00061E4D">
        <w:rPr>
          <w:noProof/>
        </w:rPr>
        <w:t>es propos de Tim</w:t>
      </w:r>
      <w:r>
        <w:rPr>
          <w:noProof/>
        </w:rPr>
        <w:t>othy</w:t>
      </w:r>
      <w:r w:rsidR="000E3E66" w:rsidRPr="00061E4D">
        <w:rPr>
          <w:noProof/>
        </w:rPr>
        <w:t xml:space="preserve"> Stainton</w:t>
      </w:r>
      <w:r w:rsidR="00BA0C8D" w:rsidRPr="00061E4D">
        <w:rPr>
          <w:noProof/>
        </w:rPr>
        <w:t>,</w:t>
      </w:r>
      <w:r w:rsidR="000E3E66" w:rsidRPr="00061E4D">
        <w:rPr>
          <w:noProof/>
        </w:rPr>
        <w:t xml:space="preserve"> illustre</w:t>
      </w:r>
      <w:r w:rsidR="00C26220">
        <w:rPr>
          <w:noProof/>
        </w:rPr>
        <w:t>nt</w:t>
      </w:r>
      <w:r w:rsidR="000E3E66" w:rsidRPr="00061E4D">
        <w:rPr>
          <w:noProof/>
        </w:rPr>
        <w:t xml:space="preserve"> bien ces craintes</w:t>
      </w:r>
      <w:r>
        <w:rPr>
          <w:rStyle w:val="Appelnotedebasdep"/>
          <w:noProof/>
        </w:rPr>
        <w:footnoteReference w:id="5"/>
      </w:r>
      <w:r w:rsidR="000E3E66" w:rsidRPr="00061E4D">
        <w:rPr>
          <w:noProof/>
        </w:rPr>
        <w:t> :</w:t>
      </w:r>
    </w:p>
    <w:p w14:paraId="48B7880B" w14:textId="086C3E26" w:rsidR="000E3E66" w:rsidRPr="00061E4D" w:rsidRDefault="000E3E66" w:rsidP="00061E4D">
      <w:pPr>
        <w:spacing w:line="276" w:lineRule="auto"/>
        <w:ind w:left="709"/>
        <w:jc w:val="both"/>
        <w:rPr>
          <w:noProof/>
        </w:rPr>
      </w:pPr>
      <w:r w:rsidRPr="00061E4D">
        <w:rPr>
          <w:rStyle w:val="CitationCar"/>
        </w:rPr>
        <w:t>«</w:t>
      </w:r>
      <w:r w:rsidR="003F17CA">
        <w:rPr>
          <w:rStyle w:val="CitationCar"/>
        </w:rPr>
        <w:t> </w:t>
      </w:r>
      <w:r w:rsidRPr="00061E4D">
        <w:rPr>
          <w:rStyle w:val="CitationCar"/>
        </w:rPr>
        <w:t xml:space="preserve">Si l'expansion de l’AMM </w:t>
      </w:r>
      <w:r w:rsidR="00413680" w:rsidRPr="00061E4D">
        <w:rPr>
          <w:rStyle w:val="CitationCar"/>
        </w:rPr>
        <w:t xml:space="preserve">[Aide médicale à mourir] </w:t>
      </w:r>
      <w:r w:rsidRPr="00061E4D">
        <w:rPr>
          <w:rStyle w:val="CitationCar"/>
        </w:rPr>
        <w:t xml:space="preserve">a été motivée par le désir de mettre fin à la souffrance et de respecter l'autonomie des personnes, ce faisant, nous avons créé un risque important pour les personnes handicapées. Le débat juridique sur l’AMM a toujours consisté à trouver un équilibre entre le respect du </w:t>
      </w:r>
      <w:r w:rsidRPr="00061E4D">
        <w:rPr>
          <w:rStyle w:val="CitationCar"/>
        </w:rPr>
        <w:lastRenderedPageBreak/>
        <w:t>droit des individus à décider de la façon dont ils terminent leur vie et la protection des personnes vulnérables. Je suis d'avis que cet équilibre s'est maintenant déplacé vers un déséquilibre dangereux qui crée des risques extrêmes que les personnes handicapées meurent désormais non pas par désir de mettre fin à leur vie, mais par désespoir ou par manque de services qui leur permettraient de vivre la meilleure vie possible avec leur handicap. Elles seront de plus en plus victimes d’un monde qui considère leur vie comme ayant moins de valeur, comme étant une souffrance inévitable et ne valant pas la peine d’être vécue. Nous disposons désormais</w:t>
      </w:r>
      <w:r w:rsidRPr="00061E4D">
        <w:t xml:space="preserve"> </w:t>
      </w:r>
      <w:r w:rsidRPr="00061E4D">
        <w:rPr>
          <w:i/>
          <w:iCs/>
        </w:rPr>
        <w:t>de suffisamment de preuves pour montrer qu’il ne s’agit pas d’une préoccupation hypothétique</w:t>
      </w:r>
      <w:r w:rsidRPr="00061E4D">
        <w:t>.</w:t>
      </w:r>
      <w:r w:rsidR="003F17CA">
        <w:t> </w:t>
      </w:r>
      <w:r w:rsidRPr="00061E4D">
        <w:t>»</w:t>
      </w:r>
    </w:p>
    <w:p w14:paraId="12B3FF90" w14:textId="1E5FEACA" w:rsidR="005826B3" w:rsidRPr="00061E4D" w:rsidRDefault="005826B3" w:rsidP="00237A22">
      <w:pPr>
        <w:spacing w:line="276" w:lineRule="auto"/>
        <w:jc w:val="both"/>
        <w:rPr>
          <w:noProof/>
        </w:rPr>
      </w:pPr>
    </w:p>
    <w:p w14:paraId="7C52BBCD" w14:textId="4D9E4891" w:rsidR="003250CB" w:rsidRPr="00061E4D" w:rsidRDefault="00F07AED" w:rsidP="00237A22">
      <w:pPr>
        <w:spacing w:line="276" w:lineRule="auto"/>
        <w:jc w:val="both"/>
        <w:rPr>
          <w:noProof/>
        </w:rPr>
      </w:pPr>
      <w:r w:rsidRPr="00061E4D">
        <w:rPr>
          <w:noProof/>
        </w:rPr>
        <w:t>Afin d’éviter des dérapages</w:t>
      </w:r>
      <w:r w:rsidR="006B7F33" w:rsidRPr="00061E4D">
        <w:rPr>
          <w:noProof/>
        </w:rPr>
        <w:t>,</w:t>
      </w:r>
      <w:r w:rsidRPr="00061E4D">
        <w:rPr>
          <w:noProof/>
        </w:rPr>
        <w:t xml:space="preserve"> nous </w:t>
      </w:r>
      <w:r w:rsidR="00D164BF" w:rsidRPr="00061E4D">
        <w:rPr>
          <w:noProof/>
        </w:rPr>
        <w:t>insist</w:t>
      </w:r>
      <w:r w:rsidR="007359A5" w:rsidRPr="00061E4D">
        <w:rPr>
          <w:noProof/>
        </w:rPr>
        <w:t>ons</w:t>
      </w:r>
      <w:r w:rsidR="00D164BF" w:rsidRPr="00061E4D">
        <w:rPr>
          <w:noProof/>
        </w:rPr>
        <w:t xml:space="preserve"> à nouveau sur le respect </w:t>
      </w:r>
      <w:r w:rsidR="005826B3" w:rsidRPr="00061E4D">
        <w:rPr>
          <w:noProof/>
        </w:rPr>
        <w:t>de la personne et de la dignité humaine</w:t>
      </w:r>
      <w:r w:rsidR="00D164BF" w:rsidRPr="00061E4D">
        <w:rPr>
          <w:noProof/>
        </w:rPr>
        <w:t>. Cela</w:t>
      </w:r>
      <w:r w:rsidR="005826B3" w:rsidRPr="00061E4D">
        <w:rPr>
          <w:noProof/>
        </w:rPr>
        <w:t xml:space="preserve"> signifie </w:t>
      </w:r>
      <w:r w:rsidR="00D164BF" w:rsidRPr="00061E4D">
        <w:rPr>
          <w:noProof/>
        </w:rPr>
        <w:t xml:space="preserve">de </w:t>
      </w:r>
      <w:r w:rsidR="005826B3" w:rsidRPr="00061E4D">
        <w:rPr>
          <w:noProof/>
        </w:rPr>
        <w:t xml:space="preserve">respecter la diversité humaine, en reconnaissant la valeur de chaque individu. Cette reconnaissance devrait conduire à soutenir les personnes </w:t>
      </w:r>
      <w:r w:rsidR="00D164BF" w:rsidRPr="00061E4D">
        <w:rPr>
          <w:noProof/>
        </w:rPr>
        <w:t xml:space="preserve">en situation de handicap </w:t>
      </w:r>
      <w:r w:rsidR="005826B3" w:rsidRPr="00061E4D">
        <w:rPr>
          <w:noProof/>
        </w:rPr>
        <w:t>et leur famille et à compenser les coûts liés aux incapacités plutôt qu’à tenter d’évaluer la valeur d’une personne selon des principes économiques. La dignité ne renvoie pas à l’état de santé d’une personne, mais à la façon dont elle est traitée, aux soins et services qu’elle reçoit au nom du respect humain.</w:t>
      </w:r>
    </w:p>
    <w:p w14:paraId="4C52B060" w14:textId="77777777" w:rsidR="00EC451C" w:rsidRPr="00061E4D" w:rsidRDefault="00EC451C" w:rsidP="00237A22">
      <w:pPr>
        <w:spacing w:line="276" w:lineRule="auto"/>
        <w:jc w:val="both"/>
        <w:rPr>
          <w:noProof/>
        </w:rPr>
      </w:pPr>
    </w:p>
    <w:p w14:paraId="60BF190E" w14:textId="71221CEA" w:rsidR="005826B3" w:rsidRPr="00061E4D" w:rsidRDefault="005826B3" w:rsidP="00237A22">
      <w:pPr>
        <w:spacing w:line="276" w:lineRule="auto"/>
        <w:jc w:val="both"/>
        <w:rPr>
          <w:noProof/>
        </w:rPr>
      </w:pPr>
      <w:r w:rsidRPr="00061E4D">
        <w:rPr>
          <w:noProof/>
        </w:rPr>
        <w:t>Enfin, même</w:t>
      </w:r>
      <w:r w:rsidR="00D164BF" w:rsidRPr="00061E4D">
        <w:rPr>
          <w:noProof/>
        </w:rPr>
        <w:t xml:space="preserve"> si</w:t>
      </w:r>
      <w:r w:rsidRPr="00061E4D">
        <w:rPr>
          <w:noProof/>
        </w:rPr>
        <w:t xml:space="preserve"> </w:t>
      </w:r>
      <w:r w:rsidR="003250CB" w:rsidRPr="00061E4D">
        <w:rPr>
          <w:noProof/>
        </w:rPr>
        <w:t>l’aide médicale à mourir est présentée</w:t>
      </w:r>
      <w:r w:rsidRPr="00061E4D">
        <w:rPr>
          <w:noProof/>
        </w:rPr>
        <w:t xml:space="preserve"> comme </w:t>
      </w:r>
      <w:r w:rsidR="003250CB" w:rsidRPr="00061E4D">
        <w:rPr>
          <w:noProof/>
        </w:rPr>
        <w:t>un</w:t>
      </w:r>
      <w:r w:rsidRPr="00061E4D">
        <w:rPr>
          <w:noProof/>
        </w:rPr>
        <w:t xml:space="preserve"> choix personnel, on ne peut </w:t>
      </w:r>
      <w:r w:rsidR="00D164BF" w:rsidRPr="00061E4D">
        <w:rPr>
          <w:noProof/>
        </w:rPr>
        <w:t>la</w:t>
      </w:r>
      <w:r w:rsidRPr="00061E4D">
        <w:rPr>
          <w:noProof/>
        </w:rPr>
        <w:t xml:space="preserve"> penser en dehors des valeurs sociales partagées par </w:t>
      </w:r>
      <w:r w:rsidR="003250CB" w:rsidRPr="00061E4D">
        <w:rPr>
          <w:noProof/>
        </w:rPr>
        <w:t>la société québécoise</w:t>
      </w:r>
      <w:r w:rsidRPr="00061E4D">
        <w:rPr>
          <w:noProof/>
        </w:rPr>
        <w:t xml:space="preserve">. Force est de constater, quand nous examinons les conditions de vie des personnes </w:t>
      </w:r>
      <w:r w:rsidR="00D164BF" w:rsidRPr="00061E4D">
        <w:rPr>
          <w:noProof/>
        </w:rPr>
        <w:t>en situation de handicap</w:t>
      </w:r>
      <w:r w:rsidRPr="00061E4D">
        <w:rPr>
          <w:noProof/>
        </w:rPr>
        <w:t xml:space="preserve">, que bien du chemin reste à parcourir pour leur assurer un traitement exempt de préjugés. </w:t>
      </w:r>
      <w:r w:rsidR="003250CB" w:rsidRPr="00061E4D">
        <w:rPr>
          <w:noProof/>
        </w:rPr>
        <w:t>Par souci de respect de l’autodétermination des personnes en situation de handicap, n</w:t>
      </w:r>
      <w:r w:rsidRPr="00061E4D">
        <w:rPr>
          <w:noProof/>
        </w:rPr>
        <w:t xml:space="preserve">ous </w:t>
      </w:r>
      <w:r w:rsidR="003250CB" w:rsidRPr="00061E4D">
        <w:rPr>
          <w:noProof/>
        </w:rPr>
        <w:t>ne nous opposons pas à l’élargissement de l’</w:t>
      </w:r>
      <w:r w:rsidR="00D164BF" w:rsidRPr="00061E4D">
        <w:rPr>
          <w:noProof/>
        </w:rPr>
        <w:t>a</w:t>
      </w:r>
      <w:r w:rsidR="003250CB" w:rsidRPr="00061E4D">
        <w:rPr>
          <w:noProof/>
        </w:rPr>
        <w:t xml:space="preserve">ide médicale à mourir aux personnes en situation d’inaptitude, mais nous </w:t>
      </w:r>
      <w:r w:rsidRPr="00061E4D">
        <w:rPr>
          <w:noProof/>
        </w:rPr>
        <w:t xml:space="preserve">demandons que des balises strictes basées sur ce premier principe fassent obligatoirement partie de toute mesure </w:t>
      </w:r>
      <w:r w:rsidR="003250CB" w:rsidRPr="00061E4D">
        <w:rPr>
          <w:noProof/>
        </w:rPr>
        <w:t>menant à cet élargissement</w:t>
      </w:r>
      <w:r w:rsidR="0080427C" w:rsidRPr="00061E4D">
        <w:rPr>
          <w:noProof/>
        </w:rPr>
        <w:t xml:space="preserve"> et soient déterminées avant que </w:t>
      </w:r>
      <w:r w:rsidR="00BA0C8D" w:rsidRPr="00061E4D">
        <w:rPr>
          <w:noProof/>
        </w:rPr>
        <w:t xml:space="preserve">les éventuels changements </w:t>
      </w:r>
      <w:r w:rsidR="0091045E">
        <w:rPr>
          <w:noProof/>
        </w:rPr>
        <w:t>à</w:t>
      </w:r>
      <w:r w:rsidR="00BA0C8D" w:rsidRPr="00061E4D">
        <w:rPr>
          <w:noProof/>
        </w:rPr>
        <w:t xml:space="preserve"> la Loi n’entrent en vigueur</w:t>
      </w:r>
      <w:r w:rsidR="0080427C" w:rsidRPr="00061E4D">
        <w:rPr>
          <w:noProof/>
        </w:rPr>
        <w:t>.</w:t>
      </w:r>
    </w:p>
    <w:p w14:paraId="57E06F8F" w14:textId="5824A61A" w:rsidR="0080427C" w:rsidRPr="00061E4D" w:rsidRDefault="0080427C" w:rsidP="00237A22">
      <w:pPr>
        <w:spacing w:line="276" w:lineRule="auto"/>
        <w:jc w:val="both"/>
        <w:rPr>
          <w:noProof/>
        </w:rPr>
      </w:pPr>
    </w:p>
    <w:p w14:paraId="0C8910E3" w14:textId="77777777" w:rsidR="0080427C" w:rsidRPr="00061E4D" w:rsidRDefault="0080427C" w:rsidP="00E95782">
      <w:pPr>
        <w:pStyle w:val="Titre2"/>
      </w:pPr>
      <w:bookmarkStart w:id="11" w:name="_Toc79671856"/>
      <w:r w:rsidRPr="00061E4D">
        <w:t>Recommandation 1</w:t>
      </w:r>
      <w:bookmarkEnd w:id="11"/>
    </w:p>
    <w:p w14:paraId="5CF9BC2B" w14:textId="5996E780" w:rsidR="004C0001" w:rsidRDefault="00430331" w:rsidP="000F2C34">
      <w:pPr>
        <w:pStyle w:val="Citation"/>
      </w:pPr>
      <w:r>
        <w:t xml:space="preserve">Pour encadrer l’accès </w:t>
      </w:r>
      <w:r w:rsidRPr="00061E4D">
        <w:t>à l’aide médicale à mourir</w:t>
      </w:r>
      <w:r>
        <w:t xml:space="preserve"> des </w:t>
      </w:r>
      <w:r w:rsidRPr="00061E4D">
        <w:t>personne</w:t>
      </w:r>
      <w:r>
        <w:t>s</w:t>
      </w:r>
      <w:r w:rsidRPr="00061E4D">
        <w:t xml:space="preserve"> en situation de handicap </w:t>
      </w:r>
      <w:r>
        <w:t>qui ne sont pas en fin de vie et en</w:t>
      </w:r>
      <w:r w:rsidR="0080427C" w:rsidRPr="00061E4D">
        <w:t xml:space="preserve"> cas d’élargissement de l’accès à l’aide médicale à mourir aux personnes en situation d’inaptitude, déterminer des balises strictes </w:t>
      </w:r>
      <w:r w:rsidR="006056E4" w:rsidRPr="00061E4D">
        <w:t xml:space="preserve">et développer des outils </w:t>
      </w:r>
      <w:r w:rsidR="0080427C" w:rsidRPr="00061E4D">
        <w:t xml:space="preserve">pour garantir le consentement libre et éclairé de ces personnes </w:t>
      </w:r>
      <w:r w:rsidR="0080427C" w:rsidRPr="00061E4D">
        <w:rPr>
          <w:b/>
          <w:bCs/>
        </w:rPr>
        <w:t xml:space="preserve">avant </w:t>
      </w:r>
      <w:r w:rsidR="00BA0C8D" w:rsidRPr="00061E4D">
        <w:rPr>
          <w:b/>
          <w:bCs/>
        </w:rPr>
        <w:t xml:space="preserve">que </w:t>
      </w:r>
      <w:r w:rsidR="00BA0C8D" w:rsidRPr="00061E4D">
        <w:rPr>
          <w:b/>
          <w:bCs/>
          <w:noProof/>
        </w:rPr>
        <w:t xml:space="preserve">les éventuels changements </w:t>
      </w:r>
      <w:r>
        <w:rPr>
          <w:b/>
          <w:bCs/>
          <w:noProof/>
        </w:rPr>
        <w:t>à</w:t>
      </w:r>
      <w:r w:rsidR="00BA0C8D" w:rsidRPr="00061E4D">
        <w:rPr>
          <w:b/>
          <w:bCs/>
          <w:noProof/>
        </w:rPr>
        <w:t xml:space="preserve"> la Loi n’entrent en vigueur</w:t>
      </w:r>
      <w:r w:rsidR="0080427C" w:rsidRPr="00061E4D">
        <w:t>.</w:t>
      </w:r>
    </w:p>
    <w:p w14:paraId="3EB1F554" w14:textId="43577F5A" w:rsidR="00EC209F" w:rsidRPr="00EC209F" w:rsidRDefault="00EC209F" w:rsidP="00EC209F">
      <w:pPr>
        <w:pStyle w:val="Citation"/>
      </w:pPr>
      <w:r>
        <w:t>Ces outils pourraient s’inspirer de ceux existant</w:t>
      </w:r>
      <w:r w:rsidR="007C1A7F">
        <w:t>s</w:t>
      </w:r>
      <w:r>
        <w:t xml:space="preserve"> ou en cours de développement pour aider à la prise de décision des personnes </w:t>
      </w:r>
      <w:r w:rsidRPr="00061E4D">
        <w:t>en situation d’inaptitude</w:t>
      </w:r>
      <w:r>
        <w:t>.</w:t>
      </w:r>
    </w:p>
    <w:p w14:paraId="3EDB8EEF" w14:textId="7E3BCBB1" w:rsidR="00EC209F" w:rsidRPr="00EC209F" w:rsidRDefault="006056E4" w:rsidP="00EC209F">
      <w:pPr>
        <w:pStyle w:val="Citation"/>
      </w:pPr>
      <w:r w:rsidRPr="00061E4D">
        <w:lastRenderedPageBreak/>
        <w:t xml:space="preserve">Ceci devrait se faire en partenariat avec </w:t>
      </w:r>
      <w:r w:rsidR="00430331">
        <w:t>d</w:t>
      </w:r>
      <w:r w:rsidRPr="00061E4D">
        <w:t xml:space="preserve">es organismes </w:t>
      </w:r>
      <w:r w:rsidR="002931CB">
        <w:t xml:space="preserve">d’action </w:t>
      </w:r>
      <w:r w:rsidR="0018667C">
        <w:t>communautaire</w:t>
      </w:r>
      <w:r w:rsidR="002931CB">
        <w:t xml:space="preserve"> autonome</w:t>
      </w:r>
      <w:r w:rsidR="0018667C">
        <w:t xml:space="preserve"> </w:t>
      </w:r>
      <w:r w:rsidR="004C0001" w:rsidRPr="00061E4D">
        <w:t>de défense des droits des personnes handicapées</w:t>
      </w:r>
      <w:r w:rsidRPr="00061E4D">
        <w:t>, dont la COPHAN.</w:t>
      </w:r>
    </w:p>
    <w:p w14:paraId="36CA18F5" w14:textId="01D4220C" w:rsidR="00061E4D" w:rsidRDefault="00061E4D" w:rsidP="00237A22">
      <w:pPr>
        <w:spacing w:line="276" w:lineRule="auto"/>
        <w:rPr>
          <w:noProof/>
        </w:rPr>
      </w:pPr>
    </w:p>
    <w:p w14:paraId="07AF09CC" w14:textId="11A9048D" w:rsidR="00776BCC" w:rsidRPr="00061E4D" w:rsidRDefault="00776BCC" w:rsidP="00776BCC">
      <w:pPr>
        <w:pStyle w:val="Titre2"/>
      </w:pPr>
      <w:bookmarkStart w:id="12" w:name="_Toc79671857"/>
      <w:r w:rsidRPr="00061E4D">
        <w:t xml:space="preserve">Recommandation </w:t>
      </w:r>
      <w:r>
        <w:t>2</w:t>
      </w:r>
      <w:bookmarkEnd w:id="12"/>
    </w:p>
    <w:p w14:paraId="61179752" w14:textId="77777777" w:rsidR="00776BCC" w:rsidRPr="00061E4D" w:rsidRDefault="00776BCC" w:rsidP="00776BCC">
      <w:pPr>
        <w:pStyle w:val="Citation"/>
      </w:pPr>
      <w:r w:rsidRPr="00061E4D">
        <w:t>Mettre en place un comité de travail pour développer les outils et les balises nécessaires à un vrai consentement libre et éclairé. Les travaux de ce comité devraient être terminés avant l’entrée en vigueur des modifications apportées à la Loi.</w:t>
      </w:r>
    </w:p>
    <w:p w14:paraId="4EAE462D" w14:textId="77777777" w:rsidR="00776BCC" w:rsidRPr="00061E4D" w:rsidRDefault="00776BCC" w:rsidP="00237A22">
      <w:pPr>
        <w:spacing w:line="276" w:lineRule="auto"/>
        <w:rPr>
          <w:noProof/>
        </w:rPr>
      </w:pPr>
    </w:p>
    <w:p w14:paraId="0BF85FA8" w14:textId="7121D6BC" w:rsidR="000E11E9" w:rsidRPr="00061E4D" w:rsidRDefault="000E11E9" w:rsidP="00237A22">
      <w:pPr>
        <w:pStyle w:val="Titre"/>
        <w:pBdr>
          <w:bottom w:val="none" w:sz="0" w:space="0" w:color="auto"/>
        </w:pBdr>
        <w:outlineLvl w:val="0"/>
        <w:rPr>
          <w:b/>
          <w:sz w:val="36"/>
          <w:szCs w:val="36"/>
        </w:rPr>
      </w:pPr>
      <w:bookmarkStart w:id="13" w:name="_Toc79671858"/>
      <w:r w:rsidRPr="00061E4D">
        <w:rPr>
          <w:b/>
          <w:sz w:val="36"/>
          <w:szCs w:val="36"/>
        </w:rPr>
        <w:t>Des services de qualité tout au long de la vie</w:t>
      </w:r>
      <w:bookmarkEnd w:id="13"/>
    </w:p>
    <w:p w14:paraId="4C631342" w14:textId="77777777" w:rsidR="00C51660" w:rsidRDefault="00E803F4" w:rsidP="00237A22">
      <w:pPr>
        <w:spacing w:line="276" w:lineRule="auto"/>
        <w:jc w:val="both"/>
        <w:rPr>
          <w:noProof/>
        </w:rPr>
      </w:pPr>
      <w:r w:rsidRPr="00061E4D">
        <w:rPr>
          <w:noProof/>
        </w:rPr>
        <w:t xml:space="preserve">Pour les personnes </w:t>
      </w:r>
      <w:r w:rsidR="00D164BF" w:rsidRPr="00061E4D">
        <w:rPr>
          <w:noProof/>
        </w:rPr>
        <w:t>en situation de handicap</w:t>
      </w:r>
      <w:r w:rsidRPr="00061E4D">
        <w:rPr>
          <w:noProof/>
        </w:rPr>
        <w:t xml:space="preserve">, l’accès à des services à domicile et de réadaptation, </w:t>
      </w:r>
      <w:r w:rsidR="00D164BF" w:rsidRPr="00061E4D">
        <w:rPr>
          <w:noProof/>
        </w:rPr>
        <w:t>le</w:t>
      </w:r>
      <w:r w:rsidRPr="00061E4D">
        <w:rPr>
          <w:noProof/>
        </w:rPr>
        <w:t xml:space="preserve"> soutien apporté à leurs proches</w:t>
      </w:r>
      <w:r w:rsidR="0062672E">
        <w:rPr>
          <w:noProof/>
        </w:rPr>
        <w:t>,</w:t>
      </w:r>
      <w:r w:rsidRPr="00061E4D">
        <w:rPr>
          <w:noProof/>
        </w:rPr>
        <w:t xml:space="preserve"> </w:t>
      </w:r>
      <w:r w:rsidR="00D164BF" w:rsidRPr="00061E4D">
        <w:rPr>
          <w:noProof/>
        </w:rPr>
        <w:t>l</w:t>
      </w:r>
      <w:r w:rsidRPr="00061E4D">
        <w:rPr>
          <w:noProof/>
        </w:rPr>
        <w:t>a compensation financière des coûts supplémentaires liés à leur déficience ou aux situations de handicap qu’elles rencontrent</w:t>
      </w:r>
      <w:r w:rsidR="0062672E">
        <w:rPr>
          <w:noProof/>
        </w:rPr>
        <w:t>, un revenu décent et le choix du milieu de vie</w:t>
      </w:r>
      <w:r w:rsidRPr="00061E4D">
        <w:rPr>
          <w:noProof/>
        </w:rPr>
        <w:t xml:space="preserve"> représentent des enjeux pour l’amélioration de leur qualité de vie. Présentement au Québec, nombre de ces personnes n’ont pas accès à des services qui répondent réellement à leurs besoins</w:t>
      </w:r>
      <w:r w:rsidR="009C421D" w:rsidRPr="00061E4D">
        <w:rPr>
          <w:noProof/>
        </w:rPr>
        <w:t>, particulièrement en ce qui concerne les services de soutien à domicile</w:t>
      </w:r>
      <w:r w:rsidR="004B153A" w:rsidRPr="00061E4D">
        <w:rPr>
          <w:rStyle w:val="Appelnotedebasdep"/>
          <w:noProof/>
        </w:rPr>
        <w:footnoteReference w:id="6"/>
      </w:r>
      <w:r w:rsidRPr="00061E4D">
        <w:rPr>
          <w:noProof/>
        </w:rPr>
        <w:t>.</w:t>
      </w:r>
    </w:p>
    <w:p w14:paraId="2041E119" w14:textId="77777777" w:rsidR="00C51660" w:rsidRDefault="00C51660" w:rsidP="00237A22">
      <w:pPr>
        <w:spacing w:line="276" w:lineRule="auto"/>
        <w:jc w:val="both"/>
        <w:rPr>
          <w:noProof/>
        </w:rPr>
      </w:pPr>
    </w:p>
    <w:p w14:paraId="437B8037" w14:textId="17FDAAAA" w:rsidR="00C51660" w:rsidRDefault="00E803F4" w:rsidP="00237A22">
      <w:pPr>
        <w:spacing w:line="276" w:lineRule="auto"/>
        <w:jc w:val="both"/>
        <w:rPr>
          <w:rFonts w:eastAsia="MS Mincho" w:cs="Arial"/>
        </w:rPr>
      </w:pPr>
      <w:r w:rsidRPr="00061E4D">
        <w:rPr>
          <w:noProof/>
        </w:rPr>
        <w:t xml:space="preserve">Dans le cas où </w:t>
      </w:r>
      <w:r w:rsidR="00D164BF" w:rsidRPr="00061E4D">
        <w:rPr>
          <w:noProof/>
        </w:rPr>
        <w:t>l’aide médicale à mourir devait être une</w:t>
      </w:r>
      <w:r w:rsidRPr="00061E4D">
        <w:rPr>
          <w:noProof/>
        </w:rPr>
        <w:t xml:space="preserve"> option disponible</w:t>
      </w:r>
      <w:r w:rsidR="00D164BF" w:rsidRPr="00061E4D">
        <w:rPr>
          <w:noProof/>
        </w:rPr>
        <w:t xml:space="preserve"> pour les personnes en situation de handicap sans être en fin de vie</w:t>
      </w:r>
      <w:r w:rsidRPr="00061E4D">
        <w:rPr>
          <w:noProof/>
        </w:rPr>
        <w:t xml:space="preserve">, ces personnes ne doivent à aucun moment faire </w:t>
      </w:r>
      <w:r w:rsidR="00D164BF" w:rsidRPr="00061E4D">
        <w:rPr>
          <w:noProof/>
        </w:rPr>
        <w:t xml:space="preserve">un </w:t>
      </w:r>
      <w:r w:rsidRPr="00061E4D">
        <w:rPr>
          <w:noProof/>
        </w:rPr>
        <w:t>tel choix par découragement en raison du manque de services</w:t>
      </w:r>
      <w:r w:rsidR="001126B1" w:rsidRPr="00061E4D">
        <w:rPr>
          <w:rStyle w:val="Appelnotedebasdep"/>
          <w:noProof/>
        </w:rPr>
        <w:footnoteReference w:id="7"/>
      </w:r>
      <w:r w:rsidRPr="00061E4D">
        <w:rPr>
          <w:noProof/>
        </w:rPr>
        <w:t xml:space="preserve">. Tout doit être mis en œuvre pour offrir </w:t>
      </w:r>
      <w:r w:rsidR="004F5D1A" w:rsidRPr="00061E4D">
        <w:rPr>
          <w:noProof/>
        </w:rPr>
        <w:t xml:space="preserve">à ces personnes </w:t>
      </w:r>
      <w:r w:rsidRPr="00061E4D">
        <w:rPr>
          <w:noProof/>
        </w:rPr>
        <w:t>des services de qualité et en quantité suffisante.</w:t>
      </w:r>
      <w:r w:rsidR="008B0BCD" w:rsidRPr="00061E4D">
        <w:rPr>
          <w:noProof/>
        </w:rPr>
        <w:t xml:space="preserve"> Le </w:t>
      </w:r>
      <w:r w:rsidR="00E528F3">
        <w:rPr>
          <w:noProof/>
        </w:rPr>
        <w:t>m</w:t>
      </w:r>
      <w:r w:rsidR="008B0BCD" w:rsidRPr="00061E4D">
        <w:rPr>
          <w:noProof/>
        </w:rPr>
        <w:t xml:space="preserve">inistère de la Santé et des Services sociaux rappelle à ce sujet, dans la </w:t>
      </w:r>
      <w:r w:rsidR="008B0BCD" w:rsidRPr="00061E4D">
        <w:t>Politique d’hébergement et de soins et services de longue durée</w:t>
      </w:r>
      <w:r w:rsidR="008B0BCD" w:rsidRPr="00061E4D">
        <w:rPr>
          <w:noProof/>
        </w:rPr>
        <w:t xml:space="preserve"> sortie le 15 avril 2021 : « </w:t>
      </w:r>
      <w:r w:rsidR="008B0BCD" w:rsidRPr="00061E4D">
        <w:t>Il faut s’assurer que l’ensemble des interventions biopsychosociales ainsi que l’organisation des soins et services […] ont été réalisés »</w:t>
      </w:r>
      <w:r w:rsidR="001126B1" w:rsidRPr="00061E4D">
        <w:rPr>
          <w:rStyle w:val="Appelnotedebasdep"/>
          <w:noProof/>
        </w:rPr>
        <w:footnoteReference w:id="8"/>
      </w:r>
      <w:r w:rsidR="008B0BCD" w:rsidRPr="00061E4D">
        <w:t>.</w:t>
      </w:r>
      <w:r w:rsidR="00DF239A" w:rsidRPr="00061E4D">
        <w:rPr>
          <w:rFonts w:eastAsia="MS Mincho" w:cs="Arial"/>
        </w:rPr>
        <w:t xml:space="preserve"> </w:t>
      </w:r>
    </w:p>
    <w:p w14:paraId="3ADFBA2C" w14:textId="77777777" w:rsidR="00C51660" w:rsidRDefault="00C51660" w:rsidP="00237A22">
      <w:pPr>
        <w:spacing w:line="276" w:lineRule="auto"/>
        <w:jc w:val="both"/>
        <w:rPr>
          <w:rFonts w:eastAsia="MS Mincho" w:cs="Arial"/>
        </w:rPr>
      </w:pPr>
    </w:p>
    <w:p w14:paraId="219CBBCF" w14:textId="29AF5D45" w:rsidR="000E11E9" w:rsidRPr="00061E4D" w:rsidRDefault="00630F65" w:rsidP="00237A22">
      <w:pPr>
        <w:spacing w:line="276" w:lineRule="auto"/>
        <w:jc w:val="both"/>
        <w:rPr>
          <w:rFonts w:eastAsia="MS Mincho" w:cs="Arial"/>
        </w:rPr>
      </w:pPr>
      <w:r w:rsidRPr="00061E4D">
        <w:rPr>
          <w:rFonts w:eastAsia="MS Mincho" w:cs="Arial"/>
        </w:rPr>
        <w:t xml:space="preserve">Or, </w:t>
      </w:r>
      <w:r w:rsidR="006E60FB">
        <w:rPr>
          <w:rFonts w:eastAsia="MS Mincho" w:cs="Arial"/>
        </w:rPr>
        <w:t>l</w:t>
      </w:r>
      <w:r w:rsidRPr="00061E4D">
        <w:rPr>
          <w:rFonts w:eastAsia="MS Mincho" w:cs="Arial"/>
        </w:rPr>
        <w:t>es personnes handicapées hébergées en CHSLD s’y retrouvent la plupart du temps contre leur gré. Comme nous l’avions mentionné dans notre mémoire déposé en mars dernier</w:t>
      </w:r>
      <w:r w:rsidR="00C0117C" w:rsidRPr="00061E4D">
        <w:rPr>
          <w:rStyle w:val="Appelnotedebasdep"/>
          <w:rFonts w:eastAsia="MS Mincho"/>
        </w:rPr>
        <w:footnoteReference w:id="9"/>
      </w:r>
      <w:r w:rsidRPr="00061E4D">
        <w:rPr>
          <w:rFonts w:eastAsia="MS Mincho" w:cs="Arial"/>
        </w:rPr>
        <w:t xml:space="preserve">, </w:t>
      </w:r>
      <w:r w:rsidRPr="00061E4D">
        <w:rPr>
          <w:rFonts w:cs="Arial"/>
        </w:rPr>
        <w:t>cette réalité est de la maltraitance organisationnelle</w:t>
      </w:r>
      <w:r w:rsidR="005A0359">
        <w:rPr>
          <w:rFonts w:cs="Arial"/>
        </w:rPr>
        <w:t>,</w:t>
      </w:r>
      <w:r w:rsidRPr="00061E4D">
        <w:rPr>
          <w:rFonts w:cs="Arial"/>
        </w:rPr>
        <w:t xml:space="preserve"> car </w:t>
      </w:r>
      <w:r w:rsidR="00B31A98" w:rsidRPr="00061E4D">
        <w:rPr>
          <w:rFonts w:cs="Arial"/>
        </w:rPr>
        <w:t>« </w:t>
      </w:r>
      <w:r w:rsidRPr="00061E4D">
        <w:rPr>
          <w:rFonts w:cs="Arial"/>
        </w:rPr>
        <w:t xml:space="preserve">si l’organisation des services, par exemple en permettant un nombre d’heures de services à domicile plus </w:t>
      </w:r>
      <w:r w:rsidRPr="00061E4D">
        <w:rPr>
          <w:rFonts w:cs="Arial"/>
        </w:rPr>
        <w:lastRenderedPageBreak/>
        <w:t>élevé, était faite autrement, les personnes pourraient demeurer à domicile beaucoup plus longtemps.</w:t>
      </w:r>
      <w:r w:rsidR="00B31A98" w:rsidRPr="00061E4D">
        <w:rPr>
          <w:rFonts w:cs="Arial"/>
        </w:rPr>
        <w:t> »</w:t>
      </w:r>
      <w:r w:rsidRPr="00061E4D">
        <w:rPr>
          <w:rFonts w:cs="Arial"/>
        </w:rPr>
        <w:t xml:space="preserve"> </w:t>
      </w:r>
      <w:r w:rsidR="00DF239A" w:rsidRPr="00061E4D">
        <w:rPr>
          <w:rFonts w:eastAsia="MS Mincho" w:cs="Arial"/>
        </w:rPr>
        <w:t>Nous amenons ici le concept de dignité du risque qui se définit de la façon suivante : « Considérant que la dignité d’un individu se manifeste par son habileté à être autonome et qu’être autonome engendre la prise de risques, le fait d’empêcher la prise de risque individuel affecte nécessairement la dignité. »</w:t>
      </w:r>
      <w:r w:rsidR="00DF239A" w:rsidRPr="00061E4D">
        <w:rPr>
          <w:rStyle w:val="Appelnotedebasdep"/>
          <w:rFonts w:eastAsia="MS Mincho"/>
        </w:rPr>
        <w:footnoteReference w:id="10"/>
      </w:r>
      <w:r w:rsidR="00DF239A" w:rsidRPr="00061E4D">
        <w:rPr>
          <w:rFonts w:eastAsia="MS Mincho" w:cs="Arial"/>
        </w:rPr>
        <w:t xml:space="preserve">. </w:t>
      </w:r>
      <w:r w:rsidRPr="00061E4D">
        <w:rPr>
          <w:rFonts w:eastAsia="MS Mincho" w:cs="Arial"/>
        </w:rPr>
        <w:t>Comme le rappelle Martin Caouette, psychoéducateur et professeur au département de psychoéducation de l’Université du Québec à Trois-Rivières</w:t>
      </w:r>
      <w:r w:rsidRPr="00061E4D">
        <w:rPr>
          <w:rStyle w:val="Appelnotedebasdep"/>
          <w:rFonts w:eastAsia="MS Mincho"/>
        </w:rPr>
        <w:footnoteReference w:id="11"/>
      </w:r>
      <w:r w:rsidRPr="00061E4D">
        <w:rPr>
          <w:rFonts w:eastAsia="MS Mincho" w:cs="Arial"/>
        </w:rPr>
        <w:t xml:space="preserve"> « </w:t>
      </w:r>
      <w:r w:rsidR="00DF239A" w:rsidRPr="00061E4D">
        <w:rPr>
          <w:rFonts w:eastAsia="MS Mincho" w:cs="Arial"/>
        </w:rPr>
        <w:t>notre volonté de protection peut parfois nous amener à essayer de faire disparaître tous les risques autour d’eux. La tentation du «</w:t>
      </w:r>
      <w:r w:rsidR="00C51660">
        <w:rPr>
          <w:rFonts w:eastAsia="MS Mincho" w:cs="Arial"/>
        </w:rPr>
        <w:t> </w:t>
      </w:r>
      <w:r w:rsidR="00DF239A" w:rsidRPr="00061E4D">
        <w:rPr>
          <w:rFonts w:eastAsia="MS Mincho" w:cs="Arial"/>
        </w:rPr>
        <w:t>risque 0</w:t>
      </w:r>
      <w:r w:rsidR="00C51660">
        <w:rPr>
          <w:rFonts w:eastAsia="MS Mincho" w:cs="Arial"/>
        </w:rPr>
        <w:t> </w:t>
      </w:r>
      <w:r w:rsidR="00DF239A" w:rsidRPr="00061E4D">
        <w:rPr>
          <w:rFonts w:eastAsia="MS Mincho" w:cs="Arial"/>
        </w:rPr>
        <w:t>» est parfois forte! Ce</w:t>
      </w:r>
      <w:r w:rsidR="006014D0" w:rsidRPr="00061E4D">
        <w:rPr>
          <w:rFonts w:eastAsia="MS Mincho" w:cs="Arial"/>
        </w:rPr>
        <w:t xml:space="preserve">la </w:t>
      </w:r>
      <w:r w:rsidR="00DF239A" w:rsidRPr="00061E4D">
        <w:rPr>
          <w:rFonts w:eastAsia="MS Mincho" w:cs="Arial"/>
        </w:rPr>
        <w:t>dit, il est impossible, voire préjudiciable</w:t>
      </w:r>
      <w:r w:rsidR="006014D0" w:rsidRPr="00061E4D">
        <w:rPr>
          <w:rFonts w:eastAsia="MS Mincho" w:cs="Arial"/>
        </w:rPr>
        <w:t>,</w:t>
      </w:r>
      <w:r w:rsidR="00DF239A" w:rsidRPr="00061E4D">
        <w:rPr>
          <w:rFonts w:eastAsia="MS Mincho" w:cs="Arial"/>
        </w:rPr>
        <w:t xml:space="preserve"> de le faire. La surprotection comporte aussi ses risques!</w:t>
      </w:r>
      <w:r w:rsidRPr="00061E4D">
        <w:rPr>
          <w:rFonts w:eastAsia="MS Mincho" w:cs="Arial"/>
        </w:rPr>
        <w:t> »</w:t>
      </w:r>
    </w:p>
    <w:p w14:paraId="760285BB" w14:textId="77777777" w:rsidR="0037575F" w:rsidRPr="00061E4D" w:rsidRDefault="0037575F" w:rsidP="00237A22">
      <w:pPr>
        <w:jc w:val="both"/>
      </w:pPr>
    </w:p>
    <w:p w14:paraId="3A195D66" w14:textId="74A0EF31" w:rsidR="0037575F" w:rsidRPr="00061E4D" w:rsidRDefault="00D164BF" w:rsidP="00237A22">
      <w:pPr>
        <w:spacing w:line="276" w:lineRule="auto"/>
        <w:jc w:val="both"/>
        <w:rPr>
          <w:noProof/>
        </w:rPr>
      </w:pPr>
      <w:r w:rsidRPr="00061E4D">
        <w:rPr>
          <w:noProof/>
        </w:rPr>
        <w:t>En cas d’élargissement, n</w:t>
      </w:r>
      <w:r w:rsidR="0037575F" w:rsidRPr="00061E4D">
        <w:rPr>
          <w:noProof/>
        </w:rPr>
        <w:t xml:space="preserve">ous souhaitons </w:t>
      </w:r>
      <w:r w:rsidRPr="00061E4D">
        <w:rPr>
          <w:noProof/>
        </w:rPr>
        <w:t xml:space="preserve">que la </w:t>
      </w:r>
      <w:r w:rsidR="0066408B">
        <w:rPr>
          <w:noProof/>
        </w:rPr>
        <w:t>L</w:t>
      </w:r>
      <w:r w:rsidRPr="00061E4D">
        <w:rPr>
          <w:noProof/>
        </w:rPr>
        <w:t>oi</w:t>
      </w:r>
      <w:r w:rsidR="0037575F" w:rsidRPr="00061E4D">
        <w:rPr>
          <w:noProof/>
        </w:rPr>
        <w:t xml:space="preserve"> encadre avec rigueur et précision les soins de fin de vie et protège les droits et libertés des personnes</w:t>
      </w:r>
      <w:r w:rsidRPr="00061E4D">
        <w:rPr>
          <w:noProof/>
        </w:rPr>
        <w:t xml:space="preserve"> en situation de handicap</w:t>
      </w:r>
      <w:r w:rsidR="0037575F" w:rsidRPr="00061E4D">
        <w:rPr>
          <w:noProof/>
        </w:rPr>
        <w:t xml:space="preserve">. </w:t>
      </w:r>
      <w:r w:rsidR="00273314" w:rsidRPr="00061E4D">
        <w:rPr>
          <w:noProof/>
        </w:rPr>
        <w:t>Nous sommes particulièrement</w:t>
      </w:r>
      <w:r w:rsidR="0037575F" w:rsidRPr="00061E4D">
        <w:rPr>
          <w:noProof/>
        </w:rPr>
        <w:t xml:space="preserve"> </w:t>
      </w:r>
      <w:r w:rsidR="00CB36E6">
        <w:rPr>
          <w:noProof/>
        </w:rPr>
        <w:t>préoccupés</w:t>
      </w:r>
      <w:r w:rsidR="0037575F" w:rsidRPr="00061E4D">
        <w:rPr>
          <w:noProof/>
        </w:rPr>
        <w:t xml:space="preserve"> </w:t>
      </w:r>
      <w:r w:rsidR="00CB36E6">
        <w:rPr>
          <w:noProof/>
        </w:rPr>
        <w:t>par les</w:t>
      </w:r>
      <w:r w:rsidR="0037575F" w:rsidRPr="00061E4D">
        <w:rPr>
          <w:noProof/>
        </w:rPr>
        <w:t xml:space="preserve"> droits des personnes ayant des déficiences très lourdes qui les rendent physiquement dépendantes. Elles sont souvent </w:t>
      </w:r>
      <w:r w:rsidR="006014D0" w:rsidRPr="00061E4D">
        <w:rPr>
          <w:noProof/>
        </w:rPr>
        <w:t>â</w:t>
      </w:r>
      <w:r w:rsidR="00800852" w:rsidRPr="00061E4D">
        <w:rPr>
          <w:noProof/>
        </w:rPr>
        <w:t xml:space="preserve">gées de moins de 65 ans </w:t>
      </w:r>
      <w:r w:rsidR="0037575F" w:rsidRPr="00061E4D">
        <w:rPr>
          <w:noProof/>
        </w:rPr>
        <w:t xml:space="preserve">et ont peu de choix quant à l’organisation, la qualité et l’intensité des services qu’elles reçoivent et même, en général, quant aux lieux </w:t>
      </w:r>
      <w:r w:rsidR="006F0581">
        <w:rPr>
          <w:noProof/>
        </w:rPr>
        <w:t xml:space="preserve">où elles habitent ou </w:t>
      </w:r>
      <w:r w:rsidR="0037575F" w:rsidRPr="00061E4D">
        <w:rPr>
          <w:noProof/>
        </w:rPr>
        <w:t>qui les hébergent.</w:t>
      </w:r>
      <w:r w:rsidR="008B0BCD" w:rsidRPr="00061E4D">
        <w:rPr>
          <w:noProof/>
        </w:rPr>
        <w:t xml:space="preserve"> En effet, l’</w:t>
      </w:r>
      <w:r w:rsidR="006014D0" w:rsidRPr="00061E4D">
        <w:rPr>
          <w:noProof/>
        </w:rPr>
        <w:t>Office des personnes handicapées du Québec</w:t>
      </w:r>
      <w:r w:rsidR="008B0BCD" w:rsidRPr="00061E4D">
        <w:rPr>
          <w:noProof/>
        </w:rPr>
        <w:t xml:space="preserve"> note dans un rapport de 2017</w:t>
      </w:r>
      <w:r w:rsidR="00110C48" w:rsidRPr="00061E4D">
        <w:rPr>
          <w:rStyle w:val="Appelnotedebasdep"/>
          <w:noProof/>
        </w:rPr>
        <w:footnoteReference w:id="12"/>
      </w:r>
      <w:r w:rsidR="008B0BCD" w:rsidRPr="00061E4D">
        <w:rPr>
          <w:noProof/>
        </w:rPr>
        <w:t> : « </w:t>
      </w:r>
      <w:r w:rsidR="008B0BCD" w:rsidRPr="00061E4D">
        <w:t>De fait, parmi les personnes ayant besoin d’aide (comblé ou non), près de 6 personnes sur 10 ayant une incapacité grave (59 %) ont des besoins d’aide non comblés comparativement à 43 % des personnes ayant une incapacité modérée et à 34 % de celles ayant une incapacité légère. »</w:t>
      </w:r>
      <w:r w:rsidR="008B0BCD" w:rsidRPr="00061E4D">
        <w:rPr>
          <w:noProof/>
        </w:rPr>
        <w:t xml:space="preserve"> Or, toujours dans la </w:t>
      </w:r>
      <w:r w:rsidR="008B0BCD" w:rsidRPr="00061E4D">
        <w:rPr>
          <w:i/>
          <w:iCs/>
        </w:rPr>
        <w:t>Politique d’hébergement et de soins et services de longue duré</w:t>
      </w:r>
      <w:r w:rsidR="008B0BCD" w:rsidRPr="00061E4D">
        <w:t>e</w:t>
      </w:r>
      <w:r w:rsidR="00A824B6" w:rsidRPr="00061E4D">
        <w:rPr>
          <w:rStyle w:val="Appelnotedebasdep"/>
        </w:rPr>
        <w:footnoteReference w:id="13"/>
      </w:r>
      <w:r w:rsidR="008B0BCD" w:rsidRPr="00061E4D">
        <w:rPr>
          <w:noProof/>
        </w:rPr>
        <w:t xml:space="preserve"> on peut lire : « </w:t>
      </w:r>
      <w:r w:rsidR="008B0BCD" w:rsidRPr="00061E4D">
        <w:t>Dans le parcours de soins et de services d’un usager, le domicile doit pouvoir répondre à ses besoins et maintenir sa participation sociale, et ce, quelle que soit l’ampleur des besoins. »</w:t>
      </w:r>
    </w:p>
    <w:p w14:paraId="7A20E2F9" w14:textId="77777777" w:rsidR="0037575F" w:rsidRPr="00061E4D" w:rsidRDefault="0037575F" w:rsidP="00237A22">
      <w:pPr>
        <w:spacing w:line="276" w:lineRule="auto"/>
        <w:jc w:val="both"/>
        <w:rPr>
          <w:noProof/>
        </w:rPr>
      </w:pPr>
    </w:p>
    <w:p w14:paraId="5AB07140" w14:textId="77777777" w:rsidR="0037575F" w:rsidRPr="00061E4D" w:rsidRDefault="0037575F" w:rsidP="00237A22">
      <w:pPr>
        <w:spacing w:line="276" w:lineRule="auto"/>
        <w:jc w:val="both"/>
        <w:rPr>
          <w:noProof/>
        </w:rPr>
      </w:pPr>
      <w:r w:rsidRPr="00061E4D">
        <w:rPr>
          <w:noProof/>
        </w:rPr>
        <w:t xml:space="preserve">Elles ne sont pas en fin de vie, mais leur souffrance constante physique et souvent psychologique, ainsi que les conditions dans lesquelles elles vivent, les entraînent parfois dans le désespoir. De plus, leurs volontés ne sont souvent pas entendues, leurs choix et décisions ne sont pas respectés, notamment en ce qui a trait aux attitudes et </w:t>
      </w:r>
      <w:r w:rsidRPr="00061E4D">
        <w:rPr>
          <w:noProof/>
        </w:rPr>
        <w:lastRenderedPageBreak/>
        <w:t>comportements à leur égard ainsi qu’à l’organisation et la prestation de services, que ce soit dans les contextes des lieux d’hébergement ou des services de soutien à domicile.</w:t>
      </w:r>
    </w:p>
    <w:p w14:paraId="24E94E59" w14:textId="77777777" w:rsidR="00806A4C" w:rsidRPr="00061E4D" w:rsidRDefault="00806A4C" w:rsidP="00237A22">
      <w:pPr>
        <w:spacing w:line="276" w:lineRule="auto"/>
        <w:rPr>
          <w:rFonts w:eastAsia="MS Mincho" w:cs="Arial"/>
        </w:rPr>
      </w:pPr>
    </w:p>
    <w:p w14:paraId="126556D1" w14:textId="484B3E7A" w:rsidR="0037575F" w:rsidRPr="00061E4D" w:rsidRDefault="0037575F" w:rsidP="00E95782">
      <w:pPr>
        <w:pStyle w:val="Titre2"/>
      </w:pPr>
      <w:bookmarkStart w:id="14" w:name="_Toc367793291"/>
      <w:bookmarkStart w:id="15" w:name="_Toc367800670"/>
      <w:bookmarkStart w:id="16" w:name="_Toc79671859"/>
      <w:r w:rsidRPr="00061E4D">
        <w:t xml:space="preserve">Recommandation </w:t>
      </w:r>
      <w:bookmarkEnd w:id="14"/>
      <w:bookmarkEnd w:id="15"/>
      <w:r w:rsidR="00806A4C">
        <w:t>3</w:t>
      </w:r>
      <w:bookmarkEnd w:id="16"/>
    </w:p>
    <w:p w14:paraId="717BBA58" w14:textId="0761FF0B" w:rsidR="0037575F" w:rsidRPr="00061E4D" w:rsidRDefault="0037575F" w:rsidP="000F2C34">
      <w:pPr>
        <w:pStyle w:val="Citation"/>
      </w:pPr>
      <w:r w:rsidRPr="00061E4D">
        <w:t>Le réseau de la santé et des services sociaux, en collaboration avec les personnes concernées</w:t>
      </w:r>
      <w:r w:rsidR="006F0581">
        <w:t xml:space="preserve"> et les organismes qui les représentent</w:t>
      </w:r>
      <w:r w:rsidRPr="00061E4D">
        <w:t>, doit déployer tous les efforts nécessaires pour solutionner les nombreux problèmes qui persistent dans le domaine des services de soutien à domicile et des conditions de vie qui prévalent dans</w:t>
      </w:r>
      <w:r w:rsidR="00800852" w:rsidRPr="00061E4D">
        <w:t xml:space="preserve"> les milieux d’hébergement et</w:t>
      </w:r>
      <w:r w:rsidRPr="00061E4D">
        <w:t xml:space="preserve"> les </w:t>
      </w:r>
      <w:r w:rsidR="00800852" w:rsidRPr="00061E4D">
        <w:t xml:space="preserve">diverses </w:t>
      </w:r>
      <w:r w:rsidRPr="00061E4D">
        <w:t>ressources résidentielles.</w:t>
      </w:r>
    </w:p>
    <w:p w14:paraId="32A8A699" w14:textId="768C86EC" w:rsidR="0037575F" w:rsidRPr="00061E4D" w:rsidRDefault="0037575F" w:rsidP="000F2C34">
      <w:pPr>
        <w:pStyle w:val="Citation"/>
      </w:pPr>
      <w:r w:rsidRPr="00061E4D">
        <w:t xml:space="preserve">Il doit entendre les suggestions de changements </w:t>
      </w:r>
      <w:r w:rsidR="00800852" w:rsidRPr="00061E4D">
        <w:t xml:space="preserve">proposées </w:t>
      </w:r>
      <w:r w:rsidRPr="00061E4D">
        <w:t xml:space="preserve">par les personnes habitant dans </w:t>
      </w:r>
      <w:r w:rsidR="00800852" w:rsidRPr="00061E4D">
        <w:t>ces lieux</w:t>
      </w:r>
      <w:r w:rsidRPr="00061E4D">
        <w:t xml:space="preserve">, notamment dans les CHSLD, prendre appui sur les exemples </w:t>
      </w:r>
      <w:r w:rsidR="00800852" w:rsidRPr="00061E4D">
        <w:t xml:space="preserve">de milieux </w:t>
      </w:r>
      <w:r w:rsidRPr="00061E4D">
        <w:t xml:space="preserve">résidentiels </w:t>
      </w:r>
      <w:r w:rsidR="006F0581">
        <w:t xml:space="preserve">ou d’assistance </w:t>
      </w:r>
      <w:r w:rsidR="00800852" w:rsidRPr="00061E4D">
        <w:t xml:space="preserve">novateurs </w:t>
      </w:r>
      <w:r w:rsidRPr="00061E4D">
        <w:t xml:space="preserve">qui ont souvent fait </w:t>
      </w:r>
      <w:r w:rsidR="00DD4740" w:rsidRPr="00061E4D">
        <w:t>leurs preuves</w:t>
      </w:r>
      <w:r w:rsidRPr="00061E4D">
        <w:t xml:space="preserve"> et collaborer avec les personnes concernées afin d’innover et de mettre en place des services beaucoup plus humains, respectueux des droits et libertés de la personne et qui répondent aux besoins qu’elles expriment.</w:t>
      </w:r>
    </w:p>
    <w:p w14:paraId="0B0C1354" w14:textId="152DA5B7" w:rsidR="0037575F" w:rsidRPr="00061E4D" w:rsidRDefault="0037575F" w:rsidP="000F2C34">
      <w:pPr>
        <w:pStyle w:val="Citation"/>
      </w:pPr>
      <w:r w:rsidRPr="00061E4D">
        <w:t>Le réseau doit veiller à ce que le personnel adopte en tout temps des comportements plus humains, respectueux de la dignité des personnes, de leur autonomie et qu’ils soient exempts de tout préjugé à l’égard des personnes qu’il dessert.</w:t>
      </w:r>
    </w:p>
    <w:p w14:paraId="133B15D4" w14:textId="77777777" w:rsidR="004A13E3" w:rsidRPr="00061E4D" w:rsidRDefault="004A13E3" w:rsidP="00225F1F"/>
    <w:p w14:paraId="5FA67396" w14:textId="5C915BF3" w:rsidR="006540B1" w:rsidRPr="00061E4D" w:rsidRDefault="006540B1" w:rsidP="00237A22">
      <w:pPr>
        <w:pStyle w:val="Titre"/>
        <w:pBdr>
          <w:bottom w:val="none" w:sz="0" w:space="0" w:color="auto"/>
        </w:pBdr>
        <w:outlineLvl w:val="0"/>
        <w:rPr>
          <w:b/>
          <w:sz w:val="36"/>
          <w:szCs w:val="36"/>
        </w:rPr>
      </w:pPr>
      <w:bookmarkStart w:id="17" w:name="_Toc79671860"/>
      <w:r w:rsidRPr="00061E4D">
        <w:rPr>
          <w:b/>
          <w:sz w:val="36"/>
          <w:szCs w:val="36"/>
        </w:rPr>
        <w:t>Mettre tout en œuvre pour soulager la souffrance tant physique que psychologique</w:t>
      </w:r>
      <w:bookmarkEnd w:id="17"/>
    </w:p>
    <w:p w14:paraId="2F8FC549" w14:textId="45BEA7C4" w:rsidR="006540B1" w:rsidRDefault="006540B1" w:rsidP="00237A22">
      <w:pPr>
        <w:spacing w:line="276" w:lineRule="auto"/>
        <w:jc w:val="both"/>
        <w:rPr>
          <w:rFonts w:eastAsia="MS Mincho" w:cs="Arial"/>
        </w:rPr>
      </w:pPr>
      <w:r w:rsidRPr="00061E4D">
        <w:rPr>
          <w:rFonts w:eastAsia="MS Mincho" w:cs="Arial"/>
        </w:rPr>
        <w:t xml:space="preserve">Cette obligation devrait faire partie de tout accompagnement d’une personne </w:t>
      </w:r>
      <w:r w:rsidR="00116639" w:rsidRPr="00061E4D">
        <w:rPr>
          <w:rFonts w:eastAsia="MS Mincho" w:cs="Arial"/>
        </w:rPr>
        <w:t xml:space="preserve">tout au long de sa vie </w:t>
      </w:r>
      <w:r w:rsidR="0007710E" w:rsidRPr="00061E4D">
        <w:rPr>
          <w:rFonts w:eastAsia="MS Mincho" w:cs="Arial"/>
        </w:rPr>
        <w:t xml:space="preserve">et </w:t>
      </w:r>
      <w:r w:rsidR="00116639" w:rsidRPr="00061E4D">
        <w:rPr>
          <w:rFonts w:eastAsia="MS Mincho" w:cs="Arial"/>
        </w:rPr>
        <w:t xml:space="preserve">pas </w:t>
      </w:r>
      <w:r w:rsidR="0007710E" w:rsidRPr="00061E4D">
        <w:rPr>
          <w:rFonts w:eastAsia="MS Mincho" w:cs="Arial"/>
        </w:rPr>
        <w:t>seulement</w:t>
      </w:r>
      <w:r w:rsidR="00116639" w:rsidRPr="00061E4D">
        <w:rPr>
          <w:rFonts w:eastAsia="MS Mincho" w:cs="Arial"/>
        </w:rPr>
        <w:t xml:space="preserve"> </w:t>
      </w:r>
      <w:r w:rsidRPr="00061E4D">
        <w:rPr>
          <w:rFonts w:eastAsia="MS Mincho" w:cs="Arial"/>
        </w:rPr>
        <w:t xml:space="preserve">en fin de vie. Il est malheureux que nous ayons à saisir l’occasion de ce débat </w:t>
      </w:r>
      <w:r w:rsidR="006463E7" w:rsidRPr="00061E4D">
        <w:rPr>
          <w:rFonts w:eastAsia="MS Mincho" w:cs="Arial"/>
        </w:rPr>
        <w:t xml:space="preserve">sur l’aide médicale à mourir </w:t>
      </w:r>
      <w:r w:rsidRPr="00061E4D">
        <w:rPr>
          <w:rFonts w:eastAsia="MS Mincho" w:cs="Arial"/>
        </w:rPr>
        <w:t xml:space="preserve">pour la mettre en avant. Ce principe est d’autant plus important, qu’il a été démontré dans les pays ou les </w:t>
      </w:r>
      <w:r w:rsidR="000E0159" w:rsidRPr="00061E4D">
        <w:rPr>
          <w:rFonts w:eastAsia="MS Mincho" w:cs="Arial"/>
        </w:rPr>
        <w:t>é</w:t>
      </w:r>
      <w:r w:rsidRPr="00061E4D">
        <w:rPr>
          <w:rFonts w:eastAsia="MS Mincho" w:cs="Arial"/>
        </w:rPr>
        <w:t xml:space="preserve">tats qui ont légalisé </w:t>
      </w:r>
      <w:r w:rsidR="00273314" w:rsidRPr="00061E4D">
        <w:rPr>
          <w:rFonts w:eastAsia="MS Mincho" w:cs="Arial"/>
        </w:rPr>
        <w:t>l’aide médicale à mourir</w:t>
      </w:r>
      <w:r w:rsidRPr="00061E4D">
        <w:rPr>
          <w:rFonts w:eastAsia="MS Mincho" w:cs="Arial"/>
        </w:rPr>
        <w:t>, que peu de personnes souffrantes choisissent ces options si elles sont soulagées adéquatement</w:t>
      </w:r>
      <w:r w:rsidR="00E732EE" w:rsidRPr="00061E4D">
        <w:rPr>
          <w:rStyle w:val="Appelnotedebasdep"/>
          <w:rFonts w:eastAsia="MS Mincho"/>
        </w:rPr>
        <w:footnoteReference w:id="14"/>
      </w:r>
      <w:r w:rsidRPr="00061E4D">
        <w:rPr>
          <w:rFonts w:eastAsia="MS Mincho" w:cs="Arial"/>
        </w:rPr>
        <w:t>.</w:t>
      </w:r>
    </w:p>
    <w:p w14:paraId="3E36D941" w14:textId="77777777" w:rsidR="00DF607F" w:rsidRPr="00061E4D" w:rsidRDefault="00DF607F" w:rsidP="00237A22">
      <w:pPr>
        <w:spacing w:line="276" w:lineRule="auto"/>
        <w:jc w:val="both"/>
        <w:rPr>
          <w:rFonts w:eastAsia="MS Mincho" w:cs="Arial"/>
        </w:rPr>
      </w:pPr>
    </w:p>
    <w:p w14:paraId="17E04B47" w14:textId="296DEEB9" w:rsidR="00E803F4" w:rsidRPr="00061E4D" w:rsidRDefault="0007710E" w:rsidP="00237A22">
      <w:pPr>
        <w:spacing w:line="276" w:lineRule="auto"/>
        <w:jc w:val="both"/>
        <w:rPr>
          <w:rFonts w:eastAsia="MS Mincho" w:cs="Arial"/>
        </w:rPr>
      </w:pPr>
      <w:r w:rsidRPr="00061E4D">
        <w:rPr>
          <w:rFonts w:eastAsia="MS Mincho" w:cs="Arial"/>
        </w:rPr>
        <w:lastRenderedPageBreak/>
        <w:t>Il est essentiel que cette obligation de soulager la souffrance physique et psychologique fasse partie de toute législation ou disposition permettant ou favorisant l’aide médicale à mourir.</w:t>
      </w:r>
      <w:r w:rsidR="00AE1A50" w:rsidRPr="00061E4D">
        <w:rPr>
          <w:rFonts w:eastAsia="MS Mincho" w:cs="Arial"/>
        </w:rPr>
        <w:t xml:space="preserve"> </w:t>
      </w:r>
      <w:r w:rsidRPr="00061E4D">
        <w:rPr>
          <w:rFonts w:eastAsia="MS Mincho" w:cs="Arial"/>
        </w:rPr>
        <w:t xml:space="preserve">Quant au </w:t>
      </w:r>
      <w:r w:rsidR="006540B1" w:rsidRPr="00061E4D">
        <w:rPr>
          <w:rFonts w:eastAsia="MS Mincho" w:cs="Arial"/>
        </w:rPr>
        <w:t>soulagement de la souffrance</w:t>
      </w:r>
      <w:r w:rsidRPr="00061E4D">
        <w:rPr>
          <w:rFonts w:eastAsia="MS Mincho" w:cs="Arial"/>
        </w:rPr>
        <w:t>, il</w:t>
      </w:r>
      <w:r w:rsidR="006540B1" w:rsidRPr="00061E4D">
        <w:rPr>
          <w:rFonts w:eastAsia="MS Mincho" w:cs="Arial"/>
        </w:rPr>
        <w:t xml:space="preserve"> doit être mieux intégré à l’approche médicale </w:t>
      </w:r>
      <w:r w:rsidRPr="00061E4D">
        <w:rPr>
          <w:rFonts w:eastAsia="MS Mincho" w:cs="Arial"/>
        </w:rPr>
        <w:t xml:space="preserve">sans toutefois </w:t>
      </w:r>
      <w:r w:rsidR="00DF607F">
        <w:rPr>
          <w:rFonts w:eastAsia="MS Mincho" w:cs="Arial"/>
        </w:rPr>
        <w:t>s’y limiter</w:t>
      </w:r>
      <w:r w:rsidRPr="00061E4D">
        <w:rPr>
          <w:rFonts w:eastAsia="MS Mincho" w:cs="Arial"/>
        </w:rPr>
        <w:t>. L’approche thérapeutique devrait être plus large</w:t>
      </w:r>
      <w:r w:rsidR="00DF607F">
        <w:rPr>
          <w:rFonts w:eastAsia="MS Mincho" w:cs="Arial"/>
        </w:rPr>
        <w:t xml:space="preserve"> et</w:t>
      </w:r>
      <w:r w:rsidRPr="00061E4D">
        <w:rPr>
          <w:rFonts w:eastAsia="MS Mincho" w:cs="Arial"/>
        </w:rPr>
        <w:t xml:space="preserve"> s’ouvrir à des méthodes alternatives, </w:t>
      </w:r>
      <w:r w:rsidR="00DF607F">
        <w:rPr>
          <w:rFonts w:eastAsia="MS Mincho" w:cs="Arial"/>
        </w:rPr>
        <w:t xml:space="preserve">notamment celles offertes dans le milieu communautaire, </w:t>
      </w:r>
      <w:r w:rsidRPr="00061E4D">
        <w:rPr>
          <w:rFonts w:eastAsia="MS Mincho" w:cs="Arial"/>
        </w:rPr>
        <w:t>d’autant plus lorsque l’on parle de souffrances psychologiques</w:t>
      </w:r>
      <w:r w:rsidR="006014D0" w:rsidRPr="00061E4D">
        <w:rPr>
          <w:rFonts w:eastAsia="MS Mincho" w:cs="Arial"/>
        </w:rPr>
        <w:t>.</w:t>
      </w:r>
      <w:r w:rsidR="006540B1" w:rsidRPr="00061E4D">
        <w:rPr>
          <w:rFonts w:eastAsia="MS Mincho" w:cs="Arial"/>
        </w:rPr>
        <w:t xml:space="preserve"> On doit également prévoir l’accompagnement de la famille sur le plan psychologique et la mise sur pied de services en conséquence.</w:t>
      </w:r>
    </w:p>
    <w:p w14:paraId="359C5F3D" w14:textId="77777777" w:rsidR="00E803F4" w:rsidRPr="00061E4D" w:rsidRDefault="00E803F4" w:rsidP="00237A22">
      <w:pPr>
        <w:spacing w:line="276" w:lineRule="auto"/>
        <w:jc w:val="both"/>
        <w:rPr>
          <w:rFonts w:eastAsia="MS Mincho" w:cs="Arial"/>
        </w:rPr>
      </w:pPr>
    </w:p>
    <w:p w14:paraId="0FAD25C0" w14:textId="7683C3A1" w:rsidR="006540B1" w:rsidRPr="00061E4D" w:rsidRDefault="006540B1" w:rsidP="00237A22">
      <w:pPr>
        <w:spacing w:line="276" w:lineRule="auto"/>
        <w:jc w:val="both"/>
        <w:rPr>
          <w:rFonts w:eastAsia="MS Mincho" w:cs="Arial"/>
          <w:color w:val="auto"/>
        </w:rPr>
      </w:pPr>
      <w:r w:rsidRPr="00061E4D">
        <w:rPr>
          <w:rFonts w:eastAsia="MS Mincho" w:cs="Arial"/>
        </w:rPr>
        <w:t>Des recherches ont montré que les personnes ayant des incapacités</w:t>
      </w:r>
      <w:r w:rsidR="00182309" w:rsidRPr="00061E4D">
        <w:rPr>
          <w:rStyle w:val="Appelnotedebasdep"/>
          <w:rFonts w:eastAsia="MS Mincho"/>
        </w:rPr>
        <w:footnoteReference w:id="15"/>
      </w:r>
      <w:r w:rsidRPr="00061E4D">
        <w:rPr>
          <w:rFonts w:eastAsia="MS Mincho" w:cs="Arial"/>
        </w:rPr>
        <w:t xml:space="preserve"> souffrent plus souvent de détresse psychologique et de dépression et qu’elles ont plus d’idées suicidaires en raison de différents facteurs</w:t>
      </w:r>
      <w:r w:rsidRPr="00061E4D">
        <w:rPr>
          <w:rFonts w:eastAsia="MS Mincho" w:cs="Arial"/>
          <w:color w:val="auto"/>
        </w:rPr>
        <w:t>. Parmi ces facteurs, on compte principalement les douleurs et les malaises associés à leur incapacité (et non l’incapacité</w:t>
      </w:r>
      <w:r w:rsidR="00E803F4" w:rsidRPr="00061E4D">
        <w:rPr>
          <w:rFonts w:eastAsia="MS Mincho" w:cs="Arial"/>
          <w:color w:val="auto"/>
        </w:rPr>
        <w:t xml:space="preserve"> elle-même), le faible soutien social et l’isolement dans lequel elles vivent et qui résultent aussi de l’incapacité</w:t>
      </w:r>
      <w:r w:rsidR="00E803F4" w:rsidRPr="00061E4D">
        <w:rPr>
          <w:rFonts w:eastAsia="MS Mincho" w:cs="Arial"/>
        </w:rPr>
        <w:t xml:space="preserve">. Ces données appuient une stratégie de soulagement de la douleur… et de la détresse. </w:t>
      </w:r>
      <w:r w:rsidR="00E803F4" w:rsidRPr="00061E4D">
        <w:rPr>
          <w:rFonts w:eastAsia="MS Mincho" w:cs="Arial"/>
          <w:color w:val="auto"/>
        </w:rPr>
        <w:t xml:space="preserve">Elles nous portent à privilégier l’amélioration des conditions de vie par un accès facilité à des services sociaux, de santé et d’accompagnement de qualité pour les personnes </w:t>
      </w:r>
      <w:r w:rsidR="008962CF">
        <w:rPr>
          <w:rFonts w:eastAsia="MS Mincho" w:cs="Arial"/>
          <w:color w:val="auto"/>
        </w:rPr>
        <w:t>en situation de handicap</w:t>
      </w:r>
      <w:r w:rsidR="00AB556C" w:rsidRPr="00061E4D">
        <w:rPr>
          <w:rStyle w:val="Appelnotedebasdep"/>
          <w:rFonts w:eastAsia="MS Mincho"/>
          <w:color w:val="auto"/>
        </w:rPr>
        <w:footnoteReference w:id="16"/>
      </w:r>
      <w:r w:rsidR="00E803F4" w:rsidRPr="00061E4D">
        <w:rPr>
          <w:rFonts w:eastAsia="MS Mincho" w:cs="Arial"/>
          <w:color w:val="auto"/>
        </w:rPr>
        <w:t>.</w:t>
      </w:r>
      <w:r w:rsidR="0018307D" w:rsidRPr="00061E4D">
        <w:rPr>
          <w:rFonts w:eastAsia="MS Mincho" w:cs="Arial"/>
          <w:color w:val="auto"/>
        </w:rPr>
        <w:t xml:space="preserve"> Or, la pandémie actuelle a clairement démontré un manque cruel de services de soutien psychosocial</w:t>
      </w:r>
      <w:r w:rsidR="00FD66B8" w:rsidRPr="00061E4D">
        <w:rPr>
          <w:rStyle w:val="Appelnotedebasdep"/>
          <w:rFonts w:eastAsia="MS Mincho"/>
          <w:color w:val="auto"/>
        </w:rPr>
        <w:footnoteReference w:id="17"/>
      </w:r>
      <w:r w:rsidR="0018307D" w:rsidRPr="00061E4D">
        <w:rPr>
          <w:rFonts w:eastAsia="MS Mincho" w:cs="Arial"/>
          <w:color w:val="auto"/>
        </w:rPr>
        <w:t>.</w:t>
      </w:r>
      <w:r w:rsidR="00116639" w:rsidRPr="00061E4D">
        <w:rPr>
          <w:rFonts w:eastAsia="MS Mincho" w:cs="Arial"/>
          <w:color w:val="auto"/>
        </w:rPr>
        <w:t xml:space="preserve"> Même avant la pandémie, l’accès à </w:t>
      </w:r>
      <w:r w:rsidR="009C421D" w:rsidRPr="00061E4D">
        <w:rPr>
          <w:rFonts w:eastAsia="MS Mincho" w:cs="Arial"/>
          <w:color w:val="auto"/>
        </w:rPr>
        <w:t>c</w:t>
      </w:r>
      <w:r w:rsidR="00116639" w:rsidRPr="00061E4D">
        <w:rPr>
          <w:rFonts w:eastAsia="MS Mincho" w:cs="Arial"/>
          <w:color w:val="auto"/>
        </w:rPr>
        <w:t>es services était déjà limité</w:t>
      </w:r>
      <w:r w:rsidR="009C421D" w:rsidRPr="00061E4D">
        <w:rPr>
          <w:rFonts w:eastAsia="MS Mincho" w:cs="Arial"/>
          <w:color w:val="auto"/>
        </w:rPr>
        <w:t>,</w:t>
      </w:r>
      <w:r w:rsidR="00116639" w:rsidRPr="00061E4D">
        <w:rPr>
          <w:rFonts w:eastAsia="MS Mincho" w:cs="Arial"/>
          <w:color w:val="auto"/>
        </w:rPr>
        <w:t xml:space="preserve"> encore plus pour les </w:t>
      </w:r>
      <w:r w:rsidR="009C421D" w:rsidRPr="00061E4D">
        <w:rPr>
          <w:rFonts w:eastAsia="MS Mincho" w:cs="Arial"/>
          <w:color w:val="auto"/>
        </w:rPr>
        <w:t>personnes en situation de handicap</w:t>
      </w:r>
      <w:r w:rsidR="00116639" w:rsidRPr="00061E4D">
        <w:rPr>
          <w:rFonts w:eastAsia="MS Mincho" w:cs="Arial"/>
          <w:color w:val="auto"/>
        </w:rPr>
        <w:t xml:space="preserve">, </w:t>
      </w:r>
      <w:r w:rsidR="009C7B3F" w:rsidRPr="00061E4D">
        <w:rPr>
          <w:rFonts w:eastAsia="MS Mincho" w:cs="Arial"/>
          <w:color w:val="auto"/>
        </w:rPr>
        <w:t>considérant</w:t>
      </w:r>
      <w:r w:rsidR="009C421D" w:rsidRPr="00061E4D">
        <w:rPr>
          <w:rFonts w:eastAsia="MS Mincho" w:cs="Arial"/>
          <w:color w:val="auto"/>
        </w:rPr>
        <w:t xml:space="preserve"> que les</w:t>
      </w:r>
      <w:r w:rsidR="00116639" w:rsidRPr="00061E4D">
        <w:rPr>
          <w:rFonts w:eastAsia="MS Mincho" w:cs="Arial"/>
          <w:color w:val="auto"/>
        </w:rPr>
        <w:t xml:space="preserve"> </w:t>
      </w:r>
      <w:r w:rsidR="00885815" w:rsidRPr="00061E4D">
        <w:rPr>
          <w:rFonts w:eastAsia="MS Mincho" w:cs="Arial"/>
          <w:color w:val="auto"/>
        </w:rPr>
        <w:t>milieux donnant</w:t>
      </w:r>
      <w:r w:rsidR="009C7B3F" w:rsidRPr="00061E4D">
        <w:rPr>
          <w:rFonts w:eastAsia="MS Mincho" w:cs="Arial"/>
          <w:color w:val="auto"/>
        </w:rPr>
        <w:t xml:space="preserve"> les</w:t>
      </w:r>
      <w:r w:rsidR="00885815" w:rsidRPr="00061E4D">
        <w:rPr>
          <w:rFonts w:eastAsia="MS Mincho" w:cs="Arial"/>
          <w:color w:val="auto"/>
        </w:rPr>
        <w:t xml:space="preserve"> services</w:t>
      </w:r>
      <w:r w:rsidR="009C421D" w:rsidRPr="00061E4D">
        <w:rPr>
          <w:rFonts w:eastAsia="MS Mincho" w:cs="Arial"/>
          <w:color w:val="auto"/>
        </w:rPr>
        <w:t xml:space="preserve"> ne sont souvent</w:t>
      </w:r>
      <w:r w:rsidR="00116639" w:rsidRPr="00061E4D">
        <w:rPr>
          <w:rFonts w:eastAsia="MS Mincho" w:cs="Arial"/>
          <w:color w:val="auto"/>
        </w:rPr>
        <w:t xml:space="preserve"> pas accessibles.</w:t>
      </w:r>
    </w:p>
    <w:p w14:paraId="36ACAD58" w14:textId="77777777" w:rsidR="00AB556C" w:rsidRPr="00061E4D" w:rsidRDefault="00AB556C" w:rsidP="0018307D">
      <w:pPr>
        <w:spacing w:line="276" w:lineRule="auto"/>
        <w:jc w:val="both"/>
        <w:rPr>
          <w:rFonts w:eastAsia="MS Mincho" w:cs="Arial"/>
        </w:rPr>
      </w:pPr>
    </w:p>
    <w:p w14:paraId="79392A0C" w14:textId="5E1FDC60" w:rsidR="0018307D" w:rsidRPr="00061E4D" w:rsidRDefault="0018307D" w:rsidP="00E95782">
      <w:pPr>
        <w:pStyle w:val="Titre2"/>
      </w:pPr>
      <w:bookmarkStart w:id="18" w:name="_Toc79671861"/>
      <w:r w:rsidRPr="00061E4D">
        <w:t xml:space="preserve">Recommandation </w:t>
      </w:r>
      <w:r w:rsidR="00806A4C">
        <w:t>4</w:t>
      </w:r>
      <w:bookmarkEnd w:id="18"/>
    </w:p>
    <w:p w14:paraId="210F0EB7" w14:textId="06F2ECF3" w:rsidR="0018307D" w:rsidRPr="00061E4D" w:rsidRDefault="0018307D" w:rsidP="000F2C34">
      <w:pPr>
        <w:pStyle w:val="Citation"/>
      </w:pPr>
      <w:r w:rsidRPr="00061E4D">
        <w:t xml:space="preserve">Le ministère de la </w:t>
      </w:r>
      <w:r w:rsidR="00FF4095" w:rsidRPr="00061E4D">
        <w:t>S</w:t>
      </w:r>
      <w:r w:rsidRPr="00061E4D">
        <w:t xml:space="preserve">anté </w:t>
      </w:r>
      <w:r w:rsidR="00FF4095" w:rsidRPr="00061E4D">
        <w:t xml:space="preserve">et des Services sociaux </w:t>
      </w:r>
      <w:r w:rsidR="00E9546F" w:rsidRPr="00061E4D">
        <w:t xml:space="preserve">doit </w:t>
      </w:r>
      <w:r w:rsidR="009C7B3F" w:rsidRPr="00061E4D">
        <w:t>bonifier l’offre de</w:t>
      </w:r>
      <w:r w:rsidR="00FF4095" w:rsidRPr="00061E4D">
        <w:t xml:space="preserve"> services de </w:t>
      </w:r>
      <w:r w:rsidR="00FF4095" w:rsidRPr="00061E4D">
        <w:rPr>
          <w:b/>
          <w:bCs/>
        </w:rPr>
        <w:t>soutien psychosocial</w:t>
      </w:r>
      <w:r w:rsidR="00FF4095" w:rsidRPr="00061E4D">
        <w:t xml:space="preserve"> dans toute la province </w:t>
      </w:r>
      <w:r w:rsidR="009C7B3F" w:rsidRPr="00061E4D">
        <w:t xml:space="preserve">autant dans le secteur public que communautaire </w:t>
      </w:r>
      <w:r w:rsidR="00FF4095" w:rsidRPr="00061E4D">
        <w:t xml:space="preserve">et </w:t>
      </w:r>
      <w:r w:rsidR="009C7B3F" w:rsidRPr="00061E4D">
        <w:t>en assurer l’accessibilité</w:t>
      </w:r>
      <w:r w:rsidR="00FF4095" w:rsidRPr="00061E4D">
        <w:t xml:space="preserve"> aux personnes </w:t>
      </w:r>
      <w:r w:rsidR="009C7B3F" w:rsidRPr="00061E4D">
        <w:t>en situation de handicap</w:t>
      </w:r>
      <w:r w:rsidRPr="00061E4D">
        <w:t>.</w:t>
      </w:r>
    </w:p>
    <w:p w14:paraId="0A237F92" w14:textId="1C1BD02E" w:rsidR="00E9546F" w:rsidRDefault="00E9546F" w:rsidP="00237A22">
      <w:pPr>
        <w:spacing w:line="276" w:lineRule="auto"/>
        <w:jc w:val="both"/>
        <w:rPr>
          <w:rFonts w:eastAsia="MS Mincho" w:cs="Arial"/>
        </w:rPr>
      </w:pPr>
    </w:p>
    <w:p w14:paraId="5FBE5BA5" w14:textId="77777777" w:rsidR="00806A4C" w:rsidRPr="00061E4D" w:rsidRDefault="00806A4C" w:rsidP="00237A22">
      <w:pPr>
        <w:spacing w:line="276" w:lineRule="auto"/>
        <w:jc w:val="both"/>
        <w:rPr>
          <w:rFonts w:eastAsia="MS Mincho" w:cs="Arial"/>
        </w:rPr>
      </w:pPr>
    </w:p>
    <w:p w14:paraId="33ADF10F" w14:textId="4664A190" w:rsidR="006540B1" w:rsidRPr="00061E4D" w:rsidRDefault="0083257A" w:rsidP="00237A22">
      <w:pPr>
        <w:pStyle w:val="Titre"/>
        <w:pBdr>
          <w:bottom w:val="none" w:sz="0" w:space="0" w:color="auto"/>
        </w:pBdr>
        <w:outlineLvl w:val="0"/>
        <w:rPr>
          <w:b/>
          <w:sz w:val="36"/>
          <w:szCs w:val="36"/>
        </w:rPr>
      </w:pPr>
      <w:bookmarkStart w:id="19" w:name="_Toc79671862"/>
      <w:r w:rsidRPr="0083257A">
        <w:rPr>
          <w:b/>
          <w:sz w:val="36"/>
          <w:szCs w:val="36"/>
        </w:rPr>
        <w:lastRenderedPageBreak/>
        <w:t>Humaniser la médecine et développer une meilleure formation pour les professionnels de la santé</w:t>
      </w:r>
      <w:bookmarkEnd w:id="19"/>
    </w:p>
    <w:p w14:paraId="62428A3E" w14:textId="5548E6AD" w:rsidR="0059357A" w:rsidRPr="00061E4D" w:rsidRDefault="00D35B49" w:rsidP="0059357A">
      <w:pPr>
        <w:spacing w:line="276" w:lineRule="auto"/>
        <w:jc w:val="both"/>
        <w:rPr>
          <w:noProof/>
        </w:rPr>
      </w:pPr>
      <w:r w:rsidRPr="00061E4D">
        <w:rPr>
          <w:rFonts w:eastAsia="MS Mincho" w:cs="Arial"/>
        </w:rPr>
        <w:t xml:space="preserve">Encore une fois, l’aide médicale à mourir doit être un choix éclairé et envisagé comme une option de dernier recours, quand il n’y a plus d’autre solution </w:t>
      </w:r>
      <w:r w:rsidR="0059357A" w:rsidRPr="00061E4D">
        <w:rPr>
          <w:rFonts w:eastAsia="MS Mincho" w:cs="Arial"/>
        </w:rPr>
        <w:t>qui répond aux besoins de la personne souffrante</w:t>
      </w:r>
      <w:r w:rsidR="00F91723" w:rsidRPr="00061E4D">
        <w:rPr>
          <w:rFonts w:eastAsia="MS Mincho" w:cs="Arial"/>
        </w:rPr>
        <w:t xml:space="preserve"> en respectant sa volonté et son choix de milieu de vie</w:t>
      </w:r>
      <w:r w:rsidRPr="00061E4D">
        <w:rPr>
          <w:rFonts w:eastAsia="MS Mincho" w:cs="Arial"/>
        </w:rPr>
        <w:t xml:space="preserve">. </w:t>
      </w:r>
      <w:r w:rsidR="0059357A" w:rsidRPr="00061E4D">
        <w:rPr>
          <w:noProof/>
        </w:rPr>
        <w:t>La Loi concernant les soins de fin de vie confère une place prépondérante et beaucoup de pouvoir aux médecins</w:t>
      </w:r>
      <w:r w:rsidR="00E9546F" w:rsidRPr="00061E4D">
        <w:rPr>
          <w:noProof/>
        </w:rPr>
        <w:t>. N</w:t>
      </w:r>
      <w:r w:rsidR="0059357A" w:rsidRPr="00061E4D">
        <w:rPr>
          <w:noProof/>
        </w:rPr>
        <w:t xml:space="preserve">ous considérons </w:t>
      </w:r>
      <w:r w:rsidR="00E9546F" w:rsidRPr="00061E4D">
        <w:rPr>
          <w:noProof/>
        </w:rPr>
        <w:t xml:space="preserve">donc </w:t>
      </w:r>
      <w:r w:rsidR="0059357A" w:rsidRPr="00061E4D">
        <w:rPr>
          <w:noProof/>
        </w:rPr>
        <w:t xml:space="preserve">qu’ils doivent être préparés et soutenus dans </w:t>
      </w:r>
      <w:r w:rsidR="00423F15" w:rsidRPr="00061E4D">
        <w:rPr>
          <w:noProof/>
        </w:rPr>
        <w:t>l’approche des personnes qui demandent l’aide médicale à mourir et de leurs proches</w:t>
      </w:r>
      <w:r w:rsidR="00AF2554" w:rsidRPr="00061E4D">
        <w:rPr>
          <w:rStyle w:val="Appelnotedebasdep"/>
          <w:noProof/>
        </w:rPr>
        <w:footnoteReference w:id="18"/>
      </w:r>
      <w:r w:rsidR="0059357A" w:rsidRPr="00061E4D">
        <w:rPr>
          <w:noProof/>
        </w:rPr>
        <w:t>. Dans un contexte de vieillissement de la population, les intervenants de la santé seront de plus en plus sollicités pour accompagner des personnes en fin de vie.</w:t>
      </w:r>
    </w:p>
    <w:p w14:paraId="5BB52FC3" w14:textId="77777777" w:rsidR="0059357A" w:rsidRPr="00061E4D" w:rsidRDefault="0059357A" w:rsidP="0059357A">
      <w:pPr>
        <w:spacing w:line="276" w:lineRule="auto"/>
        <w:jc w:val="both"/>
        <w:rPr>
          <w:noProof/>
        </w:rPr>
      </w:pPr>
    </w:p>
    <w:p w14:paraId="4BA18E6D" w14:textId="3F082931" w:rsidR="00D35B49" w:rsidRPr="00061E4D" w:rsidRDefault="0059357A" w:rsidP="00D35B49">
      <w:pPr>
        <w:spacing w:line="276" w:lineRule="auto"/>
        <w:jc w:val="both"/>
        <w:rPr>
          <w:rFonts w:eastAsia="MS Mincho" w:cs="Arial"/>
        </w:rPr>
      </w:pPr>
      <w:r w:rsidRPr="00061E4D">
        <w:rPr>
          <w:rFonts w:eastAsia="MS Mincho" w:cs="Arial"/>
        </w:rPr>
        <w:t xml:space="preserve">De plus, </w:t>
      </w:r>
      <w:r w:rsidR="00AE6E2D" w:rsidRPr="00061E4D">
        <w:rPr>
          <w:rFonts w:eastAsia="MS Mincho" w:cs="Arial"/>
        </w:rPr>
        <w:t xml:space="preserve">à la </w:t>
      </w:r>
      <w:r w:rsidR="009C2483" w:rsidRPr="00061E4D">
        <w:rPr>
          <w:rFonts w:eastAsia="MS Mincho" w:cs="Arial"/>
        </w:rPr>
        <w:t xml:space="preserve">suite </w:t>
      </w:r>
      <w:r w:rsidR="00662007">
        <w:rPr>
          <w:rFonts w:eastAsia="MS Mincho" w:cs="Arial"/>
        </w:rPr>
        <w:t>de</w:t>
      </w:r>
      <w:r w:rsidR="009C2483" w:rsidRPr="00061E4D">
        <w:rPr>
          <w:rFonts w:eastAsia="MS Mincho" w:cs="Arial"/>
        </w:rPr>
        <w:t xml:space="preserve"> la décision de la Cour supérieur</w:t>
      </w:r>
      <w:r w:rsidR="00C77810">
        <w:rPr>
          <w:rFonts w:eastAsia="MS Mincho" w:cs="Arial"/>
        </w:rPr>
        <w:t>e</w:t>
      </w:r>
      <w:r w:rsidR="009C2483" w:rsidRPr="00061E4D">
        <w:rPr>
          <w:rFonts w:eastAsia="MS Mincho" w:cs="Arial"/>
        </w:rPr>
        <w:t xml:space="preserve"> du Québec</w:t>
      </w:r>
      <w:r w:rsidR="00DA1335">
        <w:rPr>
          <w:rStyle w:val="Appelnotedebasdep"/>
          <w:rFonts w:eastAsia="MS Mincho"/>
        </w:rPr>
        <w:footnoteReference w:id="19"/>
      </w:r>
      <w:r w:rsidR="009C2483" w:rsidRPr="00061E4D">
        <w:rPr>
          <w:rFonts w:eastAsia="MS Mincho" w:cs="Arial"/>
        </w:rPr>
        <w:t xml:space="preserve">, </w:t>
      </w:r>
      <w:r w:rsidR="00AE6E2D" w:rsidRPr="00061E4D">
        <w:rPr>
          <w:rFonts w:eastAsia="MS Mincho" w:cs="Arial"/>
        </w:rPr>
        <w:t>les intervenants</w:t>
      </w:r>
      <w:r w:rsidRPr="00061E4D">
        <w:rPr>
          <w:rFonts w:eastAsia="MS Mincho" w:cs="Arial"/>
        </w:rPr>
        <w:t xml:space="preserve"> vont aussi devoir répondre aux demandes d’aide médicale à mourir de personnes qui ne sont pas en fin de vie. Ainsi, l</w:t>
      </w:r>
      <w:r w:rsidR="00D35B49" w:rsidRPr="00061E4D">
        <w:rPr>
          <w:rFonts w:eastAsia="MS Mincho" w:cs="Arial"/>
        </w:rPr>
        <w:t xml:space="preserve">e gouvernement ne peut envisager décemment de s’engager dans un élargissement de l’accès à l’aide médicale à mourir aux personnes qui ne sont pas en fin de vie et/ou </w:t>
      </w:r>
      <w:r w:rsidR="00E9546F" w:rsidRPr="00061E4D">
        <w:rPr>
          <w:rFonts w:eastAsia="MS Mincho" w:cs="Arial"/>
        </w:rPr>
        <w:t xml:space="preserve">qui sont </w:t>
      </w:r>
      <w:r w:rsidR="00D35B49" w:rsidRPr="00061E4D">
        <w:rPr>
          <w:rFonts w:eastAsia="MS Mincho" w:cs="Arial"/>
        </w:rPr>
        <w:t>en situation d’inaptitude sans prévoir une formation solide du personnel médical qui devra accompagner les personnes qui en font la demande</w:t>
      </w:r>
      <w:r w:rsidR="00316844" w:rsidRPr="00061E4D">
        <w:rPr>
          <w:rFonts w:eastAsia="MS Mincho" w:cs="Arial"/>
        </w:rPr>
        <w:t xml:space="preserve"> et leurs proches.</w:t>
      </w:r>
    </w:p>
    <w:p w14:paraId="7F2442C5" w14:textId="77777777" w:rsidR="0059357A" w:rsidRPr="00061E4D" w:rsidRDefault="0059357A" w:rsidP="0059357A">
      <w:pPr>
        <w:spacing w:line="276" w:lineRule="auto"/>
        <w:jc w:val="both"/>
        <w:rPr>
          <w:noProof/>
        </w:rPr>
      </w:pPr>
    </w:p>
    <w:p w14:paraId="0083D543" w14:textId="4933F4E7" w:rsidR="00873A36" w:rsidRPr="00061E4D" w:rsidRDefault="00316844" w:rsidP="0059357A">
      <w:pPr>
        <w:spacing w:line="276" w:lineRule="auto"/>
        <w:jc w:val="both"/>
        <w:rPr>
          <w:rFonts w:eastAsia="MS Mincho" w:cs="Arial"/>
        </w:rPr>
      </w:pPr>
      <w:r w:rsidRPr="00061E4D">
        <w:rPr>
          <w:rFonts w:eastAsia="MS Mincho" w:cs="Arial"/>
        </w:rPr>
        <w:t>Dans le cadre d’une demande d’aide médicale à mourir, c</w:t>
      </w:r>
      <w:r w:rsidR="00423F15" w:rsidRPr="00061E4D">
        <w:rPr>
          <w:rFonts w:eastAsia="MS Mincho" w:cs="Arial"/>
        </w:rPr>
        <w:t xml:space="preserve">et accompagnement devra se faire dès le début </w:t>
      </w:r>
      <w:r w:rsidRPr="00061E4D">
        <w:rPr>
          <w:rFonts w:eastAsia="MS Mincho" w:cs="Arial"/>
        </w:rPr>
        <w:t xml:space="preserve">de la </w:t>
      </w:r>
      <w:r w:rsidR="00423F15" w:rsidRPr="00061E4D">
        <w:rPr>
          <w:rFonts w:eastAsia="MS Mincho" w:cs="Arial"/>
        </w:rPr>
        <w:t>démarche</w:t>
      </w:r>
      <w:r w:rsidRPr="00061E4D">
        <w:rPr>
          <w:rFonts w:eastAsia="MS Mincho" w:cs="Arial"/>
        </w:rPr>
        <w:t>, idéalement par le médecin de famille de la personne, qui la connait et peut l’aider dans son cheminement de fin de vie</w:t>
      </w:r>
      <w:r w:rsidR="00423F15" w:rsidRPr="00061E4D">
        <w:rPr>
          <w:rFonts w:eastAsia="MS Mincho" w:cs="Arial"/>
        </w:rPr>
        <w:t xml:space="preserve">. </w:t>
      </w:r>
      <w:r w:rsidR="00873A36" w:rsidRPr="00061E4D">
        <w:rPr>
          <w:rFonts w:eastAsia="MS Mincho" w:cs="Arial"/>
        </w:rPr>
        <w:t xml:space="preserve">Or, </w:t>
      </w:r>
      <w:r w:rsidR="00153271" w:rsidRPr="00061E4D">
        <w:rPr>
          <w:rFonts w:eastAsia="MS Mincho" w:cs="Arial"/>
        </w:rPr>
        <w:t>seulement 80</w:t>
      </w:r>
      <w:r w:rsidR="00AE6E2D" w:rsidRPr="00061E4D">
        <w:rPr>
          <w:rFonts w:eastAsia="MS Mincho" w:cs="Arial"/>
        </w:rPr>
        <w:t> </w:t>
      </w:r>
      <w:r w:rsidR="00153271" w:rsidRPr="00061E4D">
        <w:rPr>
          <w:rFonts w:eastAsia="MS Mincho" w:cs="Arial"/>
        </w:rPr>
        <w:t>% des</w:t>
      </w:r>
      <w:r w:rsidR="00873A36" w:rsidRPr="00061E4D">
        <w:rPr>
          <w:rFonts w:eastAsia="MS Mincho" w:cs="Arial"/>
        </w:rPr>
        <w:t xml:space="preserve"> </w:t>
      </w:r>
      <w:r w:rsidR="00585B88">
        <w:rPr>
          <w:rFonts w:eastAsia="MS Mincho" w:cs="Arial"/>
        </w:rPr>
        <w:t>Q</w:t>
      </w:r>
      <w:r w:rsidR="00873A36" w:rsidRPr="00061E4D">
        <w:rPr>
          <w:rFonts w:eastAsia="MS Mincho" w:cs="Arial"/>
        </w:rPr>
        <w:t>uébécois ont accès à un médecin de famille</w:t>
      </w:r>
      <w:r w:rsidR="00153271" w:rsidRPr="00061E4D">
        <w:rPr>
          <w:rFonts w:eastAsia="MS Mincho" w:cs="Arial"/>
        </w:rPr>
        <w:t xml:space="preserve"> avec une grande disparité d’une région à l’autre</w:t>
      </w:r>
      <w:r w:rsidR="00994CCA" w:rsidRPr="00061E4D">
        <w:rPr>
          <w:rStyle w:val="Appelnotedebasdep"/>
          <w:rFonts w:eastAsia="MS Mincho"/>
        </w:rPr>
        <w:footnoteReference w:id="20"/>
      </w:r>
      <w:r w:rsidR="00873A36" w:rsidRPr="00061E4D">
        <w:rPr>
          <w:rFonts w:eastAsia="MS Mincho" w:cs="Arial"/>
        </w:rPr>
        <w:t>.</w:t>
      </w:r>
      <w:r w:rsidR="00AA595D" w:rsidRPr="00061E4D">
        <w:rPr>
          <w:rFonts w:eastAsia="MS Mincho" w:cs="Arial"/>
        </w:rPr>
        <w:t xml:space="preserve"> </w:t>
      </w:r>
      <w:r w:rsidR="0068736F" w:rsidRPr="00061E4D">
        <w:rPr>
          <w:rFonts w:eastAsia="MS Mincho" w:cs="Arial"/>
        </w:rPr>
        <w:t>De plus, le nombre d’inscription</w:t>
      </w:r>
      <w:r w:rsidR="009C2483" w:rsidRPr="00061E4D">
        <w:rPr>
          <w:rFonts w:eastAsia="MS Mincho" w:cs="Arial"/>
        </w:rPr>
        <w:t>s</w:t>
      </w:r>
      <w:r w:rsidR="0068736F" w:rsidRPr="00061E4D">
        <w:rPr>
          <w:rFonts w:eastAsia="MS Mincho" w:cs="Arial"/>
        </w:rPr>
        <w:t xml:space="preserve"> au guichet d’accès pour avoir un médecin de famille ne cesse d’augmenter ainsi que le temps d’attente pour obtenir un médecin.</w:t>
      </w:r>
      <w:r w:rsidR="002700A0" w:rsidRPr="00061E4D">
        <w:rPr>
          <w:rStyle w:val="Appelnotedebasdep"/>
          <w:rFonts w:eastAsia="MS Mincho"/>
        </w:rPr>
        <w:footnoteReference w:id="21"/>
      </w:r>
      <w:r w:rsidR="0068736F" w:rsidRPr="00061E4D">
        <w:rPr>
          <w:rFonts w:eastAsia="MS Mincho" w:cs="Arial"/>
        </w:rPr>
        <w:t xml:space="preserve"> </w:t>
      </w:r>
      <w:r w:rsidR="00AA595D" w:rsidRPr="00061E4D">
        <w:rPr>
          <w:rFonts w:eastAsia="MS Mincho" w:cs="Arial"/>
        </w:rPr>
        <w:t>Sans compter que les personnes qui ont des besoins de santé complexe</w:t>
      </w:r>
      <w:r w:rsidR="00732E94">
        <w:rPr>
          <w:rFonts w:eastAsia="MS Mincho" w:cs="Arial"/>
        </w:rPr>
        <w:t>s</w:t>
      </w:r>
      <w:r w:rsidR="00AA595D" w:rsidRPr="00061E4D">
        <w:rPr>
          <w:rFonts w:eastAsia="MS Mincho" w:cs="Arial"/>
        </w:rPr>
        <w:t xml:space="preserve"> attendent plus longtemps que les autres avant d’avoir un médecin par le biais du guichet d’accès.</w:t>
      </w:r>
      <w:r w:rsidR="00AA595D" w:rsidRPr="00061E4D">
        <w:rPr>
          <w:rStyle w:val="Appelnotedebasdep"/>
          <w:rFonts w:eastAsia="MS Mincho"/>
        </w:rPr>
        <w:footnoteReference w:id="22"/>
      </w:r>
      <w:r w:rsidR="00AA595D" w:rsidRPr="00061E4D">
        <w:rPr>
          <w:rFonts w:eastAsia="MS Mincho" w:cs="Arial"/>
        </w:rPr>
        <w:t xml:space="preserve"> </w:t>
      </w:r>
      <w:r w:rsidR="009C2483" w:rsidRPr="00061E4D">
        <w:rPr>
          <w:rFonts w:eastAsia="MS Mincho" w:cs="Arial"/>
        </w:rPr>
        <w:t>Enfin</w:t>
      </w:r>
      <w:r w:rsidR="0068736F" w:rsidRPr="00061E4D">
        <w:rPr>
          <w:rFonts w:eastAsia="MS Mincho" w:cs="Arial"/>
        </w:rPr>
        <w:t xml:space="preserve">, avoir un médecin de famille ne </w:t>
      </w:r>
      <w:r w:rsidR="00F23C5F" w:rsidRPr="00061E4D">
        <w:rPr>
          <w:rFonts w:eastAsia="MS Mincho" w:cs="Arial"/>
        </w:rPr>
        <w:t>garantit</w:t>
      </w:r>
      <w:r w:rsidR="0068736F" w:rsidRPr="00061E4D">
        <w:rPr>
          <w:rFonts w:eastAsia="MS Mincho" w:cs="Arial"/>
        </w:rPr>
        <w:t xml:space="preserve"> pas qu’il est disponible pour recevoir rapidement ses patients.</w:t>
      </w:r>
      <w:r w:rsidR="003205A9" w:rsidRPr="00061E4D">
        <w:rPr>
          <w:rStyle w:val="Appelnotedebasdep"/>
          <w:rFonts w:eastAsia="MS Mincho"/>
        </w:rPr>
        <w:footnoteReference w:id="23"/>
      </w:r>
      <w:r w:rsidR="0068736F" w:rsidRPr="00061E4D">
        <w:rPr>
          <w:rStyle w:val="Marquedecommentaire"/>
        </w:rPr>
        <w:t xml:space="preserve">  </w:t>
      </w:r>
      <w:r w:rsidR="00873A36" w:rsidRPr="00061E4D">
        <w:rPr>
          <w:rFonts w:eastAsia="MS Mincho" w:cs="Arial"/>
        </w:rPr>
        <w:t>Il est donc fort probable que ce suivi soit effectué par un autre médecin.</w:t>
      </w:r>
    </w:p>
    <w:p w14:paraId="795148D2" w14:textId="77777777" w:rsidR="00873A36" w:rsidRPr="00061E4D" w:rsidRDefault="00873A36" w:rsidP="0059357A">
      <w:pPr>
        <w:spacing w:line="276" w:lineRule="auto"/>
        <w:jc w:val="both"/>
        <w:rPr>
          <w:rFonts w:eastAsia="MS Mincho" w:cs="Arial"/>
        </w:rPr>
      </w:pPr>
    </w:p>
    <w:p w14:paraId="7955A2D5" w14:textId="31B57104" w:rsidR="0059357A" w:rsidRDefault="00662007" w:rsidP="0059357A">
      <w:pPr>
        <w:spacing w:line="276" w:lineRule="auto"/>
        <w:jc w:val="both"/>
      </w:pPr>
      <w:r>
        <w:rPr>
          <w:noProof/>
        </w:rPr>
        <w:lastRenderedPageBreak/>
        <w:t xml:space="preserve">Dans ce contexte, la procédure d’accompagnement </w:t>
      </w:r>
      <w:r w:rsidR="00685691" w:rsidRPr="00685691">
        <w:rPr>
          <w:noProof/>
        </w:rPr>
        <w:t>de</w:t>
      </w:r>
      <w:r w:rsidR="00685691">
        <w:rPr>
          <w:noProof/>
        </w:rPr>
        <w:t>s</w:t>
      </w:r>
      <w:r w:rsidR="00685691" w:rsidRPr="00685691">
        <w:rPr>
          <w:noProof/>
        </w:rPr>
        <w:t xml:space="preserve"> personnes </w:t>
      </w:r>
      <w:r w:rsidR="00685691">
        <w:rPr>
          <w:noProof/>
        </w:rPr>
        <w:t xml:space="preserve">seules et </w:t>
      </w:r>
      <w:r w:rsidR="00685691" w:rsidRPr="00685691">
        <w:rPr>
          <w:noProof/>
        </w:rPr>
        <w:t xml:space="preserve">vulnérables </w:t>
      </w:r>
      <w:r>
        <w:rPr>
          <w:noProof/>
        </w:rPr>
        <w:t>mise en place dans le cadre de l’</w:t>
      </w:r>
      <w:r w:rsidRPr="00662007">
        <w:rPr>
          <w:noProof/>
        </w:rPr>
        <w:t>application du protocole national de priorisation pour l’accès aux soins intensifs</w:t>
      </w:r>
      <w:r w:rsidR="003438FE" w:rsidRPr="00061E4D">
        <w:rPr>
          <w:noProof/>
        </w:rPr>
        <w:t xml:space="preserve"> en temps de pandémie</w:t>
      </w:r>
      <w:r>
        <w:rPr>
          <w:noProof/>
        </w:rPr>
        <w:t xml:space="preserve"> </w:t>
      </w:r>
      <w:r w:rsidR="00347BF1" w:rsidRPr="00061E4D">
        <w:rPr>
          <w:noProof/>
        </w:rPr>
        <w:t xml:space="preserve">pourrait </w:t>
      </w:r>
      <w:r w:rsidR="003438FE" w:rsidRPr="00061E4D">
        <w:rPr>
          <w:noProof/>
        </w:rPr>
        <w:t>probablement s’appliquer pour un accompagnement dans une demande d’aide médicale à mourir : on parle ici de « </w:t>
      </w:r>
      <w:r w:rsidR="003438FE" w:rsidRPr="00061E4D">
        <w:t>s’assurer qu’un patient qui a besoin d’être accompagné lors de l’évaluation clinique initiale ne soit pas seul afin que cette évaluation repose sur un maximum d’informations pertinentes ».</w:t>
      </w:r>
    </w:p>
    <w:p w14:paraId="40B41541" w14:textId="3E6EDEB1" w:rsidR="0083257A" w:rsidRDefault="0083257A" w:rsidP="0059357A">
      <w:pPr>
        <w:spacing w:line="276" w:lineRule="auto"/>
        <w:jc w:val="both"/>
      </w:pPr>
    </w:p>
    <w:p w14:paraId="6EEB5C6B" w14:textId="439C73F3" w:rsidR="0083257A" w:rsidRPr="0006211C" w:rsidRDefault="0083257A" w:rsidP="0083257A">
      <w:pPr>
        <w:pStyle w:val="Titre2"/>
      </w:pPr>
      <w:bookmarkStart w:id="20" w:name="_Toc79671863"/>
      <w:r w:rsidRPr="0006211C">
        <w:t>Recommandation 5</w:t>
      </w:r>
      <w:bookmarkEnd w:id="20"/>
    </w:p>
    <w:p w14:paraId="564565B6" w14:textId="5AFA58A9" w:rsidR="0083257A" w:rsidRPr="00061E4D" w:rsidRDefault="0083257A" w:rsidP="0083257A">
      <w:pPr>
        <w:pStyle w:val="Citation"/>
      </w:pPr>
      <w:r w:rsidRPr="0006211C">
        <w:t xml:space="preserve">Mettre en place une procédure d’accompagnement de toute personne en situation de handicap qui </w:t>
      </w:r>
      <w:bookmarkStart w:id="21" w:name="_Hlk79494446"/>
      <w:r w:rsidRPr="0006211C">
        <w:t>demanderait l’aide médicale à mourir</w:t>
      </w:r>
      <w:bookmarkEnd w:id="21"/>
      <w:r w:rsidRPr="0006211C">
        <w:t xml:space="preserve">. Cet accompagnement devra se faire dès le début de la démarche de demande d’aide médicale à mourir et pourrait s’inspirer de la procédure </w:t>
      </w:r>
      <w:r w:rsidR="0006211C" w:rsidRPr="0006211C">
        <w:t xml:space="preserve">d’accompagnement des personnes seules et vulnérables </w:t>
      </w:r>
      <w:r w:rsidRPr="0006211C">
        <w:t>émise dans le cadre de l’application du protocole national de priorisation pour l’accès aux soins intensifs en temps de pandémie</w:t>
      </w:r>
      <w:r w:rsidRPr="0006211C">
        <w:rPr>
          <w:rStyle w:val="Appelnotedebasdep"/>
          <w:noProof/>
        </w:rPr>
        <w:footnoteReference w:id="24"/>
      </w:r>
      <w:r w:rsidRPr="0006211C">
        <w:t>.</w:t>
      </w:r>
    </w:p>
    <w:p w14:paraId="66B02535" w14:textId="77777777" w:rsidR="00D35B49" w:rsidRPr="00061E4D" w:rsidRDefault="00D35B49" w:rsidP="00D35B49">
      <w:pPr>
        <w:spacing w:line="276" w:lineRule="auto"/>
        <w:jc w:val="both"/>
        <w:rPr>
          <w:rFonts w:eastAsia="MS Mincho" w:cs="Arial"/>
        </w:rPr>
      </w:pPr>
    </w:p>
    <w:p w14:paraId="1BE3C1A1" w14:textId="65BF0CD5" w:rsidR="00D35B49" w:rsidRPr="00061E4D" w:rsidRDefault="00D35B49" w:rsidP="00D35B49">
      <w:pPr>
        <w:spacing w:line="276" w:lineRule="auto"/>
        <w:jc w:val="both"/>
        <w:rPr>
          <w:rFonts w:eastAsia="MS Mincho" w:cs="Arial"/>
        </w:rPr>
      </w:pPr>
      <w:r w:rsidRPr="00061E4D">
        <w:rPr>
          <w:rFonts w:eastAsia="MS Mincho" w:cs="Arial"/>
        </w:rPr>
        <w:t xml:space="preserve">Pour leur part, les personnes </w:t>
      </w:r>
      <w:r w:rsidR="00142B28" w:rsidRPr="00061E4D">
        <w:rPr>
          <w:noProof/>
          <w:color w:val="auto"/>
        </w:rPr>
        <w:t>en situation de handicap</w:t>
      </w:r>
      <w:r w:rsidR="00142B28" w:rsidRPr="00061E4D" w:rsidDel="00142B28">
        <w:rPr>
          <w:rFonts w:eastAsia="MS Mincho" w:cs="Arial"/>
        </w:rPr>
        <w:t xml:space="preserve"> </w:t>
      </w:r>
      <w:r w:rsidRPr="00061E4D">
        <w:rPr>
          <w:rFonts w:eastAsia="MS Mincho" w:cs="Arial"/>
        </w:rPr>
        <w:t xml:space="preserve">et leurs proches sont encore souvent confrontées à la ténacité de préjugés à leur égard. </w:t>
      </w:r>
      <w:r w:rsidR="00705CB5" w:rsidRPr="00061E4D">
        <w:rPr>
          <w:rFonts w:eastAsia="MS Mincho" w:cs="Arial"/>
        </w:rPr>
        <w:t>E</w:t>
      </w:r>
      <w:r w:rsidRPr="00061E4D">
        <w:rPr>
          <w:rFonts w:eastAsia="MS Mincho" w:cs="Arial"/>
        </w:rPr>
        <w:t xml:space="preserve">lles sont nombreuses à pouvoir témoigner </w:t>
      </w:r>
      <w:r w:rsidR="004B2DD6" w:rsidRPr="00061E4D">
        <w:rPr>
          <w:rFonts w:eastAsia="MS Mincho" w:cs="Arial"/>
        </w:rPr>
        <w:t xml:space="preserve">de préjugés, </w:t>
      </w:r>
      <w:r w:rsidRPr="00061E4D">
        <w:rPr>
          <w:rFonts w:eastAsia="MS Mincho" w:cs="Arial"/>
        </w:rPr>
        <w:t>de regards d’apitoiement face à leur condition et de l’infantilisation qu’on démontre à leur endroit dans de simples gestes quotidiens.</w:t>
      </w:r>
      <w:r w:rsidR="00D41449" w:rsidRPr="00061E4D">
        <w:rPr>
          <w:rFonts w:eastAsia="MS Mincho" w:cs="Arial"/>
        </w:rPr>
        <w:t xml:space="preserve"> </w:t>
      </w:r>
      <w:r w:rsidRPr="00061E4D">
        <w:rPr>
          <w:rFonts w:eastAsia="MS Mincho" w:cs="Arial"/>
        </w:rPr>
        <w:t xml:space="preserve">À cet égard, des organismes </w:t>
      </w:r>
      <w:r w:rsidR="0006211C">
        <w:rPr>
          <w:rFonts w:eastAsia="MS Mincho" w:cs="Arial"/>
        </w:rPr>
        <w:t xml:space="preserve">d’action </w:t>
      </w:r>
      <w:r w:rsidRPr="00061E4D">
        <w:rPr>
          <w:rFonts w:eastAsia="MS Mincho" w:cs="Arial"/>
        </w:rPr>
        <w:t xml:space="preserve">communautaire autonome de personnes </w:t>
      </w:r>
      <w:r w:rsidR="00142B28" w:rsidRPr="00061E4D">
        <w:rPr>
          <w:noProof/>
          <w:color w:val="auto"/>
        </w:rPr>
        <w:t>en situation de handicap</w:t>
      </w:r>
      <w:r w:rsidRPr="00061E4D">
        <w:rPr>
          <w:rFonts w:eastAsia="MS Mincho" w:cs="Arial"/>
        </w:rPr>
        <w:t xml:space="preserve"> pourraient contribuer à un volet spécifique de formation les concernant et la COPHAN serait heureuse d’y participer.</w:t>
      </w:r>
    </w:p>
    <w:p w14:paraId="3615617D" w14:textId="77777777" w:rsidR="00347BF1" w:rsidRPr="00061E4D" w:rsidRDefault="00347BF1" w:rsidP="00D35B49">
      <w:pPr>
        <w:spacing w:line="276" w:lineRule="auto"/>
        <w:jc w:val="both"/>
        <w:rPr>
          <w:rFonts w:eastAsia="MS Mincho" w:cs="Arial"/>
        </w:rPr>
      </w:pPr>
    </w:p>
    <w:p w14:paraId="2CC97599" w14:textId="52F83883" w:rsidR="007E349E" w:rsidRPr="00061E4D" w:rsidRDefault="00E22FCE" w:rsidP="00237A22">
      <w:pPr>
        <w:pStyle w:val="Titre"/>
        <w:pBdr>
          <w:bottom w:val="none" w:sz="0" w:space="0" w:color="auto"/>
        </w:pBdr>
        <w:outlineLvl w:val="0"/>
        <w:rPr>
          <w:b/>
          <w:sz w:val="36"/>
          <w:szCs w:val="36"/>
        </w:rPr>
      </w:pPr>
      <w:bookmarkStart w:id="23" w:name="_Toc79671864"/>
      <w:r w:rsidRPr="00061E4D">
        <w:rPr>
          <w:b/>
          <w:sz w:val="36"/>
          <w:szCs w:val="36"/>
        </w:rPr>
        <w:t>Le consentement libre et éclairé</w:t>
      </w:r>
      <w:r w:rsidR="00AC6C71">
        <w:rPr>
          <w:b/>
          <w:sz w:val="36"/>
          <w:szCs w:val="36"/>
        </w:rPr>
        <w:t xml:space="preserve"> et l</w:t>
      </w:r>
      <w:r w:rsidR="00AC6C71" w:rsidRPr="00AC6C71">
        <w:rPr>
          <w:b/>
          <w:sz w:val="36"/>
          <w:szCs w:val="36"/>
        </w:rPr>
        <w:t>e droit à l’information</w:t>
      </w:r>
      <w:bookmarkEnd w:id="23"/>
    </w:p>
    <w:bookmarkEnd w:id="8"/>
    <w:bookmarkEnd w:id="9"/>
    <w:p w14:paraId="0B403B0D" w14:textId="7642BF59" w:rsidR="004C1896" w:rsidRPr="00061E4D" w:rsidRDefault="0060269B" w:rsidP="00237A22">
      <w:pPr>
        <w:spacing w:line="276" w:lineRule="auto"/>
        <w:jc w:val="both"/>
        <w:rPr>
          <w:rFonts w:eastAsia="MS Mincho" w:cs="Arial"/>
        </w:rPr>
      </w:pPr>
      <w:r w:rsidRPr="00061E4D">
        <w:rPr>
          <w:rFonts w:eastAsia="MS Mincho" w:cs="Arial"/>
        </w:rPr>
        <w:t>L’enjeu principal soulevé par l’élargissement potentiel de l’aide médicale à mourir aux personnes en situation d’inaptitude est celui du consentement libre et éclairé</w:t>
      </w:r>
      <w:r w:rsidR="004C1896" w:rsidRPr="00061E4D">
        <w:rPr>
          <w:rFonts w:eastAsia="MS Mincho" w:cs="Arial"/>
        </w:rPr>
        <w:t>, garanti</w:t>
      </w:r>
      <w:r w:rsidR="001E182F">
        <w:rPr>
          <w:rFonts w:eastAsia="MS Mincho" w:cs="Arial"/>
        </w:rPr>
        <w:t>s</w:t>
      </w:r>
      <w:r w:rsidR="004C1896" w:rsidRPr="00061E4D">
        <w:rPr>
          <w:rFonts w:eastAsia="MS Mincho" w:cs="Arial"/>
        </w:rPr>
        <w:t xml:space="preserve"> par l’article 10 du </w:t>
      </w:r>
      <w:hyperlink r:id="rId13" w:history="1">
        <w:r w:rsidR="004C1896" w:rsidRPr="00823268">
          <w:rPr>
            <w:rStyle w:val="Lienhypertexte"/>
            <w:rFonts w:eastAsia="MS Mincho" w:cs="Arial"/>
            <w:i/>
            <w:iCs/>
          </w:rPr>
          <w:t>Code civil du Québec</w:t>
        </w:r>
      </w:hyperlink>
      <w:r w:rsidR="004C1896" w:rsidRPr="00061E4D">
        <w:rPr>
          <w:rFonts w:eastAsia="MS Mincho" w:cs="Arial"/>
        </w:rPr>
        <w:t xml:space="preserve"> qui précise que « Toute personne est inviolable et a droit à son intégrité. Sauf dans les cas prévus par la loi, nul ne peut lui porter atteinte sans son consentement libre et éclairé. »</w:t>
      </w:r>
      <w:r w:rsidR="00042CBD" w:rsidRPr="00061E4D">
        <w:rPr>
          <w:rFonts w:eastAsia="MS Mincho" w:cs="Arial"/>
        </w:rPr>
        <w:t>.</w:t>
      </w:r>
    </w:p>
    <w:p w14:paraId="610B2294" w14:textId="3B98DA46" w:rsidR="004C1896" w:rsidRDefault="004C1896" w:rsidP="00237A22">
      <w:pPr>
        <w:spacing w:line="276" w:lineRule="auto"/>
        <w:jc w:val="both"/>
        <w:rPr>
          <w:rFonts w:eastAsia="MS Mincho" w:cs="Arial"/>
        </w:rPr>
      </w:pPr>
    </w:p>
    <w:p w14:paraId="15A7EC43" w14:textId="6AB19D17" w:rsidR="003202BC" w:rsidRPr="00061E4D" w:rsidRDefault="003202BC" w:rsidP="00237A22">
      <w:pPr>
        <w:spacing w:line="276" w:lineRule="auto"/>
        <w:jc w:val="both"/>
        <w:rPr>
          <w:rFonts w:eastAsia="MS Mincho" w:cs="Arial"/>
        </w:rPr>
      </w:pPr>
      <w:r w:rsidRPr="00061E4D">
        <w:rPr>
          <w:rFonts w:eastAsia="MS Mincho" w:cs="Arial"/>
        </w:rPr>
        <w:t xml:space="preserve">Comme le précise le Collège des médecins du Québec, </w:t>
      </w:r>
      <w:r w:rsidR="003A7821" w:rsidRPr="00061E4D">
        <w:rPr>
          <w:rFonts w:eastAsia="MS Mincho" w:cs="Arial"/>
        </w:rPr>
        <w:t xml:space="preserve">le choix est libre, lorsqu’il est « obtenu sans pression, menace, contrainte ou promesse de la part du médecin, de la famille ou de l’entourage du patient, voire des instances administratives et des impératifs </w:t>
      </w:r>
      <w:r w:rsidR="003A7821" w:rsidRPr="00061E4D">
        <w:rPr>
          <w:rFonts w:eastAsia="MS Mincho" w:cs="Arial"/>
        </w:rPr>
        <w:lastRenderedPageBreak/>
        <w:t>budgétaires. »</w:t>
      </w:r>
      <w:r w:rsidR="003F17CA" w:rsidRPr="003F17CA">
        <w:rPr>
          <w:rStyle w:val="Appelnotedebasdep"/>
          <w:rFonts w:eastAsia="MS Mincho"/>
        </w:rPr>
        <w:t xml:space="preserve"> </w:t>
      </w:r>
      <w:r w:rsidR="003F17CA" w:rsidRPr="00061E4D">
        <w:rPr>
          <w:rStyle w:val="Appelnotedebasdep"/>
          <w:rFonts w:eastAsia="MS Mincho"/>
        </w:rPr>
        <w:footnoteReference w:id="25"/>
      </w:r>
      <w:r w:rsidR="003A7821" w:rsidRPr="00061E4D">
        <w:rPr>
          <w:rFonts w:eastAsia="MS Mincho" w:cs="Arial"/>
        </w:rPr>
        <w:t xml:space="preserve">. Toujours d’après le Collège des médecins, pour que le choix du patient soit éclairé, </w:t>
      </w:r>
      <w:r w:rsidRPr="00061E4D">
        <w:rPr>
          <w:rFonts w:eastAsia="MS Mincho" w:cs="Arial"/>
        </w:rPr>
        <w:t>l’information donnée par le médecin à son patient doit porter sur :</w:t>
      </w:r>
    </w:p>
    <w:p w14:paraId="4B05E183" w14:textId="02F44203"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le diagnostic ou du moins la nature de la maladie</w:t>
      </w:r>
      <w:r w:rsidR="008F7DCE" w:rsidRPr="00E22D53">
        <w:rPr>
          <w:rFonts w:ascii="Arial" w:eastAsia="MS Mincho" w:hAnsi="Arial" w:cs="Arial"/>
          <w:sz w:val="24"/>
          <w:szCs w:val="24"/>
        </w:rPr>
        <w:t> </w:t>
      </w:r>
      <w:r w:rsidRPr="00E22D53">
        <w:rPr>
          <w:rFonts w:ascii="Arial" w:eastAsia="MS Mincho" w:hAnsi="Arial" w:cs="Arial"/>
          <w:sz w:val="24"/>
          <w:szCs w:val="24"/>
        </w:rPr>
        <w:t>;</w:t>
      </w:r>
    </w:p>
    <w:p w14:paraId="3BA9362E" w14:textId="47964646"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la nature et l’objectif des interventions proposées</w:t>
      </w:r>
      <w:r w:rsidR="008F7DCE" w:rsidRPr="00E22D53">
        <w:rPr>
          <w:rFonts w:ascii="Arial" w:eastAsia="MS Mincho" w:hAnsi="Arial" w:cs="Arial"/>
          <w:sz w:val="24"/>
          <w:szCs w:val="24"/>
        </w:rPr>
        <w:t> </w:t>
      </w:r>
      <w:r w:rsidR="008D1362" w:rsidRPr="00E22D53">
        <w:rPr>
          <w:rFonts w:ascii="Arial" w:eastAsia="MS Mincho" w:hAnsi="Arial" w:cs="Arial"/>
          <w:sz w:val="24"/>
          <w:szCs w:val="24"/>
        </w:rPr>
        <w:t>;</w:t>
      </w:r>
    </w:p>
    <w:p w14:paraId="65906983" w14:textId="47805842"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les risques prévisibles, probables des interventions</w:t>
      </w:r>
      <w:r w:rsidR="008F7DCE" w:rsidRPr="00E22D53">
        <w:rPr>
          <w:rFonts w:ascii="Arial" w:eastAsia="MS Mincho" w:hAnsi="Arial" w:cs="Arial"/>
          <w:sz w:val="24"/>
          <w:szCs w:val="24"/>
        </w:rPr>
        <w:t> </w:t>
      </w:r>
      <w:r w:rsidRPr="00E22D53">
        <w:rPr>
          <w:rFonts w:ascii="Arial" w:eastAsia="MS Mincho" w:hAnsi="Arial" w:cs="Arial"/>
          <w:sz w:val="24"/>
          <w:szCs w:val="24"/>
        </w:rPr>
        <w:t>;</w:t>
      </w:r>
    </w:p>
    <w:p w14:paraId="702CA885" w14:textId="6133CDD6"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les résultats escomptés, dont les chances de réussite du traitement, mais aussi leur impact sur la vie du patient</w:t>
      </w:r>
      <w:r w:rsidR="008F7DCE" w:rsidRPr="00E22D53">
        <w:rPr>
          <w:rFonts w:ascii="Arial" w:eastAsia="MS Mincho" w:hAnsi="Arial" w:cs="Arial"/>
          <w:sz w:val="24"/>
          <w:szCs w:val="24"/>
        </w:rPr>
        <w:t> </w:t>
      </w:r>
      <w:r w:rsidRPr="00E22D53">
        <w:rPr>
          <w:rFonts w:ascii="Arial" w:eastAsia="MS Mincho" w:hAnsi="Arial" w:cs="Arial"/>
          <w:sz w:val="24"/>
          <w:szCs w:val="24"/>
        </w:rPr>
        <w:t>;</w:t>
      </w:r>
    </w:p>
    <w:p w14:paraId="7C49DFAA" w14:textId="28D4345F"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les autres choix possibles</w:t>
      </w:r>
      <w:r w:rsidR="008D1362" w:rsidRPr="00E22D53">
        <w:rPr>
          <w:rFonts w:ascii="Arial" w:eastAsia="MS Mincho" w:hAnsi="Arial" w:cs="Arial"/>
          <w:sz w:val="24"/>
          <w:szCs w:val="24"/>
        </w:rPr>
        <w:t> </w:t>
      </w:r>
      <w:r w:rsidRPr="00E22D53">
        <w:rPr>
          <w:rFonts w:ascii="Arial" w:eastAsia="MS Mincho" w:hAnsi="Arial" w:cs="Arial"/>
          <w:sz w:val="24"/>
          <w:szCs w:val="24"/>
        </w:rPr>
        <w:t>: la nature, les risques et les bénéfices de chacun</w:t>
      </w:r>
      <w:r w:rsidR="008F7DCE" w:rsidRPr="00E22D53">
        <w:rPr>
          <w:rFonts w:ascii="Arial" w:eastAsia="MS Mincho" w:hAnsi="Arial" w:cs="Arial"/>
          <w:sz w:val="24"/>
          <w:szCs w:val="24"/>
        </w:rPr>
        <w:t> </w:t>
      </w:r>
      <w:r w:rsidRPr="00E22D53">
        <w:rPr>
          <w:rFonts w:ascii="Arial" w:eastAsia="MS Mincho" w:hAnsi="Arial" w:cs="Arial"/>
          <w:sz w:val="24"/>
          <w:szCs w:val="24"/>
        </w:rPr>
        <w:t>;</w:t>
      </w:r>
    </w:p>
    <w:p w14:paraId="39166595" w14:textId="46B19ACE" w:rsidR="003202BC" w:rsidRPr="00E22D53" w:rsidRDefault="003202BC" w:rsidP="0006211C">
      <w:pPr>
        <w:pStyle w:val="Paragraphedeliste"/>
        <w:numPr>
          <w:ilvl w:val="0"/>
          <w:numId w:val="26"/>
        </w:numPr>
        <w:jc w:val="both"/>
        <w:rPr>
          <w:rFonts w:ascii="Arial" w:eastAsia="MS Mincho" w:hAnsi="Arial" w:cs="Arial"/>
          <w:sz w:val="24"/>
          <w:szCs w:val="24"/>
        </w:rPr>
      </w:pPr>
      <w:r w:rsidRPr="00E22D53">
        <w:rPr>
          <w:rFonts w:ascii="Arial" w:eastAsia="MS Mincho" w:hAnsi="Arial" w:cs="Arial"/>
          <w:sz w:val="24"/>
          <w:szCs w:val="24"/>
        </w:rPr>
        <w:t>les conséquences d’un refus, si envisagé</w:t>
      </w:r>
      <w:r w:rsidR="008D1362" w:rsidRPr="00E22D53">
        <w:rPr>
          <w:rFonts w:ascii="Arial" w:eastAsia="MS Mincho" w:hAnsi="Arial" w:cs="Arial"/>
          <w:sz w:val="24"/>
          <w:szCs w:val="24"/>
        </w:rPr>
        <w:t>.</w:t>
      </w:r>
    </w:p>
    <w:p w14:paraId="79E42064" w14:textId="103523D9" w:rsidR="00F719A2" w:rsidRPr="00061E4D" w:rsidRDefault="00F719A2" w:rsidP="00237A22">
      <w:pPr>
        <w:spacing w:line="276" w:lineRule="auto"/>
        <w:jc w:val="both"/>
        <w:rPr>
          <w:rFonts w:eastAsia="MS Mincho" w:cs="Arial"/>
        </w:rPr>
      </w:pPr>
    </w:p>
    <w:p w14:paraId="443E333F" w14:textId="77777777" w:rsidR="0022025B" w:rsidRPr="00061E4D" w:rsidRDefault="0022025B" w:rsidP="00237A22">
      <w:pPr>
        <w:spacing w:line="276" w:lineRule="auto"/>
        <w:jc w:val="both"/>
        <w:rPr>
          <w:rFonts w:eastAsia="MS Mincho" w:cs="Arial"/>
        </w:rPr>
      </w:pPr>
      <w:r w:rsidRPr="00061E4D">
        <w:rPr>
          <w:rFonts w:eastAsia="MS Mincho" w:cs="Arial"/>
        </w:rPr>
        <w:t>Afin de permettre un consentement libre et éclairé, l’information transmise doit être complète et tout doit être mis en œuvre pour qu’elle soit accessible à toutes les personnes, tout au long du processus des soins de fin de vie.</w:t>
      </w:r>
    </w:p>
    <w:p w14:paraId="2140C3CB" w14:textId="77777777" w:rsidR="0022025B" w:rsidRPr="00061E4D" w:rsidRDefault="0022025B" w:rsidP="00237A22">
      <w:pPr>
        <w:spacing w:line="276" w:lineRule="auto"/>
        <w:jc w:val="both"/>
        <w:rPr>
          <w:rFonts w:eastAsia="MS Mincho" w:cs="Arial"/>
        </w:rPr>
      </w:pPr>
    </w:p>
    <w:p w14:paraId="4CA3F64C" w14:textId="5C957BFD" w:rsidR="0022025B" w:rsidRPr="00061E4D" w:rsidRDefault="0022025B" w:rsidP="00237A22">
      <w:pPr>
        <w:spacing w:line="276" w:lineRule="auto"/>
        <w:jc w:val="both"/>
        <w:rPr>
          <w:rFonts w:eastAsia="MS Mincho" w:cs="Arial"/>
        </w:rPr>
      </w:pPr>
      <w:r w:rsidRPr="00061E4D">
        <w:rPr>
          <w:rFonts w:eastAsia="MS Mincho" w:cs="Arial"/>
        </w:rPr>
        <w:t>Or, de nombreux articles de la Loi concernant les soins de fin de vie sont étroitement liés à l’accès à l’information</w:t>
      </w:r>
      <w:r w:rsidR="008D1362" w:rsidRPr="00061E4D">
        <w:rPr>
          <w:rFonts w:eastAsia="MS Mincho" w:cs="Arial"/>
        </w:rPr>
        <w:t xml:space="preserve"> : entre autres, </w:t>
      </w:r>
      <w:r w:rsidRPr="00061E4D">
        <w:rPr>
          <w:rFonts w:eastAsia="MS Mincho" w:cs="Arial"/>
        </w:rPr>
        <w:t xml:space="preserve">l’information que les </w:t>
      </w:r>
      <w:r w:rsidR="006E3D8B" w:rsidRPr="00061E4D">
        <w:rPr>
          <w:rFonts w:eastAsia="MS Mincho" w:cs="Arial"/>
        </w:rPr>
        <w:t>C</w:t>
      </w:r>
      <w:r w:rsidR="006D5852" w:rsidRPr="00061E4D">
        <w:rPr>
          <w:rFonts w:eastAsia="MS Mincho" w:cs="Arial"/>
        </w:rPr>
        <w:t xml:space="preserve">entres intégrés de santé et de services sociaux </w:t>
      </w:r>
      <w:r w:rsidR="003C3AE7" w:rsidRPr="00061E4D">
        <w:rPr>
          <w:rFonts w:eastAsia="MS Mincho" w:cs="Arial"/>
        </w:rPr>
        <w:t xml:space="preserve">(CISSS) </w:t>
      </w:r>
      <w:r w:rsidR="006E3D8B" w:rsidRPr="00061E4D">
        <w:rPr>
          <w:rFonts w:eastAsia="MS Mincho" w:cs="Arial"/>
        </w:rPr>
        <w:t xml:space="preserve">et </w:t>
      </w:r>
      <w:r w:rsidR="006D5852" w:rsidRPr="00061E4D">
        <w:rPr>
          <w:rFonts w:eastAsia="MS Mincho" w:cs="Arial"/>
        </w:rPr>
        <w:t>les Centres intégrés universitaires de santé et de services sociaux</w:t>
      </w:r>
      <w:r w:rsidR="003C3AE7" w:rsidRPr="00061E4D">
        <w:rPr>
          <w:rFonts w:eastAsia="MS Mincho" w:cs="Arial"/>
        </w:rPr>
        <w:t xml:space="preserve"> (CIUSSS)</w:t>
      </w:r>
      <w:r w:rsidRPr="00061E4D">
        <w:rPr>
          <w:rFonts w:eastAsia="MS Mincho" w:cs="Arial"/>
        </w:rPr>
        <w:t xml:space="preserve"> doivent transmettre à la population, </w:t>
      </w:r>
      <w:r w:rsidR="008D1362" w:rsidRPr="00061E4D">
        <w:rPr>
          <w:rFonts w:eastAsia="MS Mincho" w:cs="Arial"/>
        </w:rPr>
        <w:t>l</w:t>
      </w:r>
      <w:r w:rsidRPr="00061E4D">
        <w:rPr>
          <w:rFonts w:eastAsia="MS Mincho" w:cs="Arial"/>
        </w:rPr>
        <w:t xml:space="preserve">es formulaires conçus pour les directives médicales anticipées et les demandes d’aide médicale à mourir, </w:t>
      </w:r>
      <w:r w:rsidR="008D1362" w:rsidRPr="00061E4D">
        <w:rPr>
          <w:rFonts w:eastAsia="MS Mincho" w:cs="Arial"/>
        </w:rPr>
        <w:t>l</w:t>
      </w:r>
      <w:r w:rsidRPr="00061E4D">
        <w:rPr>
          <w:rFonts w:eastAsia="MS Mincho" w:cs="Arial"/>
        </w:rPr>
        <w:t>es codes d’éthique auxquels les usagers ont</w:t>
      </w:r>
      <w:r w:rsidR="00F52217" w:rsidRPr="00061E4D">
        <w:rPr>
          <w:rFonts w:eastAsia="MS Mincho" w:cs="Arial"/>
        </w:rPr>
        <w:t xml:space="preserve"> droit d’</w:t>
      </w:r>
      <w:r w:rsidRPr="00061E4D">
        <w:rPr>
          <w:rFonts w:eastAsia="MS Mincho" w:cs="Arial"/>
        </w:rPr>
        <w:t xml:space="preserve">accès, </w:t>
      </w:r>
      <w:r w:rsidR="008D1362" w:rsidRPr="00061E4D">
        <w:rPr>
          <w:rFonts w:eastAsia="MS Mincho" w:cs="Arial"/>
        </w:rPr>
        <w:t>l</w:t>
      </w:r>
      <w:r w:rsidRPr="00061E4D">
        <w:rPr>
          <w:rFonts w:eastAsia="MS Mincho" w:cs="Arial"/>
        </w:rPr>
        <w:t>es échanges entre les professionnels de la santé et les patients. Ces communications doivent pouvoir être émises dans le format choisi par les personnes.</w:t>
      </w:r>
    </w:p>
    <w:p w14:paraId="492C9A40" w14:textId="77777777" w:rsidR="0022025B" w:rsidRPr="00061E4D" w:rsidRDefault="0022025B" w:rsidP="00237A22">
      <w:pPr>
        <w:spacing w:line="276" w:lineRule="auto"/>
        <w:jc w:val="both"/>
        <w:rPr>
          <w:rFonts w:eastAsia="MS Mincho" w:cs="Arial"/>
        </w:rPr>
      </w:pPr>
    </w:p>
    <w:p w14:paraId="096FDE12" w14:textId="552A567A" w:rsidR="008D1362" w:rsidRPr="00061E4D" w:rsidRDefault="006E3D8B" w:rsidP="006E3D8B">
      <w:pPr>
        <w:spacing w:line="276" w:lineRule="auto"/>
        <w:jc w:val="both"/>
        <w:rPr>
          <w:rFonts w:eastAsia="MS Mincho" w:cs="Arial"/>
        </w:rPr>
      </w:pPr>
      <w:r w:rsidRPr="00061E4D">
        <w:rPr>
          <w:rFonts w:eastAsia="MS Mincho" w:cs="Arial"/>
        </w:rPr>
        <w:t xml:space="preserve">Dans un contexte d’évolution de la Loi et </w:t>
      </w:r>
      <w:r w:rsidR="00E95782" w:rsidRPr="00061E4D">
        <w:rPr>
          <w:rFonts w:eastAsia="MS Mincho" w:cs="Arial"/>
        </w:rPr>
        <w:t xml:space="preserve">de son </w:t>
      </w:r>
      <w:r w:rsidRPr="00061E4D">
        <w:rPr>
          <w:rFonts w:eastAsia="MS Mincho" w:cs="Arial"/>
        </w:rPr>
        <w:t>éventuel élargissement</w:t>
      </w:r>
      <w:r w:rsidR="0022025B" w:rsidRPr="00061E4D">
        <w:rPr>
          <w:rFonts w:eastAsia="MS Mincho" w:cs="Arial"/>
        </w:rPr>
        <w:t xml:space="preserve">, nous souhaitons </w:t>
      </w:r>
      <w:r w:rsidR="00E95782" w:rsidRPr="00061E4D">
        <w:rPr>
          <w:rFonts w:eastAsia="MS Mincho" w:cs="Arial"/>
        </w:rPr>
        <w:t>que</w:t>
      </w:r>
      <w:r w:rsidR="008D1362" w:rsidRPr="00061E4D">
        <w:rPr>
          <w:rFonts w:eastAsia="MS Mincho" w:cs="Arial"/>
        </w:rPr>
        <w:t>, l</w:t>
      </w:r>
      <w:r w:rsidR="0022025B" w:rsidRPr="00061E4D">
        <w:rPr>
          <w:rFonts w:eastAsia="MS Mincho" w:cs="Arial"/>
        </w:rPr>
        <w:t>e 4</w:t>
      </w:r>
      <w:r w:rsidR="0022025B" w:rsidRPr="00061E4D">
        <w:rPr>
          <w:rFonts w:eastAsia="MS Mincho" w:cs="Arial"/>
          <w:vertAlign w:val="superscript"/>
        </w:rPr>
        <w:t>e</w:t>
      </w:r>
      <w:r w:rsidR="008D1362" w:rsidRPr="00061E4D">
        <w:rPr>
          <w:rFonts w:eastAsia="MS Mincho" w:cs="Arial"/>
        </w:rPr>
        <w:t xml:space="preserve"> </w:t>
      </w:r>
      <w:r w:rsidR="0022025B" w:rsidRPr="00061E4D">
        <w:rPr>
          <w:rFonts w:eastAsia="MS Mincho" w:cs="Arial"/>
        </w:rPr>
        <w:t xml:space="preserve">alinéa de l’article 5 </w:t>
      </w:r>
      <w:r w:rsidR="008D1362" w:rsidRPr="00061E4D">
        <w:rPr>
          <w:rFonts w:eastAsia="MS Mincho" w:cs="Arial"/>
        </w:rPr>
        <w:t xml:space="preserve">qui stipule « Le médecin doit s’assurer du caractère libre de la décision et donner à la personne toute l’information lui permettant de prendre une décision éclairée, notamment en l’informant des autres possibilités thérapeutiques envisageables, dont les soins palliatifs », mériterait d’être plus précis. </w:t>
      </w:r>
    </w:p>
    <w:p w14:paraId="5617B682" w14:textId="77777777" w:rsidR="008D1362" w:rsidRPr="00061E4D" w:rsidRDefault="008D1362" w:rsidP="008D1362">
      <w:pPr>
        <w:spacing w:line="276" w:lineRule="auto"/>
        <w:jc w:val="both"/>
        <w:rPr>
          <w:rFonts w:eastAsia="MS Mincho" w:cs="Arial"/>
        </w:rPr>
      </w:pPr>
    </w:p>
    <w:p w14:paraId="66C18259" w14:textId="3C1E382D" w:rsidR="008D1362" w:rsidRPr="00061E4D" w:rsidRDefault="008D1362" w:rsidP="00E95782">
      <w:pPr>
        <w:pStyle w:val="Titre2"/>
      </w:pPr>
      <w:bookmarkStart w:id="24" w:name="_Toc79671865"/>
      <w:r w:rsidRPr="00061E4D">
        <w:t xml:space="preserve">Recommandation </w:t>
      </w:r>
      <w:r w:rsidR="0083257A">
        <w:t>6</w:t>
      </w:r>
      <w:bookmarkEnd w:id="24"/>
    </w:p>
    <w:p w14:paraId="0E04E2EB" w14:textId="544475AA" w:rsidR="0022025B" w:rsidRPr="00061E4D" w:rsidRDefault="00E95782" w:rsidP="000F2C34">
      <w:pPr>
        <w:pStyle w:val="Citation"/>
      </w:pPr>
      <w:r w:rsidRPr="00061E4D">
        <w:t>Dans le cadre de la révision de la Loi, r</w:t>
      </w:r>
      <w:r w:rsidR="008D1362" w:rsidRPr="00061E4D">
        <w:t>emplacer le 4</w:t>
      </w:r>
      <w:r w:rsidR="008D1362" w:rsidRPr="00061E4D">
        <w:rPr>
          <w:vertAlign w:val="superscript"/>
        </w:rPr>
        <w:t>e</w:t>
      </w:r>
      <w:r w:rsidR="00994CCA" w:rsidRPr="00061E4D">
        <w:t xml:space="preserve"> </w:t>
      </w:r>
      <w:r w:rsidR="008D1362" w:rsidRPr="00061E4D">
        <w:t xml:space="preserve">alinéa de l’article 5 de la Loi sur les soins de fin de vie par </w:t>
      </w:r>
      <w:r w:rsidR="00CC7C36" w:rsidRPr="00061E4D">
        <w:t>le 1</w:t>
      </w:r>
      <w:r w:rsidR="00CC7C36" w:rsidRPr="00061E4D">
        <w:rPr>
          <w:vertAlign w:val="superscript"/>
        </w:rPr>
        <w:t>er</w:t>
      </w:r>
      <w:r w:rsidR="00CC7C36" w:rsidRPr="00061E4D">
        <w:t xml:space="preserve"> alinéa de </w:t>
      </w:r>
      <w:r w:rsidR="008D1362" w:rsidRPr="00061E4D">
        <w:t>l’arti</w:t>
      </w:r>
      <w:r w:rsidR="0022025B" w:rsidRPr="00061E4D">
        <w:t xml:space="preserve">cle 8 de </w:t>
      </w:r>
      <w:bookmarkStart w:id="25" w:name="_Hlk79418621"/>
      <w:r w:rsidR="0022025B" w:rsidRPr="00061E4D">
        <w:t xml:space="preserve">la Loi sur la santé et sur les services sociaux : </w:t>
      </w:r>
      <w:r w:rsidR="0022025B" w:rsidRPr="00061E4D">
        <w:rPr>
          <w:b/>
          <w:bCs/>
        </w:rPr>
        <w:t>Tout usager des services de santé et des services sociaux a le droit d’être informé sur son état de santé et de bien-être, de manière à connaître, dans la mesure du possible, les différentes options qui s’offrent à lui</w:t>
      </w:r>
      <w:r w:rsidR="00CC7C36" w:rsidRPr="00061E4D">
        <w:rPr>
          <w:b/>
          <w:bCs/>
        </w:rPr>
        <w:t>, dont les soins palliatifs,</w:t>
      </w:r>
      <w:r w:rsidR="0022025B" w:rsidRPr="00061E4D">
        <w:rPr>
          <w:b/>
          <w:bCs/>
        </w:rPr>
        <w:t xml:space="preserve"> ainsi que les risques et les </w:t>
      </w:r>
      <w:r w:rsidR="0022025B" w:rsidRPr="00061E4D">
        <w:rPr>
          <w:b/>
          <w:bCs/>
        </w:rPr>
        <w:lastRenderedPageBreak/>
        <w:t>conséquences généralement associés à chacune de ces options avant de consentir à des soins le concernant.</w:t>
      </w:r>
      <w:bookmarkEnd w:id="25"/>
    </w:p>
    <w:p w14:paraId="6C821999" w14:textId="77777777" w:rsidR="0022025B" w:rsidRPr="00061E4D" w:rsidRDefault="0022025B" w:rsidP="00237A22">
      <w:pPr>
        <w:spacing w:line="276" w:lineRule="auto"/>
        <w:jc w:val="both"/>
        <w:rPr>
          <w:rFonts w:eastAsia="MS Mincho" w:cs="Arial"/>
        </w:rPr>
      </w:pPr>
    </w:p>
    <w:p w14:paraId="561D06AE" w14:textId="77777777" w:rsidR="0022025B" w:rsidRPr="00061E4D" w:rsidRDefault="0022025B" w:rsidP="00237A22">
      <w:pPr>
        <w:spacing w:line="276" w:lineRule="auto"/>
        <w:jc w:val="both"/>
        <w:rPr>
          <w:rFonts w:eastAsia="MS Mincho" w:cs="Arial"/>
        </w:rPr>
      </w:pPr>
      <w:r w:rsidRPr="00061E4D">
        <w:rPr>
          <w:rFonts w:eastAsia="MS Mincho" w:cs="Arial"/>
        </w:rPr>
        <w:t>À ce titre, il manque dans la loi actuelle un article clair concernant le droit à l’information. Il aurait pu trouver sa place soit dans l’objet de la Loi, soit dans le chapitre II faisant état des « Droits des personnes relatifs aux soins de fin de vie ».</w:t>
      </w:r>
    </w:p>
    <w:p w14:paraId="656B004F" w14:textId="6549FC67" w:rsidR="0022025B" w:rsidRPr="00061E4D" w:rsidRDefault="0022025B" w:rsidP="00237A22">
      <w:pPr>
        <w:autoSpaceDE w:val="0"/>
        <w:autoSpaceDN w:val="0"/>
        <w:adjustRightInd w:val="0"/>
        <w:jc w:val="both"/>
        <w:rPr>
          <w:rFonts w:cs="Arial"/>
        </w:rPr>
      </w:pPr>
    </w:p>
    <w:p w14:paraId="1BD2A4A1" w14:textId="4EFF40CE" w:rsidR="007E349E" w:rsidRPr="00061E4D" w:rsidRDefault="007E349E" w:rsidP="00E95782">
      <w:pPr>
        <w:pStyle w:val="Titre2"/>
      </w:pPr>
      <w:bookmarkStart w:id="26" w:name="_Toc79671866"/>
      <w:r w:rsidRPr="00061E4D">
        <w:t>Recommandation</w:t>
      </w:r>
      <w:r w:rsidR="004266CA" w:rsidRPr="00061E4D">
        <w:t xml:space="preserve"> </w:t>
      </w:r>
      <w:r w:rsidR="00C2100F">
        <w:t>7</w:t>
      </w:r>
      <w:bookmarkEnd w:id="26"/>
    </w:p>
    <w:p w14:paraId="2B23C950" w14:textId="3B5F76F0" w:rsidR="007E349E" w:rsidRDefault="00797376" w:rsidP="000F2C34">
      <w:pPr>
        <w:pStyle w:val="Citation"/>
      </w:pPr>
      <w:r w:rsidRPr="00061E4D">
        <w:t xml:space="preserve">Dans le cadre de la révision de la Loi, </w:t>
      </w:r>
      <w:r>
        <w:t>m</w:t>
      </w:r>
      <w:r w:rsidR="00E95782" w:rsidRPr="00061E4D">
        <w:t xml:space="preserve">odifier </w:t>
      </w:r>
      <w:r w:rsidR="007E349E" w:rsidRPr="00061E4D">
        <w:t xml:space="preserve">l’article 1, Objet de la </w:t>
      </w:r>
      <w:r w:rsidR="001957CE" w:rsidRPr="00061E4D">
        <w:t>L</w:t>
      </w:r>
      <w:r w:rsidR="007E349E" w:rsidRPr="00061E4D">
        <w:t xml:space="preserve">oi, </w:t>
      </w:r>
      <w:r w:rsidR="00E95782" w:rsidRPr="00061E4D">
        <w:t>pour préciser :</w:t>
      </w:r>
      <w:r w:rsidR="007E349E" w:rsidRPr="00061E4D">
        <w:t xml:space="preserve"> « À cette fin, elle précise les droits de ces personnes, </w:t>
      </w:r>
      <w:r w:rsidR="007E349E" w:rsidRPr="00061E4D">
        <w:rPr>
          <w:b/>
          <w:bCs/>
        </w:rPr>
        <w:t>notamment le droit au consentement libre et éclairé et le droit à l’information</w:t>
      </w:r>
      <w:r w:rsidR="007E349E" w:rsidRPr="00061E4D">
        <w:t xml:space="preserve"> (...)</w:t>
      </w:r>
      <w:r w:rsidR="00994CCA" w:rsidRPr="00061E4D">
        <w:t> »</w:t>
      </w:r>
    </w:p>
    <w:p w14:paraId="76429650" w14:textId="77777777" w:rsidR="00AC6C71" w:rsidRPr="00AC6C71" w:rsidRDefault="00AC6C71" w:rsidP="00AC6C71"/>
    <w:p w14:paraId="7FAA0444" w14:textId="2EA3264C" w:rsidR="00237A22" w:rsidRPr="00061E4D" w:rsidRDefault="00237A22" w:rsidP="00E95782">
      <w:pPr>
        <w:pStyle w:val="Titre2"/>
      </w:pPr>
      <w:bookmarkStart w:id="27" w:name="_Toc79671867"/>
      <w:r w:rsidRPr="00061E4D">
        <w:t xml:space="preserve">Recommandation </w:t>
      </w:r>
      <w:r w:rsidR="00C2100F">
        <w:t>8</w:t>
      </w:r>
      <w:bookmarkEnd w:id="27"/>
    </w:p>
    <w:p w14:paraId="16EEBE3C" w14:textId="2C9EAE18" w:rsidR="007E349E" w:rsidRPr="00061E4D" w:rsidRDefault="00797376" w:rsidP="000F2C34">
      <w:pPr>
        <w:pStyle w:val="Citation"/>
      </w:pPr>
      <w:r w:rsidRPr="00061E4D">
        <w:t xml:space="preserve">Dans le cadre de la révision de la Loi, </w:t>
      </w:r>
      <w:r>
        <w:t>m</w:t>
      </w:r>
      <w:r w:rsidR="00E95782" w:rsidRPr="00061E4D">
        <w:t>odifier l</w:t>
      </w:r>
      <w:r w:rsidR="007E349E" w:rsidRPr="00061E4D">
        <w:t xml:space="preserve">’article 2 </w:t>
      </w:r>
      <w:r w:rsidR="00E95782" w:rsidRPr="00061E4D">
        <w:t xml:space="preserve">pour </w:t>
      </w:r>
      <w:r w:rsidR="007E349E" w:rsidRPr="00061E4D">
        <w:t xml:space="preserve">préciser que les principes qui doivent guider la prestation des soins de fin de vie des personnes </w:t>
      </w:r>
      <w:r w:rsidR="007E349E" w:rsidRPr="00061E4D">
        <w:rPr>
          <w:b/>
          <w:bCs/>
        </w:rPr>
        <w:t>sont basés notamment sur les droits fondamentaux de la Charte des droits et libertés de la personne, sur la section des droits de la personne de la Loi sur les services de santé et sur les services sociaux et sur l’article 10 du Code civil du Québec</w:t>
      </w:r>
      <w:r w:rsidR="007E349E" w:rsidRPr="00061E4D">
        <w:t>.</w:t>
      </w:r>
    </w:p>
    <w:p w14:paraId="13C38683" w14:textId="54725925" w:rsidR="00237A22" w:rsidRPr="00061E4D" w:rsidRDefault="00237A22" w:rsidP="00237A22">
      <w:pPr>
        <w:spacing w:line="276" w:lineRule="auto"/>
        <w:jc w:val="both"/>
        <w:rPr>
          <w:rFonts w:eastAsia="MS Mincho" w:cs="Arial"/>
        </w:rPr>
      </w:pPr>
    </w:p>
    <w:p w14:paraId="5EA9ADE0" w14:textId="77AB063D" w:rsidR="00E95782" w:rsidRPr="00061E4D" w:rsidRDefault="00E95782" w:rsidP="00E95782">
      <w:pPr>
        <w:pStyle w:val="Titre2"/>
      </w:pPr>
      <w:bookmarkStart w:id="28" w:name="_Toc79671868"/>
      <w:r w:rsidRPr="00061E4D">
        <w:t xml:space="preserve">Recommandation </w:t>
      </w:r>
      <w:r w:rsidR="00C2100F">
        <w:t>9</w:t>
      </w:r>
      <w:bookmarkEnd w:id="28"/>
    </w:p>
    <w:p w14:paraId="6004B1CD" w14:textId="094A82CC" w:rsidR="007E349E" w:rsidRPr="00061E4D" w:rsidRDefault="0060269B" w:rsidP="00347BF1">
      <w:pPr>
        <w:pStyle w:val="Citation"/>
      </w:pPr>
      <w:r w:rsidRPr="00061E4D">
        <w:t>Rappelons que</w:t>
      </w:r>
      <w:r w:rsidR="007E349E" w:rsidRPr="00061E4D">
        <w:t xml:space="preserve"> toute communication doit respecter le droit à l’information et être offerte dans le format demandé, suivant les besoins exprimés par la personne. La Politique québécoise L’accès aux documents et aux services offerts au public pour les personnes handicapées</w:t>
      </w:r>
      <w:r w:rsidR="007E349E" w:rsidRPr="00061E4D">
        <w:rPr>
          <w:rStyle w:val="Appelnotedebasdep"/>
        </w:rPr>
        <w:footnoteReference w:id="26"/>
      </w:r>
      <w:r w:rsidR="007E349E" w:rsidRPr="00061E4D">
        <w:t xml:space="preserve"> définit bien cet enjeu.</w:t>
      </w:r>
    </w:p>
    <w:p w14:paraId="238C461E" w14:textId="77777777" w:rsidR="00340265" w:rsidRPr="00061E4D" w:rsidRDefault="00340265" w:rsidP="00340265"/>
    <w:p w14:paraId="66DAAC49" w14:textId="4F54FF21" w:rsidR="00F07AED" w:rsidRPr="00061E4D" w:rsidRDefault="00F07AED" w:rsidP="00237A22">
      <w:pPr>
        <w:pStyle w:val="Titre"/>
        <w:pBdr>
          <w:bottom w:val="none" w:sz="0" w:space="0" w:color="auto"/>
        </w:pBdr>
        <w:outlineLvl w:val="0"/>
        <w:rPr>
          <w:b/>
          <w:sz w:val="36"/>
          <w:szCs w:val="36"/>
        </w:rPr>
      </w:pPr>
      <w:bookmarkStart w:id="29" w:name="_Toc79671869"/>
      <w:bookmarkStart w:id="30" w:name="_Toc367793282"/>
      <w:bookmarkStart w:id="31" w:name="_Toc367800661"/>
      <w:r w:rsidRPr="00061E4D">
        <w:rPr>
          <w:b/>
          <w:sz w:val="36"/>
          <w:szCs w:val="36"/>
        </w:rPr>
        <w:t>L’</w:t>
      </w:r>
      <w:r w:rsidR="007A4E9D" w:rsidRPr="00061E4D">
        <w:rPr>
          <w:b/>
          <w:sz w:val="36"/>
          <w:szCs w:val="36"/>
        </w:rPr>
        <w:t>accès à l’</w:t>
      </w:r>
      <w:r w:rsidRPr="00061E4D">
        <w:rPr>
          <w:b/>
          <w:sz w:val="36"/>
          <w:szCs w:val="36"/>
        </w:rPr>
        <w:t>aide médicale à mourir pour les personnes en situation d’inaptitude</w:t>
      </w:r>
      <w:bookmarkEnd w:id="29"/>
    </w:p>
    <w:p w14:paraId="3061D9B0" w14:textId="35F6E0E9" w:rsidR="007A4E9D" w:rsidRPr="00061E4D" w:rsidRDefault="007A4E9D" w:rsidP="00915A1F">
      <w:pPr>
        <w:spacing w:line="276" w:lineRule="auto"/>
        <w:jc w:val="both"/>
        <w:rPr>
          <w:noProof/>
        </w:rPr>
      </w:pPr>
      <w:r w:rsidRPr="00061E4D">
        <w:rPr>
          <w:noProof/>
        </w:rPr>
        <w:t xml:space="preserve">Le document de consultation </w:t>
      </w:r>
      <w:r w:rsidR="000F2C34" w:rsidRPr="00061E4D">
        <w:rPr>
          <w:noProof/>
        </w:rPr>
        <w:t xml:space="preserve">de la </w:t>
      </w:r>
      <w:r w:rsidR="00C53835" w:rsidRPr="00061E4D">
        <w:rPr>
          <w:noProof/>
        </w:rPr>
        <w:t>Commission spéciale sur l’évolution de la Loi concernant les soins de fin de vie présent</w:t>
      </w:r>
      <w:r w:rsidRPr="00061E4D">
        <w:rPr>
          <w:noProof/>
        </w:rPr>
        <w:t>ait trois</w:t>
      </w:r>
      <w:r w:rsidR="00174A05" w:rsidRPr="00061E4D">
        <w:rPr>
          <w:noProof/>
        </w:rPr>
        <w:t xml:space="preserve"> nouvelles</w:t>
      </w:r>
      <w:r w:rsidRPr="00061E4D">
        <w:rPr>
          <w:noProof/>
        </w:rPr>
        <w:t xml:space="preserve"> situations</w:t>
      </w:r>
      <w:r w:rsidR="00B6594F" w:rsidRPr="00061E4D">
        <w:rPr>
          <w:noProof/>
        </w:rPr>
        <w:t xml:space="preserve"> d’inaptitude</w:t>
      </w:r>
      <w:r w:rsidR="00C53835" w:rsidRPr="00061E4D">
        <w:rPr>
          <w:noProof/>
        </w:rPr>
        <w:t xml:space="preserve"> pour </w:t>
      </w:r>
      <w:r w:rsidR="00174A05" w:rsidRPr="00061E4D">
        <w:rPr>
          <w:noProof/>
        </w:rPr>
        <w:t>lesquelles l’</w:t>
      </w:r>
      <w:r w:rsidRPr="00061E4D">
        <w:rPr>
          <w:noProof/>
        </w:rPr>
        <w:t>accès à l’aide médicale à mourir</w:t>
      </w:r>
      <w:r w:rsidR="00174A05" w:rsidRPr="00061E4D">
        <w:rPr>
          <w:noProof/>
        </w:rPr>
        <w:t xml:space="preserve"> pourrait être autorisé</w:t>
      </w:r>
      <w:r w:rsidRPr="00061E4D">
        <w:rPr>
          <w:noProof/>
        </w:rPr>
        <w:t> :</w:t>
      </w:r>
    </w:p>
    <w:p w14:paraId="7C493685" w14:textId="19F1F700" w:rsidR="007A4E9D" w:rsidRPr="00061E4D" w:rsidRDefault="002C5CEE" w:rsidP="00340265">
      <w:pPr>
        <w:pStyle w:val="Paragraphedeliste"/>
        <w:numPr>
          <w:ilvl w:val="0"/>
          <w:numId w:val="21"/>
        </w:numPr>
        <w:rPr>
          <w:rFonts w:ascii="Arial" w:hAnsi="Arial" w:cs="Arial"/>
          <w:sz w:val="24"/>
          <w:szCs w:val="24"/>
        </w:rPr>
      </w:pPr>
      <w:r>
        <w:rPr>
          <w:rFonts w:ascii="Arial" w:hAnsi="Arial" w:cs="Arial"/>
          <w:sz w:val="24"/>
          <w:szCs w:val="24"/>
        </w:rPr>
        <w:t>p</w:t>
      </w:r>
      <w:r w:rsidR="007A4E9D" w:rsidRPr="00061E4D">
        <w:rPr>
          <w:rFonts w:ascii="Arial" w:hAnsi="Arial" w:cs="Arial"/>
          <w:sz w:val="24"/>
          <w:szCs w:val="24"/>
        </w:rPr>
        <w:t>our les personnes qui n’ont jamais été aptes à consentir;</w:t>
      </w:r>
    </w:p>
    <w:p w14:paraId="6C49FF8C" w14:textId="1E47BD1D" w:rsidR="007A4E9D" w:rsidRPr="00061E4D" w:rsidRDefault="002C5CEE" w:rsidP="00340265">
      <w:pPr>
        <w:pStyle w:val="Paragraphedeliste"/>
        <w:numPr>
          <w:ilvl w:val="0"/>
          <w:numId w:val="21"/>
        </w:numPr>
        <w:rPr>
          <w:rFonts w:ascii="Arial" w:hAnsi="Arial" w:cs="Arial"/>
          <w:sz w:val="24"/>
          <w:szCs w:val="24"/>
          <w:lang w:val="fr-FR"/>
        </w:rPr>
      </w:pPr>
      <w:r>
        <w:rPr>
          <w:rFonts w:ascii="Arial" w:hAnsi="Arial" w:cs="Arial"/>
          <w:sz w:val="24"/>
          <w:szCs w:val="24"/>
          <w:lang w:val="fr-FR"/>
        </w:rPr>
        <w:t>p</w:t>
      </w:r>
      <w:r w:rsidR="007A4E9D" w:rsidRPr="00061E4D">
        <w:rPr>
          <w:rFonts w:ascii="Arial" w:hAnsi="Arial" w:cs="Arial"/>
          <w:sz w:val="24"/>
          <w:szCs w:val="24"/>
          <w:lang w:val="fr-FR"/>
        </w:rPr>
        <w:t>our les personnes qui anticipent une perte d’aptitude</w:t>
      </w:r>
      <w:r w:rsidR="00B6594F" w:rsidRPr="00061E4D">
        <w:rPr>
          <w:rFonts w:ascii="Arial" w:hAnsi="Arial" w:cs="Arial"/>
          <w:sz w:val="24"/>
          <w:szCs w:val="24"/>
          <w:lang w:val="fr-FR"/>
        </w:rPr>
        <w:t xml:space="preserve"> à consentir</w:t>
      </w:r>
      <w:r w:rsidR="00174A05" w:rsidRPr="00061E4D">
        <w:rPr>
          <w:rFonts w:ascii="Arial" w:hAnsi="Arial" w:cs="Arial"/>
          <w:sz w:val="24"/>
          <w:szCs w:val="24"/>
          <w:lang w:val="fr-FR"/>
        </w:rPr>
        <w:t> ;</w:t>
      </w:r>
    </w:p>
    <w:p w14:paraId="5563D1B1" w14:textId="39A37196" w:rsidR="007A4E9D" w:rsidRPr="00061E4D" w:rsidRDefault="002C5CEE" w:rsidP="002C5CEE">
      <w:pPr>
        <w:pStyle w:val="Paragraphedeliste"/>
        <w:numPr>
          <w:ilvl w:val="0"/>
          <w:numId w:val="21"/>
        </w:numPr>
        <w:jc w:val="both"/>
        <w:rPr>
          <w:rFonts w:ascii="Arial" w:hAnsi="Arial" w:cs="Arial"/>
          <w:sz w:val="24"/>
          <w:szCs w:val="24"/>
          <w:lang w:val="fr-FR"/>
        </w:rPr>
      </w:pPr>
      <w:r>
        <w:rPr>
          <w:rFonts w:ascii="Arial" w:hAnsi="Arial" w:cs="Arial"/>
          <w:sz w:val="24"/>
          <w:szCs w:val="24"/>
          <w:lang w:val="fr-FR"/>
        </w:rPr>
        <w:lastRenderedPageBreak/>
        <w:t>p</w:t>
      </w:r>
      <w:r w:rsidR="007A4E9D" w:rsidRPr="00061E4D">
        <w:rPr>
          <w:rFonts w:ascii="Arial" w:hAnsi="Arial" w:cs="Arial"/>
          <w:sz w:val="24"/>
          <w:szCs w:val="24"/>
          <w:lang w:val="fr-FR"/>
        </w:rPr>
        <w:t xml:space="preserve">our les personnes victimes d’un accident </w:t>
      </w:r>
      <w:r w:rsidR="00B6594F" w:rsidRPr="00061E4D">
        <w:rPr>
          <w:rFonts w:ascii="Arial" w:hAnsi="Arial" w:cs="Arial"/>
          <w:sz w:val="24"/>
          <w:szCs w:val="24"/>
          <w:lang w:val="fr-FR"/>
        </w:rPr>
        <w:t xml:space="preserve">soudain et inattendu </w:t>
      </w:r>
      <w:r w:rsidR="007A4E9D" w:rsidRPr="00061E4D">
        <w:rPr>
          <w:rFonts w:ascii="Arial" w:hAnsi="Arial" w:cs="Arial"/>
          <w:sz w:val="24"/>
          <w:szCs w:val="24"/>
          <w:lang w:val="fr-FR"/>
        </w:rPr>
        <w:t>(</w:t>
      </w:r>
      <w:r w:rsidR="00A3489E" w:rsidRPr="00061E4D">
        <w:rPr>
          <w:rFonts w:ascii="Arial" w:hAnsi="Arial" w:cs="Arial"/>
          <w:sz w:val="24"/>
          <w:szCs w:val="24"/>
          <w:lang w:val="fr-FR"/>
        </w:rPr>
        <w:t>accident vasculaire cérébral</w:t>
      </w:r>
      <w:r w:rsidR="007A4E9D" w:rsidRPr="00061E4D">
        <w:rPr>
          <w:rFonts w:ascii="Arial" w:hAnsi="Arial" w:cs="Arial"/>
          <w:sz w:val="24"/>
          <w:szCs w:val="24"/>
          <w:lang w:val="fr-FR"/>
        </w:rPr>
        <w:t xml:space="preserve">, </w:t>
      </w:r>
      <w:r w:rsidR="00A3489E" w:rsidRPr="00061E4D">
        <w:rPr>
          <w:rFonts w:ascii="Arial" w:hAnsi="Arial" w:cs="Arial"/>
          <w:sz w:val="24"/>
          <w:szCs w:val="24"/>
          <w:lang w:val="fr-FR"/>
        </w:rPr>
        <w:t>t</w:t>
      </w:r>
      <w:r w:rsidR="007A4E9D" w:rsidRPr="00061E4D">
        <w:rPr>
          <w:rFonts w:ascii="Arial" w:hAnsi="Arial" w:cs="Arial"/>
          <w:sz w:val="24"/>
          <w:szCs w:val="24"/>
          <w:lang w:val="fr-FR"/>
        </w:rPr>
        <w:t>raumatisme craniocérébral, coma)</w:t>
      </w:r>
      <w:r w:rsidR="00174A05" w:rsidRPr="00061E4D">
        <w:rPr>
          <w:rFonts w:ascii="Arial" w:hAnsi="Arial" w:cs="Arial"/>
          <w:sz w:val="24"/>
          <w:szCs w:val="24"/>
          <w:lang w:val="fr-FR"/>
        </w:rPr>
        <w:t xml:space="preserve"> qui les rendent inapte</w:t>
      </w:r>
      <w:r w:rsidR="0020543A" w:rsidRPr="00061E4D">
        <w:rPr>
          <w:rFonts w:ascii="Arial" w:hAnsi="Arial" w:cs="Arial"/>
          <w:sz w:val="24"/>
          <w:szCs w:val="24"/>
          <w:lang w:val="fr-FR"/>
        </w:rPr>
        <w:t>s</w:t>
      </w:r>
      <w:r w:rsidR="00174A05" w:rsidRPr="00061E4D">
        <w:rPr>
          <w:rFonts w:ascii="Arial" w:hAnsi="Arial" w:cs="Arial"/>
          <w:sz w:val="24"/>
          <w:szCs w:val="24"/>
          <w:lang w:val="fr-FR"/>
        </w:rPr>
        <w:t xml:space="preserve"> à consentir à un soin</w:t>
      </w:r>
      <w:r w:rsidR="00C53835" w:rsidRPr="00061E4D">
        <w:rPr>
          <w:rFonts w:ascii="Arial" w:hAnsi="Arial" w:cs="Arial"/>
          <w:sz w:val="24"/>
          <w:szCs w:val="24"/>
          <w:lang w:val="fr-FR"/>
        </w:rPr>
        <w:t>.</w:t>
      </w:r>
    </w:p>
    <w:p w14:paraId="509E1136" w14:textId="070D2026" w:rsidR="007A4E9D" w:rsidRPr="00061E4D" w:rsidRDefault="007A4E9D" w:rsidP="00BE14BD">
      <w:pPr>
        <w:spacing w:line="276" w:lineRule="auto"/>
        <w:jc w:val="both"/>
        <w:rPr>
          <w:noProof/>
        </w:rPr>
      </w:pPr>
      <w:r w:rsidRPr="00061E4D">
        <w:rPr>
          <w:noProof/>
        </w:rPr>
        <w:t>Encore une fois</w:t>
      </w:r>
      <w:r w:rsidR="00A3489E" w:rsidRPr="00061E4D">
        <w:rPr>
          <w:noProof/>
        </w:rPr>
        <w:t>,</w:t>
      </w:r>
      <w:r w:rsidRPr="00061E4D">
        <w:rPr>
          <w:noProof/>
        </w:rPr>
        <w:t xml:space="preserve"> ce qui est primordial pour la COPHAN est de respecter la personne, s</w:t>
      </w:r>
      <w:r w:rsidR="0020543A" w:rsidRPr="00061E4D">
        <w:rPr>
          <w:noProof/>
        </w:rPr>
        <w:t>a</w:t>
      </w:r>
      <w:r w:rsidRPr="00061E4D">
        <w:rPr>
          <w:noProof/>
        </w:rPr>
        <w:t xml:space="preserve"> volonté et sa dignité. </w:t>
      </w:r>
      <w:r w:rsidR="00DC4BE5" w:rsidRPr="00061E4D">
        <w:rPr>
          <w:noProof/>
        </w:rPr>
        <w:t xml:space="preserve">Cependant, tout comme nous avons insisté sur la nécessité d’offrir des services à la personne en situation de handicap tout au long de sa vie, il est primordial de s’assurer qu’une personne, inapte ou non, ne demande pas l’aide médicale à mourir </w:t>
      </w:r>
      <w:r w:rsidR="00174A05" w:rsidRPr="00061E4D">
        <w:rPr>
          <w:noProof/>
        </w:rPr>
        <w:t xml:space="preserve">en désespoir de cause </w:t>
      </w:r>
      <w:r w:rsidR="00DC4BE5" w:rsidRPr="00061E4D">
        <w:rPr>
          <w:noProof/>
        </w:rPr>
        <w:t xml:space="preserve">parce qu’elle ne reçoit pas les services dont elle a besoin. </w:t>
      </w:r>
    </w:p>
    <w:p w14:paraId="3EBD36EC" w14:textId="77777777" w:rsidR="007A4E9D" w:rsidRPr="00061E4D" w:rsidRDefault="007A4E9D" w:rsidP="00BE14BD">
      <w:pPr>
        <w:spacing w:line="276" w:lineRule="auto"/>
        <w:jc w:val="both"/>
        <w:rPr>
          <w:noProof/>
        </w:rPr>
      </w:pPr>
    </w:p>
    <w:p w14:paraId="1A37CC15" w14:textId="63C3E5A9" w:rsidR="007A4E9D" w:rsidRPr="00061E4D" w:rsidRDefault="007A4E9D" w:rsidP="00BE14BD">
      <w:pPr>
        <w:spacing w:line="276" w:lineRule="auto"/>
        <w:jc w:val="both"/>
        <w:rPr>
          <w:noProof/>
        </w:rPr>
      </w:pPr>
      <w:r w:rsidRPr="00061E4D">
        <w:rPr>
          <w:noProof/>
        </w:rPr>
        <w:t>Voici notre position pour chacune de ces situations</w:t>
      </w:r>
      <w:r w:rsidR="00DC4BE5" w:rsidRPr="00061E4D">
        <w:rPr>
          <w:noProof/>
        </w:rPr>
        <w:t>, que les personnes soient en fin de vie ou non</w:t>
      </w:r>
      <w:r w:rsidRPr="00061E4D">
        <w:rPr>
          <w:noProof/>
        </w:rPr>
        <w:t> :</w:t>
      </w:r>
    </w:p>
    <w:p w14:paraId="06EE9C6B" w14:textId="4D643EEC" w:rsidR="00012089" w:rsidRPr="00B23EB9" w:rsidRDefault="00012089" w:rsidP="00B23EB9">
      <w:pPr>
        <w:pStyle w:val="Titre2"/>
      </w:pPr>
      <w:bookmarkStart w:id="32" w:name="_Toc79671870"/>
      <w:r w:rsidRPr="00061E4D">
        <w:t>1)</w:t>
      </w:r>
      <w:r w:rsidRPr="00061E4D">
        <w:tab/>
        <w:t>Pour les personnes qui n’ont jamais été aptes</w:t>
      </w:r>
      <w:r w:rsidR="00B6594F" w:rsidRPr="00061E4D">
        <w:t xml:space="preserve"> à consentir</w:t>
      </w:r>
      <w:r w:rsidRPr="00061E4D">
        <w:t>.</w:t>
      </w:r>
      <w:bookmarkEnd w:id="32"/>
    </w:p>
    <w:p w14:paraId="301AEC2D" w14:textId="174B322A" w:rsidR="00756699" w:rsidRPr="00061E4D" w:rsidRDefault="00253DBD" w:rsidP="00BE14BD">
      <w:pPr>
        <w:spacing w:line="276" w:lineRule="auto"/>
        <w:jc w:val="both"/>
        <w:rPr>
          <w:noProof/>
        </w:rPr>
      </w:pPr>
      <w:r w:rsidRPr="00061E4D">
        <w:rPr>
          <w:noProof/>
        </w:rPr>
        <w:t xml:space="preserve">Pour toutes les raisons que nous avons </w:t>
      </w:r>
      <w:r w:rsidR="00074D61">
        <w:rPr>
          <w:noProof/>
        </w:rPr>
        <w:t>é</w:t>
      </w:r>
      <w:r w:rsidRPr="00061E4D">
        <w:rPr>
          <w:noProof/>
        </w:rPr>
        <w:t xml:space="preserve">voquées jusque-là dans ce mémoire, pour respecter l’autodétermination de la personne inapte et sa dignité, nous sommes </w:t>
      </w:r>
      <w:r w:rsidR="00A3489E" w:rsidRPr="00061E4D">
        <w:rPr>
          <w:noProof/>
        </w:rPr>
        <w:t>d’</w:t>
      </w:r>
      <w:r w:rsidRPr="00061E4D">
        <w:rPr>
          <w:noProof/>
        </w:rPr>
        <w:t xml:space="preserve">accord </w:t>
      </w:r>
      <w:r w:rsidR="00A3489E" w:rsidRPr="00061E4D">
        <w:rPr>
          <w:noProof/>
        </w:rPr>
        <w:t xml:space="preserve">pour </w:t>
      </w:r>
      <w:r w:rsidRPr="00061E4D">
        <w:rPr>
          <w:noProof/>
        </w:rPr>
        <w:t>autoriser l’accès à l’aide médicale à mourir aux personnes inaptes. Ces personnes ont le droit de décision sur leur vie.</w:t>
      </w:r>
    </w:p>
    <w:p w14:paraId="04CC2FB0" w14:textId="5C34B4EF" w:rsidR="00C23585" w:rsidRPr="00061E4D" w:rsidRDefault="00C23585" w:rsidP="00BE14BD">
      <w:pPr>
        <w:spacing w:line="276" w:lineRule="auto"/>
        <w:jc w:val="both"/>
        <w:rPr>
          <w:noProof/>
        </w:rPr>
      </w:pPr>
    </w:p>
    <w:p w14:paraId="4B68D187" w14:textId="77777777" w:rsidR="002817EA" w:rsidRPr="00061E4D" w:rsidRDefault="002817EA" w:rsidP="002817EA">
      <w:pPr>
        <w:spacing w:line="276" w:lineRule="auto"/>
        <w:jc w:val="both"/>
      </w:pPr>
      <w:r w:rsidRPr="00061E4D">
        <w:rPr>
          <w:noProof/>
        </w:rPr>
        <w:t>Le Curateur public rappelle à propos du consentement aux soins des personnes inaptes que « </w:t>
      </w:r>
      <w:r w:rsidRPr="00061E4D">
        <w:t>Actuellement, en vertu du Code civil du Québec, toute personne, y compris la personne protégée sous curatelle, sous tutelle au majeur ou sous mandat de protection homologué, est présumée apte à consentir à des soins. L’aptitude à consentir aux soins (et de les refuser) doit être vérifiée chaque fois qu’un soin est proposé par le personnel du réseau de la santé et des services sociaux. Un patient est considéré apte à consentir à ses soins s’il est capable de comprendre :</w:t>
      </w:r>
    </w:p>
    <w:p w14:paraId="0F3B1631" w14:textId="3741E00E" w:rsidR="002817EA" w:rsidRPr="002C5CEE" w:rsidRDefault="002817EA" w:rsidP="002C5CEE">
      <w:pPr>
        <w:pStyle w:val="Paragraphedeliste"/>
        <w:numPr>
          <w:ilvl w:val="0"/>
          <w:numId w:val="21"/>
        </w:numPr>
        <w:rPr>
          <w:rFonts w:ascii="Arial" w:hAnsi="Arial" w:cs="Arial"/>
          <w:sz w:val="24"/>
          <w:szCs w:val="24"/>
        </w:rPr>
      </w:pPr>
      <w:r w:rsidRPr="002C5CEE">
        <w:rPr>
          <w:rFonts w:ascii="Arial" w:hAnsi="Arial" w:cs="Arial"/>
          <w:sz w:val="24"/>
          <w:szCs w:val="24"/>
        </w:rPr>
        <w:t>la nature de la maladie dont il est atteint</w:t>
      </w:r>
      <w:r w:rsidR="002C5CEE">
        <w:rPr>
          <w:rFonts w:ascii="Arial" w:hAnsi="Arial" w:cs="Arial"/>
          <w:sz w:val="24"/>
          <w:szCs w:val="24"/>
        </w:rPr>
        <w:t> </w:t>
      </w:r>
      <w:r w:rsidRPr="002C5CEE">
        <w:rPr>
          <w:rFonts w:ascii="Arial" w:hAnsi="Arial" w:cs="Arial"/>
          <w:sz w:val="24"/>
          <w:szCs w:val="24"/>
        </w:rPr>
        <w:t>;</w:t>
      </w:r>
    </w:p>
    <w:p w14:paraId="68CF09B9" w14:textId="48CC0C00" w:rsidR="002817EA" w:rsidRPr="002C5CEE" w:rsidRDefault="002817EA" w:rsidP="002C5CEE">
      <w:pPr>
        <w:pStyle w:val="Paragraphedeliste"/>
        <w:numPr>
          <w:ilvl w:val="0"/>
          <w:numId w:val="21"/>
        </w:numPr>
        <w:rPr>
          <w:rFonts w:ascii="Arial" w:hAnsi="Arial" w:cs="Arial"/>
          <w:sz w:val="24"/>
          <w:szCs w:val="24"/>
        </w:rPr>
      </w:pPr>
      <w:r w:rsidRPr="002C5CEE">
        <w:rPr>
          <w:rFonts w:ascii="Arial" w:hAnsi="Arial" w:cs="Arial"/>
          <w:sz w:val="24"/>
          <w:szCs w:val="24"/>
        </w:rPr>
        <w:t>la nature et le but des soins</w:t>
      </w:r>
      <w:r w:rsidR="002C5CEE">
        <w:rPr>
          <w:rFonts w:ascii="Arial" w:hAnsi="Arial" w:cs="Arial"/>
          <w:sz w:val="24"/>
          <w:szCs w:val="24"/>
        </w:rPr>
        <w:t> </w:t>
      </w:r>
      <w:r w:rsidRPr="002C5CEE">
        <w:rPr>
          <w:rFonts w:ascii="Arial" w:hAnsi="Arial" w:cs="Arial"/>
          <w:sz w:val="24"/>
          <w:szCs w:val="24"/>
        </w:rPr>
        <w:t>;</w:t>
      </w:r>
    </w:p>
    <w:p w14:paraId="69B4F9B0" w14:textId="168CDCE3" w:rsidR="002817EA" w:rsidRPr="002C5CEE" w:rsidRDefault="002817EA" w:rsidP="002C5CEE">
      <w:pPr>
        <w:pStyle w:val="Paragraphedeliste"/>
        <w:numPr>
          <w:ilvl w:val="0"/>
          <w:numId w:val="21"/>
        </w:numPr>
        <w:rPr>
          <w:rFonts w:ascii="Arial" w:hAnsi="Arial" w:cs="Arial"/>
          <w:sz w:val="24"/>
          <w:szCs w:val="24"/>
        </w:rPr>
      </w:pPr>
      <w:r w:rsidRPr="002C5CEE">
        <w:rPr>
          <w:rFonts w:ascii="Arial" w:hAnsi="Arial" w:cs="Arial"/>
          <w:sz w:val="24"/>
          <w:szCs w:val="24"/>
        </w:rPr>
        <w:t>les risques associés à ces soins</w:t>
      </w:r>
      <w:r w:rsidR="002C5CEE">
        <w:rPr>
          <w:rFonts w:ascii="Arial" w:hAnsi="Arial" w:cs="Arial"/>
          <w:sz w:val="24"/>
          <w:szCs w:val="24"/>
        </w:rPr>
        <w:t> </w:t>
      </w:r>
      <w:r w:rsidRPr="002C5CEE">
        <w:rPr>
          <w:rFonts w:ascii="Arial" w:hAnsi="Arial" w:cs="Arial"/>
          <w:sz w:val="24"/>
          <w:szCs w:val="24"/>
        </w:rPr>
        <w:t>;</w:t>
      </w:r>
    </w:p>
    <w:p w14:paraId="52C0B5C5" w14:textId="4180646A" w:rsidR="005C3BF5" w:rsidRPr="002C5CEE" w:rsidRDefault="002817EA" w:rsidP="002C5CEE">
      <w:pPr>
        <w:pStyle w:val="Paragraphedeliste"/>
        <w:numPr>
          <w:ilvl w:val="0"/>
          <w:numId w:val="21"/>
        </w:numPr>
        <w:rPr>
          <w:rFonts w:ascii="Arial" w:hAnsi="Arial" w:cs="Arial"/>
          <w:sz w:val="24"/>
          <w:szCs w:val="24"/>
        </w:rPr>
      </w:pPr>
      <w:r w:rsidRPr="002C5CEE">
        <w:rPr>
          <w:rFonts w:ascii="Arial" w:hAnsi="Arial" w:cs="Arial"/>
          <w:sz w:val="24"/>
          <w:szCs w:val="24"/>
        </w:rPr>
        <w:t>les risques encourus si ces soins ne sont pas prodigués</w:t>
      </w:r>
      <w:r w:rsidR="002C5CEE">
        <w:rPr>
          <w:rFonts w:ascii="Arial" w:hAnsi="Arial" w:cs="Arial"/>
          <w:sz w:val="24"/>
          <w:szCs w:val="24"/>
        </w:rPr>
        <w:t> </w:t>
      </w:r>
      <w:r w:rsidRPr="002C5CEE">
        <w:rPr>
          <w:rFonts w:ascii="Arial" w:hAnsi="Arial" w:cs="Arial"/>
          <w:sz w:val="24"/>
          <w:szCs w:val="24"/>
        </w:rPr>
        <w:t>;</w:t>
      </w:r>
    </w:p>
    <w:p w14:paraId="5EDBBBF6" w14:textId="1138FFF9" w:rsidR="002817EA" w:rsidRPr="00061E4D" w:rsidRDefault="002817EA" w:rsidP="002817EA">
      <w:pPr>
        <w:spacing w:line="276" w:lineRule="auto"/>
        <w:jc w:val="both"/>
        <w:rPr>
          <w:noProof/>
        </w:rPr>
      </w:pPr>
      <w:r w:rsidRPr="00061E4D">
        <w:t>et que son état de santé ne nuit pas à sa capacité de consentir. »</w:t>
      </w:r>
      <w:r w:rsidRPr="00061E4D">
        <w:rPr>
          <w:rStyle w:val="Appelnotedebasdep"/>
        </w:rPr>
        <w:footnoteReference w:id="27"/>
      </w:r>
    </w:p>
    <w:p w14:paraId="6D0E2404" w14:textId="20C89E2C" w:rsidR="009C00F1" w:rsidRPr="00061E4D" w:rsidRDefault="009C00F1" w:rsidP="00061E4D">
      <w:pPr>
        <w:tabs>
          <w:tab w:val="left" w:pos="2730"/>
        </w:tabs>
        <w:spacing w:line="276" w:lineRule="auto"/>
        <w:jc w:val="both"/>
        <w:rPr>
          <w:noProof/>
        </w:rPr>
      </w:pPr>
    </w:p>
    <w:p w14:paraId="704CAB31" w14:textId="2275FC92" w:rsidR="002817EA" w:rsidRPr="00061E4D" w:rsidRDefault="002817EA" w:rsidP="002817EA">
      <w:pPr>
        <w:spacing w:line="276" w:lineRule="auto"/>
        <w:jc w:val="both"/>
        <w:rPr>
          <w:noProof/>
        </w:rPr>
      </w:pPr>
      <w:r w:rsidRPr="00061E4D">
        <w:rPr>
          <w:noProof/>
        </w:rPr>
        <w:t>Le Curateur public précise également : « Or, cette aptitude se présume pour toute personne et le fait d’avoir un régime de tutelle ou de curatelle ne met pas fin à cette présomption. L’aptitude à consentir à des soins ou à les refuser doit être évaluée pour chaque soin proposé; si la personne est apte à le faire, le consentement qu’elle donne doit être respecté, de même que son refus. »</w:t>
      </w:r>
      <w:r w:rsidRPr="00061E4D">
        <w:rPr>
          <w:rStyle w:val="Appelnotedebasdep"/>
          <w:noProof/>
        </w:rPr>
        <w:footnoteReference w:id="28"/>
      </w:r>
    </w:p>
    <w:p w14:paraId="47B4F303" w14:textId="231C6BF4" w:rsidR="00FD7CBD" w:rsidRPr="00061E4D" w:rsidRDefault="00FD7CBD" w:rsidP="00BE14BD">
      <w:pPr>
        <w:spacing w:line="276" w:lineRule="auto"/>
        <w:jc w:val="both"/>
        <w:rPr>
          <w:noProof/>
        </w:rPr>
      </w:pPr>
      <w:r w:rsidRPr="00061E4D">
        <w:rPr>
          <w:noProof/>
        </w:rPr>
        <w:lastRenderedPageBreak/>
        <w:t>Nous faisons donc la recommandation suivante :</w:t>
      </w:r>
    </w:p>
    <w:p w14:paraId="34684191" w14:textId="77777777" w:rsidR="00FD7CBD" w:rsidRPr="00061E4D" w:rsidRDefault="00FD7CBD" w:rsidP="00BE14BD">
      <w:pPr>
        <w:spacing w:line="276" w:lineRule="auto"/>
        <w:jc w:val="both"/>
        <w:rPr>
          <w:noProof/>
        </w:rPr>
      </w:pPr>
    </w:p>
    <w:p w14:paraId="239FE1A5" w14:textId="3ED52E3E" w:rsidR="00756699" w:rsidRPr="00061E4D" w:rsidRDefault="00756699" w:rsidP="00E95782">
      <w:pPr>
        <w:pStyle w:val="Titre2"/>
      </w:pPr>
      <w:bookmarkStart w:id="33" w:name="_Toc79671871"/>
      <w:r w:rsidRPr="00061E4D">
        <w:t xml:space="preserve">Recommandation </w:t>
      </w:r>
      <w:r w:rsidR="00C2100F">
        <w:t>10</w:t>
      </w:r>
      <w:bookmarkEnd w:id="33"/>
    </w:p>
    <w:p w14:paraId="47A037C1" w14:textId="5BEEB1C0" w:rsidR="00756699" w:rsidRPr="00061E4D" w:rsidRDefault="00756699" w:rsidP="00D16E67">
      <w:pPr>
        <w:pStyle w:val="Citation"/>
      </w:pPr>
      <w:r w:rsidRPr="00061E4D">
        <w:t xml:space="preserve">Autoriser l’accès à l’aide médicale à mourir aux personnes </w:t>
      </w:r>
      <w:r w:rsidR="00174A05" w:rsidRPr="00061E4D">
        <w:t xml:space="preserve">qui ont toujours été </w:t>
      </w:r>
      <w:r w:rsidRPr="00061E4D">
        <w:t>inaptes</w:t>
      </w:r>
      <w:r w:rsidR="00174A05" w:rsidRPr="00061E4D">
        <w:t>,</w:t>
      </w:r>
      <w:r w:rsidRPr="00061E4D">
        <w:t xml:space="preserve"> </w:t>
      </w:r>
      <w:r w:rsidR="00174A05" w:rsidRPr="00061E4D">
        <w:t xml:space="preserve">uniquement </w:t>
      </w:r>
      <w:r w:rsidRPr="00061E4D">
        <w:t>à leur demande</w:t>
      </w:r>
      <w:r w:rsidR="00174A05" w:rsidRPr="00061E4D">
        <w:t xml:space="preserve">, </w:t>
      </w:r>
      <w:r w:rsidRPr="00061E4D">
        <w:t xml:space="preserve">à condition de mettre en place des </w:t>
      </w:r>
      <w:r w:rsidR="00E95782" w:rsidRPr="00061E4D">
        <w:t xml:space="preserve">balises pour encadrer cet accès </w:t>
      </w:r>
      <w:r w:rsidR="00B63953" w:rsidRPr="00061E4D">
        <w:t xml:space="preserve">et des outils </w:t>
      </w:r>
      <w:r w:rsidRPr="00061E4D">
        <w:t>pour assurer</w:t>
      </w:r>
      <w:r w:rsidR="00B63953" w:rsidRPr="00061E4D">
        <w:t xml:space="preserve"> et faciliter</w:t>
      </w:r>
      <w:r w:rsidRPr="00061E4D">
        <w:t xml:space="preserve"> </w:t>
      </w:r>
      <w:r w:rsidR="00174A05" w:rsidRPr="00061E4D">
        <w:t>leur</w:t>
      </w:r>
      <w:r w:rsidRPr="00061E4D">
        <w:t xml:space="preserve"> consentement libre et éclairé.</w:t>
      </w:r>
    </w:p>
    <w:p w14:paraId="6358FDF9" w14:textId="77777777" w:rsidR="001603C8" w:rsidRPr="00061E4D" w:rsidRDefault="001603C8" w:rsidP="00BE14BD">
      <w:pPr>
        <w:spacing w:line="276" w:lineRule="auto"/>
        <w:jc w:val="both"/>
        <w:rPr>
          <w:noProof/>
        </w:rPr>
      </w:pPr>
    </w:p>
    <w:p w14:paraId="73ADAA75" w14:textId="135BD7D1" w:rsidR="00253DBD" w:rsidRDefault="00241A2D" w:rsidP="00BE14BD">
      <w:pPr>
        <w:spacing w:line="276" w:lineRule="auto"/>
        <w:jc w:val="both"/>
        <w:rPr>
          <w:rFonts w:cs="Arial"/>
          <w:lang w:val="fr-FR"/>
        </w:rPr>
      </w:pPr>
      <w:r w:rsidRPr="00061E4D">
        <w:rPr>
          <w:noProof/>
        </w:rPr>
        <w:t xml:space="preserve">Il faut cependant s’assurer </w:t>
      </w:r>
      <w:r w:rsidR="00A3489E" w:rsidRPr="00061E4D">
        <w:rPr>
          <w:noProof/>
        </w:rPr>
        <w:t>qu’aucune personne ne</w:t>
      </w:r>
      <w:r w:rsidRPr="00061E4D">
        <w:rPr>
          <w:rFonts w:cs="Arial"/>
          <w:lang w:val="fr-FR"/>
        </w:rPr>
        <w:t xml:space="preserve"> puisse </w:t>
      </w:r>
      <w:r w:rsidR="00E95782" w:rsidRPr="00061E4D">
        <w:rPr>
          <w:rFonts w:cs="Arial"/>
          <w:lang w:val="fr-FR"/>
        </w:rPr>
        <w:t xml:space="preserve">entamer la démarche ni </w:t>
      </w:r>
      <w:r w:rsidRPr="00061E4D">
        <w:rPr>
          <w:rFonts w:cs="Arial"/>
          <w:lang w:val="fr-FR"/>
        </w:rPr>
        <w:t xml:space="preserve">faire la demande </w:t>
      </w:r>
      <w:r w:rsidR="00174A05" w:rsidRPr="00061E4D">
        <w:rPr>
          <w:rFonts w:cs="Arial"/>
          <w:lang w:val="fr-FR"/>
        </w:rPr>
        <w:t>d’aide médicale à mourir au nom de la personne inapte</w:t>
      </w:r>
      <w:r w:rsidRPr="00061E4D">
        <w:rPr>
          <w:rFonts w:cs="Arial"/>
          <w:lang w:val="fr-FR"/>
        </w:rPr>
        <w:t xml:space="preserve">. Personne ne devrait prendre cette décision ou faire la démarche </w:t>
      </w:r>
      <w:r w:rsidR="00A3489E" w:rsidRPr="00061E4D">
        <w:rPr>
          <w:rFonts w:cs="Arial"/>
          <w:lang w:val="fr-FR"/>
        </w:rPr>
        <w:t>a</w:t>
      </w:r>
      <w:r w:rsidRPr="00061E4D">
        <w:rPr>
          <w:rFonts w:cs="Arial"/>
          <w:lang w:val="fr-FR"/>
        </w:rPr>
        <w:t>u nom de la personne inapte ou à sa place.</w:t>
      </w:r>
      <w:r w:rsidR="00F55834" w:rsidRPr="00061E4D">
        <w:rPr>
          <w:rFonts w:cs="Arial"/>
          <w:lang w:val="fr-FR"/>
        </w:rPr>
        <w:t xml:space="preserve"> À l’instar de la recommandation du Curateur public</w:t>
      </w:r>
      <w:r w:rsidR="0000417A" w:rsidRPr="00061E4D">
        <w:rPr>
          <w:rFonts w:cs="Arial"/>
          <w:lang w:val="fr-FR"/>
        </w:rPr>
        <w:t>, dans son mémoire</w:t>
      </w:r>
      <w:r w:rsidR="00A3489E" w:rsidRPr="00061E4D">
        <w:rPr>
          <w:rStyle w:val="Appelnotedebasdep"/>
          <w:lang w:val="fr-FR"/>
        </w:rPr>
        <w:footnoteReference w:id="29"/>
      </w:r>
      <w:r w:rsidR="00F55834" w:rsidRPr="00061E4D">
        <w:rPr>
          <w:rFonts w:cs="Arial"/>
          <w:lang w:val="fr-FR"/>
        </w:rPr>
        <w:t xml:space="preserve">, nous demandons </w:t>
      </w:r>
      <w:r w:rsidR="00756699" w:rsidRPr="00061E4D">
        <w:rPr>
          <w:rFonts w:cs="Arial"/>
          <w:lang w:val="fr-FR"/>
        </w:rPr>
        <w:t xml:space="preserve">donc </w:t>
      </w:r>
      <w:r w:rsidR="00F55834" w:rsidRPr="00061E4D">
        <w:rPr>
          <w:rFonts w:cs="Arial"/>
          <w:lang w:val="fr-FR"/>
        </w:rPr>
        <w:t>à proscrire le consentement substitué à l’aide médicale à mourir.</w:t>
      </w:r>
    </w:p>
    <w:p w14:paraId="457337DB" w14:textId="77777777" w:rsidR="00C2100F" w:rsidRDefault="00C2100F" w:rsidP="00BE14BD">
      <w:pPr>
        <w:spacing w:line="276" w:lineRule="auto"/>
        <w:jc w:val="both"/>
        <w:rPr>
          <w:rFonts w:cs="Arial"/>
          <w:lang w:val="fr-FR"/>
        </w:rPr>
      </w:pPr>
    </w:p>
    <w:p w14:paraId="33ADDE47" w14:textId="28684607" w:rsidR="00253DBD" w:rsidRPr="00061E4D" w:rsidRDefault="00253DBD" w:rsidP="00E95782">
      <w:pPr>
        <w:pStyle w:val="Titre2"/>
      </w:pPr>
      <w:bookmarkStart w:id="34" w:name="_Toc79671872"/>
      <w:r w:rsidRPr="00061E4D">
        <w:t xml:space="preserve">Recommandation </w:t>
      </w:r>
      <w:r w:rsidR="00307326" w:rsidRPr="00061E4D">
        <w:t>1</w:t>
      </w:r>
      <w:r w:rsidR="00C2100F">
        <w:t>1</w:t>
      </w:r>
      <w:bookmarkEnd w:id="34"/>
    </w:p>
    <w:p w14:paraId="0DCE656A" w14:textId="582EDC53" w:rsidR="00253DBD" w:rsidRPr="00061E4D" w:rsidRDefault="00F55834" w:rsidP="00D16E67">
      <w:pPr>
        <w:pStyle w:val="Citation"/>
      </w:pPr>
      <w:r w:rsidRPr="00061E4D">
        <w:t xml:space="preserve">Interdire </w:t>
      </w:r>
      <w:r w:rsidR="00253DBD" w:rsidRPr="00061E4D">
        <w:t>les demandes d’aide médicale à mourir pour autrui</w:t>
      </w:r>
      <w:r w:rsidRPr="00061E4D">
        <w:t xml:space="preserve"> </w:t>
      </w:r>
      <w:r w:rsidR="00E95782" w:rsidRPr="00061E4D">
        <w:t xml:space="preserve">et le </w:t>
      </w:r>
      <w:r w:rsidRPr="00061E4D">
        <w:t>consentement substitué</w:t>
      </w:r>
      <w:r w:rsidR="00253DBD" w:rsidRPr="00061E4D">
        <w:t xml:space="preserve">. </w:t>
      </w:r>
      <w:r w:rsidR="00F1147C" w:rsidRPr="00061E4D">
        <w:t>Nous voulons qu’e</w:t>
      </w:r>
      <w:r w:rsidR="00253DBD" w:rsidRPr="00061E4D">
        <w:t>n aucun cas une personne</w:t>
      </w:r>
      <w:r w:rsidR="00544A5B">
        <w:t xml:space="preserve"> ne</w:t>
      </w:r>
      <w:r w:rsidR="00253DBD" w:rsidRPr="00061E4D">
        <w:t xml:space="preserve"> puisse </w:t>
      </w:r>
      <w:r w:rsidRPr="00061E4D">
        <w:t>demander</w:t>
      </w:r>
      <w:r w:rsidR="00253DBD" w:rsidRPr="00061E4D">
        <w:t xml:space="preserve"> une aide médicale à mourir </w:t>
      </w:r>
      <w:r w:rsidRPr="00061E4D">
        <w:t>au nom d’</w:t>
      </w:r>
      <w:r w:rsidR="00241A2D" w:rsidRPr="00061E4D">
        <w:t>une personne inapte</w:t>
      </w:r>
      <w:r w:rsidR="00E95782" w:rsidRPr="00061E4D">
        <w:t xml:space="preserve"> ou consentir à l’aide médicale à mourir</w:t>
      </w:r>
      <w:r w:rsidR="00F1147C" w:rsidRPr="00061E4D">
        <w:t xml:space="preserve"> en son nom</w:t>
      </w:r>
      <w:r w:rsidR="00241A2D" w:rsidRPr="00061E4D">
        <w:t>.</w:t>
      </w:r>
    </w:p>
    <w:p w14:paraId="06CD5458" w14:textId="77777777" w:rsidR="00253DBD" w:rsidRPr="00061E4D" w:rsidRDefault="00253DBD" w:rsidP="00BE14BD">
      <w:pPr>
        <w:spacing w:line="276" w:lineRule="auto"/>
        <w:jc w:val="both"/>
        <w:rPr>
          <w:rFonts w:cs="Arial"/>
          <w:lang w:val="fr-FR"/>
        </w:rPr>
      </w:pPr>
    </w:p>
    <w:p w14:paraId="079EA30E" w14:textId="3A4CED3B" w:rsidR="001603C8" w:rsidRPr="00061E4D" w:rsidRDefault="00D16E67" w:rsidP="001603C8">
      <w:pPr>
        <w:spacing w:line="276" w:lineRule="auto"/>
        <w:jc w:val="both"/>
        <w:rPr>
          <w:rFonts w:cs="Arial"/>
          <w:lang w:val="fr-FR"/>
        </w:rPr>
      </w:pPr>
      <w:r w:rsidRPr="00061E4D">
        <w:rPr>
          <w:rFonts w:cs="Arial"/>
          <w:lang w:val="fr-FR"/>
        </w:rPr>
        <w:t>U</w:t>
      </w:r>
      <w:r w:rsidR="00253DBD" w:rsidRPr="00061E4D">
        <w:rPr>
          <w:rFonts w:cs="Arial"/>
          <w:lang w:val="fr-FR"/>
        </w:rPr>
        <w:t xml:space="preserve">ne personne inapte peut prendre certaines décisions </w:t>
      </w:r>
      <w:r w:rsidR="00241A2D" w:rsidRPr="00061E4D">
        <w:rPr>
          <w:rFonts w:cs="Arial"/>
          <w:lang w:val="fr-FR"/>
        </w:rPr>
        <w:t xml:space="preserve">concernant sa santé </w:t>
      </w:r>
      <w:r w:rsidR="00253DBD" w:rsidRPr="00061E4D">
        <w:rPr>
          <w:rFonts w:cs="Arial"/>
          <w:lang w:val="fr-FR"/>
        </w:rPr>
        <w:t xml:space="preserve">et consentir à certains soins. Il revient au médecin, à l’infirmière ou à tout autre soignant d’évaluer l’aptitude de la personne à consentir à un soin ou à le refuser, en suivant les directives que nous avons énoncées dans la </w:t>
      </w:r>
      <w:r w:rsidR="00FD7432" w:rsidRPr="00061E4D">
        <w:rPr>
          <w:rFonts w:cs="Arial"/>
          <w:lang w:val="fr-FR"/>
        </w:rPr>
        <w:t>section de ce mémoire sur</w:t>
      </w:r>
      <w:r w:rsidR="00253DBD" w:rsidRPr="00061E4D">
        <w:rPr>
          <w:rFonts w:cs="Arial"/>
          <w:lang w:val="fr-FR"/>
        </w:rPr>
        <w:t xml:space="preserve"> le consentement libre et éclairé. Dans une démarche d’aide médicale à mourir, cette étape est d’autant plus cruciale que le traitement est lourd de conséquence</w:t>
      </w:r>
      <w:r w:rsidRPr="00061E4D">
        <w:rPr>
          <w:rFonts w:cs="Arial"/>
          <w:lang w:val="fr-FR"/>
        </w:rPr>
        <w:t>s</w:t>
      </w:r>
      <w:r w:rsidR="009F356C" w:rsidRPr="00061E4D">
        <w:rPr>
          <w:rFonts w:cs="Arial"/>
          <w:lang w:val="fr-FR"/>
        </w:rPr>
        <w:t xml:space="preserve"> pour la personne qui le demande</w:t>
      </w:r>
      <w:r w:rsidR="00253DBD" w:rsidRPr="00061E4D">
        <w:rPr>
          <w:rFonts w:cs="Arial"/>
          <w:lang w:val="fr-FR"/>
        </w:rPr>
        <w:t>.</w:t>
      </w:r>
      <w:r w:rsidR="00426029" w:rsidRPr="00061E4D">
        <w:rPr>
          <w:rFonts w:cs="Arial"/>
          <w:lang w:val="fr-FR"/>
        </w:rPr>
        <w:t xml:space="preserve"> La pression exerc</w:t>
      </w:r>
      <w:r w:rsidR="009F356C" w:rsidRPr="00061E4D">
        <w:rPr>
          <w:rFonts w:cs="Arial"/>
          <w:lang w:val="fr-FR"/>
        </w:rPr>
        <w:t>ée</w:t>
      </w:r>
      <w:r w:rsidR="00426029" w:rsidRPr="00061E4D">
        <w:rPr>
          <w:rFonts w:cs="Arial"/>
          <w:lang w:val="fr-FR"/>
        </w:rPr>
        <w:t xml:space="preserve"> sur une personne inapte pour demander l’aide médicale à mourir peut venir autant de l’équipe de soins, en santé ou services sociaux</w:t>
      </w:r>
      <w:r w:rsidR="00774C3E" w:rsidRPr="00061E4D">
        <w:rPr>
          <w:rFonts w:cs="Arial"/>
          <w:lang w:val="fr-FR"/>
        </w:rPr>
        <w:t>,</w:t>
      </w:r>
      <w:r w:rsidR="00426029" w:rsidRPr="00061E4D">
        <w:rPr>
          <w:rFonts w:cs="Arial"/>
          <w:lang w:val="fr-FR"/>
        </w:rPr>
        <w:t xml:space="preserve"> que de son entourage. Il faut s’assurer que son consentement à l’aide médicale à mourir soit réellement libre, exempt de toute pression.</w:t>
      </w:r>
      <w:r w:rsidR="001603C8" w:rsidRPr="00061E4D">
        <w:rPr>
          <w:rFonts w:cs="Arial"/>
          <w:lang w:val="fr-FR"/>
        </w:rPr>
        <w:t xml:space="preserve"> Un accompagnement peut être offert à la personne inapte, si elle le souhaite, afin de s’assurer de son consentement libre et éclairé.</w:t>
      </w:r>
    </w:p>
    <w:p w14:paraId="1926C7D6" w14:textId="7FCD0DAB" w:rsidR="00DC4BE5" w:rsidRPr="00061E4D" w:rsidRDefault="00DC4BE5" w:rsidP="00BE14BD">
      <w:pPr>
        <w:spacing w:line="276" w:lineRule="auto"/>
        <w:jc w:val="both"/>
        <w:rPr>
          <w:rFonts w:cs="Arial"/>
          <w:lang w:val="fr-FR"/>
        </w:rPr>
      </w:pPr>
    </w:p>
    <w:p w14:paraId="0AC3E426" w14:textId="2646B533" w:rsidR="00DC4BE5" w:rsidRPr="00061E4D" w:rsidRDefault="00DC4BE5" w:rsidP="00BE14BD">
      <w:pPr>
        <w:spacing w:line="276" w:lineRule="auto"/>
        <w:jc w:val="both"/>
        <w:rPr>
          <w:rFonts w:cs="Arial"/>
          <w:lang w:val="fr-FR"/>
        </w:rPr>
      </w:pPr>
      <w:r w:rsidRPr="00061E4D">
        <w:rPr>
          <w:rFonts w:cs="Arial"/>
          <w:lang w:val="fr-FR"/>
        </w:rPr>
        <w:t xml:space="preserve">La décision de demander une aide médicale à mourir doit être basée sur une condition médicale associée à une souffrance physique ou psychologique intolérable et persistante. </w:t>
      </w:r>
      <w:r w:rsidR="00D16E67" w:rsidRPr="00061E4D">
        <w:rPr>
          <w:rFonts w:cs="Arial"/>
          <w:lang w:val="fr-FR"/>
        </w:rPr>
        <w:t>Le médecin</w:t>
      </w:r>
      <w:r w:rsidRPr="00061E4D">
        <w:rPr>
          <w:rFonts w:cs="Arial"/>
          <w:lang w:val="fr-FR"/>
        </w:rPr>
        <w:t xml:space="preserve"> doit s’assurer que </w:t>
      </w:r>
      <w:r w:rsidR="005A25CE" w:rsidRPr="00061E4D">
        <w:rPr>
          <w:rFonts w:cs="Arial"/>
          <w:lang w:val="fr-FR"/>
        </w:rPr>
        <w:t>cette demande n’est pas fondée seulement sur l</w:t>
      </w:r>
      <w:r w:rsidR="00A45E07" w:rsidRPr="00061E4D">
        <w:rPr>
          <w:rFonts w:cs="Arial"/>
          <w:lang w:val="fr-FR"/>
        </w:rPr>
        <w:t>a base du</w:t>
      </w:r>
      <w:r w:rsidRPr="00061E4D">
        <w:rPr>
          <w:rFonts w:cs="Arial"/>
          <w:lang w:val="fr-FR"/>
        </w:rPr>
        <w:t xml:space="preserve"> diagnostic ou, comme nous l’avons dit</w:t>
      </w:r>
      <w:r w:rsidR="00FD7432" w:rsidRPr="00061E4D">
        <w:rPr>
          <w:rFonts w:cs="Arial"/>
          <w:lang w:val="fr-FR"/>
        </w:rPr>
        <w:t>,</w:t>
      </w:r>
      <w:r w:rsidRPr="00061E4D">
        <w:rPr>
          <w:rFonts w:cs="Arial"/>
          <w:lang w:val="fr-FR"/>
        </w:rPr>
        <w:t xml:space="preserve"> en désespoir de cause parce que </w:t>
      </w:r>
      <w:r w:rsidRPr="00061E4D">
        <w:rPr>
          <w:rFonts w:cs="Arial"/>
          <w:lang w:val="fr-FR"/>
        </w:rPr>
        <w:lastRenderedPageBreak/>
        <w:t xml:space="preserve">la personne ne reçoit pas les services dont elle a besoin </w:t>
      </w:r>
      <w:r w:rsidR="00FD7432" w:rsidRPr="00061E4D">
        <w:rPr>
          <w:rFonts w:cs="Arial"/>
          <w:lang w:val="fr-FR"/>
        </w:rPr>
        <w:t xml:space="preserve">et qui respectent sa volonté </w:t>
      </w:r>
      <w:r w:rsidRPr="00061E4D">
        <w:rPr>
          <w:rFonts w:cs="Arial"/>
          <w:lang w:val="fr-FR"/>
        </w:rPr>
        <w:t>pour vivre une vie digne au quotidien et jouir d’une pleine participation sociale.</w:t>
      </w:r>
    </w:p>
    <w:p w14:paraId="6C7D58EF" w14:textId="1FC9B9F8" w:rsidR="00CD7678" w:rsidRPr="00061E4D" w:rsidRDefault="00CD7678" w:rsidP="00BE14BD">
      <w:pPr>
        <w:spacing w:line="276" w:lineRule="auto"/>
        <w:jc w:val="both"/>
        <w:rPr>
          <w:rFonts w:cs="Arial"/>
          <w:lang w:val="fr-FR"/>
        </w:rPr>
      </w:pPr>
    </w:p>
    <w:p w14:paraId="64726516" w14:textId="6ADF730D" w:rsidR="00DC4BE5" w:rsidRPr="00061E4D" w:rsidRDefault="00DC4BE5" w:rsidP="00E95782">
      <w:pPr>
        <w:pStyle w:val="Titre2"/>
      </w:pPr>
      <w:bookmarkStart w:id="35" w:name="_Toc79671873"/>
      <w:r w:rsidRPr="00061E4D">
        <w:t xml:space="preserve">Recommandation </w:t>
      </w:r>
      <w:r w:rsidR="00D16E67" w:rsidRPr="00061E4D">
        <w:t>1</w:t>
      </w:r>
      <w:r w:rsidR="00C2100F">
        <w:t>2</w:t>
      </w:r>
      <w:bookmarkEnd w:id="35"/>
    </w:p>
    <w:p w14:paraId="450E4D23" w14:textId="76D9DC3C" w:rsidR="00284663" w:rsidRPr="00061E4D" w:rsidRDefault="00DC4BE5" w:rsidP="001603C8">
      <w:pPr>
        <w:pStyle w:val="Citation"/>
        <w:widowControl w:val="0"/>
      </w:pPr>
      <w:r w:rsidRPr="00061E4D">
        <w:t xml:space="preserve">Le médecin doit s’assurer </w:t>
      </w:r>
      <w:r w:rsidR="001603C8" w:rsidRPr="00061E4D">
        <w:t xml:space="preserve">que le consentement de la personne inapte à l’aide médicale à mourir est réellement libre et éclairé. Un accompagnement peut être offert à la personne inapte, si elle le souhaite, afin de s’assurer que son consentement respecte </w:t>
      </w:r>
      <w:r w:rsidR="00774C3E" w:rsidRPr="00061E4D">
        <w:t>c</w:t>
      </w:r>
      <w:r w:rsidR="001603C8" w:rsidRPr="00061E4D">
        <w:t xml:space="preserve">es conditions. Le médecin </w:t>
      </w:r>
      <w:r w:rsidR="00611241" w:rsidRPr="00061E4D">
        <w:t>ne doit pas se baser sur le diagnostic pour évaluer</w:t>
      </w:r>
      <w:r w:rsidRPr="00061E4D">
        <w:t xml:space="preserve"> les raisons de demande d’aide médicale à mourir</w:t>
      </w:r>
      <w:r w:rsidR="002B2C98">
        <w:t>,</w:t>
      </w:r>
      <w:r w:rsidRPr="00061E4D">
        <w:t xml:space="preserve"> </w:t>
      </w:r>
      <w:r w:rsidR="00A45E07" w:rsidRPr="00061E4D">
        <w:t xml:space="preserve">mais s’assurer qu’elles </w:t>
      </w:r>
      <w:r w:rsidRPr="00061E4D">
        <w:t>correspondent à une souffrance physique ou psychologique intolérable et persistante.</w:t>
      </w:r>
      <w:r w:rsidR="0083257A">
        <w:t xml:space="preserve"> </w:t>
      </w:r>
    </w:p>
    <w:p w14:paraId="6C4F2A8C" w14:textId="1B775B48" w:rsidR="00541F59" w:rsidRPr="00061E4D" w:rsidRDefault="00541F59" w:rsidP="00541F59">
      <w:pPr>
        <w:jc w:val="both"/>
        <w:rPr>
          <w:rFonts w:cs="Arial"/>
          <w:lang w:val="fr-FR"/>
        </w:rPr>
      </w:pPr>
    </w:p>
    <w:p w14:paraId="1FA74E48" w14:textId="55F989CF" w:rsidR="00284663" w:rsidRPr="00061E4D" w:rsidRDefault="00284663" w:rsidP="00E95782">
      <w:pPr>
        <w:pStyle w:val="Titre2"/>
      </w:pPr>
      <w:bookmarkStart w:id="36" w:name="_Toc79671874"/>
      <w:r w:rsidRPr="00061E4D">
        <w:t xml:space="preserve">Recommandation </w:t>
      </w:r>
      <w:r w:rsidR="00D165F2" w:rsidRPr="00061E4D">
        <w:t>1</w:t>
      </w:r>
      <w:r w:rsidR="00C2100F">
        <w:t>3</w:t>
      </w:r>
      <w:bookmarkEnd w:id="36"/>
    </w:p>
    <w:p w14:paraId="1A398299" w14:textId="6E688F65" w:rsidR="00D30FD0" w:rsidRPr="00061E4D" w:rsidRDefault="00284663" w:rsidP="000B6576">
      <w:pPr>
        <w:pStyle w:val="Citation"/>
      </w:pPr>
      <w:r w:rsidRPr="00061E4D">
        <w:t xml:space="preserve">En plus de l’avis d’un deuxième médecin, </w:t>
      </w:r>
      <w:r w:rsidR="00611241" w:rsidRPr="00061E4D">
        <w:t>une évaluation</w:t>
      </w:r>
      <w:r w:rsidRPr="00061E4D">
        <w:t xml:space="preserve"> psychosocial</w:t>
      </w:r>
      <w:r w:rsidR="00611241" w:rsidRPr="00061E4D">
        <w:t>e</w:t>
      </w:r>
      <w:r w:rsidRPr="00061E4D">
        <w:t xml:space="preserve"> </w:t>
      </w:r>
      <w:r w:rsidR="00A45E07" w:rsidRPr="00061E4D">
        <w:t>devrait être obligatoirement faite</w:t>
      </w:r>
      <w:r w:rsidRPr="00061E4D">
        <w:t xml:space="preserve"> pour s’assurer que la personne ne demande pas l’aide médicale à mourir comme une solution désespérée à un manque de services répondant à ses besoins de la vie courante</w:t>
      </w:r>
      <w:r w:rsidR="00A45E07" w:rsidRPr="00061E4D">
        <w:t xml:space="preserve"> ou poussée par des influences externes</w:t>
      </w:r>
      <w:r w:rsidRPr="00061E4D">
        <w:t>.</w:t>
      </w:r>
      <w:r w:rsidR="00FE0180" w:rsidRPr="00061E4D">
        <w:rPr>
          <w:rStyle w:val="Appelnotedebasdep"/>
        </w:rPr>
        <w:footnoteReference w:id="30"/>
      </w:r>
      <w:r w:rsidR="0083257A">
        <w:t xml:space="preserve"> </w:t>
      </w:r>
    </w:p>
    <w:p w14:paraId="52916F0B" w14:textId="77777777" w:rsidR="00541F59" w:rsidRPr="00061E4D" w:rsidRDefault="00541F59" w:rsidP="00541F59">
      <w:pPr>
        <w:jc w:val="both"/>
        <w:rPr>
          <w:rFonts w:cs="Arial"/>
          <w:lang w:val="fr-FR"/>
        </w:rPr>
      </w:pPr>
    </w:p>
    <w:p w14:paraId="4AD65811" w14:textId="70F2F0BD" w:rsidR="00D30FD0" w:rsidRPr="00061E4D" w:rsidRDefault="00D30FD0" w:rsidP="00E95782">
      <w:pPr>
        <w:pStyle w:val="Titre2"/>
      </w:pPr>
      <w:bookmarkStart w:id="37" w:name="_Toc79671875"/>
      <w:r w:rsidRPr="00061E4D">
        <w:t xml:space="preserve">Recommandation </w:t>
      </w:r>
      <w:r w:rsidR="00D165F2" w:rsidRPr="00061E4D">
        <w:t>1</w:t>
      </w:r>
      <w:r w:rsidR="00C2100F">
        <w:t>4</w:t>
      </w:r>
      <w:bookmarkEnd w:id="37"/>
    </w:p>
    <w:p w14:paraId="4C6EEFF4" w14:textId="238598E4" w:rsidR="00D30FD0" w:rsidRPr="00061E4D" w:rsidRDefault="008D73F6" w:rsidP="00D165F2">
      <w:pPr>
        <w:pStyle w:val="Citation"/>
      </w:pPr>
      <w:r w:rsidRPr="00061E4D">
        <w:t>À la suite de</w:t>
      </w:r>
      <w:r w:rsidR="002E005A" w:rsidRPr="00061E4D">
        <w:t xml:space="preserve"> </w:t>
      </w:r>
      <w:r>
        <w:t xml:space="preserve">la conclusion de </w:t>
      </w:r>
      <w:r w:rsidR="002E005A" w:rsidRPr="00061E4D">
        <w:t>l’évaluation psychosociale, i</w:t>
      </w:r>
      <w:r w:rsidR="00D30FD0" w:rsidRPr="00061E4D">
        <w:t xml:space="preserve">nstaurer un </w:t>
      </w:r>
      <w:r w:rsidR="00D30FD0" w:rsidRPr="00061E4D">
        <w:rPr>
          <w:b/>
          <w:bCs/>
        </w:rPr>
        <w:t>délai de 90 jours</w:t>
      </w:r>
      <w:r w:rsidR="00D30FD0" w:rsidRPr="00061E4D">
        <w:t xml:space="preserve"> entre le moment où la demande est signée et l’administration de l’aide médicale à mourir afin de laisser le temps </w:t>
      </w:r>
      <w:r>
        <w:t>à l’équipe de soins</w:t>
      </w:r>
      <w:r w:rsidR="00D30FD0" w:rsidRPr="00061E4D">
        <w:t xml:space="preserve"> et à la personne qui fait sa demande de faire le bilan de la situation et de trouver éventuellement des solutions alternatives</w:t>
      </w:r>
      <w:r w:rsidR="0062775D" w:rsidRPr="00061E4D">
        <w:t>,</w:t>
      </w:r>
      <w:r w:rsidR="00D30FD0" w:rsidRPr="00061E4D">
        <w:t xml:space="preserve"> </w:t>
      </w:r>
      <w:r w:rsidR="00D165F2" w:rsidRPr="00061E4D">
        <w:t xml:space="preserve">à condition que celles-ci </w:t>
      </w:r>
      <w:r w:rsidR="00D30FD0" w:rsidRPr="00061E4D">
        <w:t>répondent aux besoin</w:t>
      </w:r>
      <w:r w:rsidR="00F76BE2" w:rsidRPr="00061E4D">
        <w:t>s</w:t>
      </w:r>
      <w:r w:rsidR="00D30FD0" w:rsidRPr="00061E4D">
        <w:t xml:space="preserve"> </w:t>
      </w:r>
      <w:r w:rsidR="0062775D" w:rsidRPr="00061E4D">
        <w:t xml:space="preserve">et </w:t>
      </w:r>
      <w:r w:rsidR="008A2969" w:rsidRPr="00061E4D">
        <w:t>respecte</w:t>
      </w:r>
      <w:r w:rsidR="0062775D" w:rsidRPr="00061E4D">
        <w:t xml:space="preserve"> la volonté </w:t>
      </w:r>
      <w:r w:rsidR="00D30FD0" w:rsidRPr="00061E4D">
        <w:t>de la personne.</w:t>
      </w:r>
    </w:p>
    <w:p w14:paraId="5B9757E7" w14:textId="47894680" w:rsidR="00284663" w:rsidRPr="00061E4D" w:rsidRDefault="00284663" w:rsidP="00BE14BD">
      <w:pPr>
        <w:spacing w:line="276" w:lineRule="auto"/>
        <w:jc w:val="both"/>
        <w:rPr>
          <w:rFonts w:cs="Arial"/>
          <w:lang w:val="fr-FR"/>
        </w:rPr>
      </w:pPr>
    </w:p>
    <w:p w14:paraId="17BC05C6" w14:textId="310D3BA1" w:rsidR="007A4E9D" w:rsidRPr="00061E4D" w:rsidRDefault="00241A2D" w:rsidP="00BE14BD">
      <w:pPr>
        <w:spacing w:line="276" w:lineRule="auto"/>
        <w:jc w:val="both"/>
        <w:rPr>
          <w:rFonts w:cs="Arial"/>
          <w:lang w:val="fr-FR"/>
        </w:rPr>
      </w:pPr>
      <w:r w:rsidRPr="00061E4D">
        <w:rPr>
          <w:rFonts w:cs="Arial"/>
          <w:lang w:val="fr-FR"/>
        </w:rPr>
        <w:t>Les professionnels de la santé apportent souvent peu de crédibilité aux paroles d’une personne inapte</w:t>
      </w:r>
      <w:r w:rsidR="00C3621F" w:rsidRPr="00061E4D">
        <w:rPr>
          <w:rFonts w:cs="Arial"/>
          <w:lang w:val="fr-FR"/>
        </w:rPr>
        <w:t xml:space="preserve"> et font preuve de beaucoup de préjugés, </w:t>
      </w:r>
      <w:r w:rsidR="00A4502A" w:rsidRPr="00061E4D">
        <w:rPr>
          <w:rFonts w:cs="Arial"/>
          <w:lang w:val="fr-FR"/>
        </w:rPr>
        <w:t>autant</w:t>
      </w:r>
      <w:r w:rsidR="00C3621F" w:rsidRPr="00061E4D">
        <w:rPr>
          <w:rFonts w:cs="Arial"/>
          <w:lang w:val="fr-FR"/>
        </w:rPr>
        <w:t xml:space="preserve"> envers les personnes inaptes </w:t>
      </w:r>
      <w:r w:rsidR="00A4502A" w:rsidRPr="00061E4D">
        <w:rPr>
          <w:rFonts w:cs="Arial"/>
          <w:lang w:val="fr-FR"/>
        </w:rPr>
        <w:t>qu’envers</w:t>
      </w:r>
      <w:r w:rsidR="00C3621F" w:rsidRPr="00061E4D">
        <w:rPr>
          <w:rFonts w:cs="Arial"/>
          <w:lang w:val="fr-FR"/>
        </w:rPr>
        <w:t xml:space="preserve"> toute personne </w:t>
      </w:r>
      <w:r w:rsidR="00A4502A" w:rsidRPr="00061E4D">
        <w:rPr>
          <w:rFonts w:cs="Arial"/>
          <w:lang w:val="fr-FR"/>
        </w:rPr>
        <w:t>en situation de handicap, même apte à consentir</w:t>
      </w:r>
      <w:r w:rsidRPr="00061E4D">
        <w:rPr>
          <w:rFonts w:cs="Arial"/>
          <w:lang w:val="fr-FR"/>
        </w:rPr>
        <w:t xml:space="preserve">. Ils s’adressent bien souvent à la personne qui l’accompagne. Cela ne favorise pas un lien de confiance de la part de la personne inapte et ne favorise pas </w:t>
      </w:r>
      <w:r w:rsidR="00A4502A" w:rsidRPr="00061E4D">
        <w:rPr>
          <w:rFonts w:cs="Arial"/>
          <w:lang w:val="fr-FR"/>
        </w:rPr>
        <w:t xml:space="preserve">non plus </w:t>
      </w:r>
      <w:r w:rsidRPr="00061E4D">
        <w:rPr>
          <w:rFonts w:cs="Arial"/>
          <w:lang w:val="fr-FR"/>
        </w:rPr>
        <w:t>sa compréhension des enjeux entourant une demande d’aide médicale à mourir.</w:t>
      </w:r>
    </w:p>
    <w:p w14:paraId="077BB78F" w14:textId="303DABA3" w:rsidR="00241A2D" w:rsidRPr="00061E4D" w:rsidRDefault="00241A2D" w:rsidP="00BE14BD">
      <w:pPr>
        <w:spacing w:line="276" w:lineRule="auto"/>
        <w:jc w:val="both"/>
        <w:rPr>
          <w:rFonts w:cs="Arial"/>
          <w:lang w:val="fr-FR"/>
        </w:rPr>
      </w:pPr>
    </w:p>
    <w:p w14:paraId="48EE5904" w14:textId="3A380DBC" w:rsidR="00241A2D" w:rsidRPr="00061E4D" w:rsidRDefault="00F55834" w:rsidP="00BE14BD">
      <w:pPr>
        <w:spacing w:line="276" w:lineRule="auto"/>
        <w:jc w:val="both"/>
        <w:rPr>
          <w:rFonts w:cs="Arial"/>
          <w:lang w:val="fr-FR"/>
        </w:rPr>
      </w:pPr>
      <w:r w:rsidRPr="00061E4D">
        <w:rPr>
          <w:rFonts w:cs="Arial"/>
          <w:lang w:val="fr-FR"/>
        </w:rPr>
        <w:t xml:space="preserve">Souvent l’inaptitude à comprendre un soin et les enjeux qui en découlent est liée à la façon de les présenter à la personne et non à sa capacité à comprendre et à prendre une </w:t>
      </w:r>
      <w:r w:rsidRPr="00061E4D">
        <w:rPr>
          <w:rFonts w:cs="Arial"/>
          <w:lang w:val="fr-FR"/>
        </w:rPr>
        <w:lastRenderedPageBreak/>
        <w:t>décision.</w:t>
      </w:r>
      <w:r w:rsidR="00F72B4A" w:rsidRPr="00061E4D">
        <w:rPr>
          <w:rFonts w:cs="Arial"/>
          <w:lang w:val="fr-FR"/>
        </w:rPr>
        <w:t xml:space="preserve"> </w:t>
      </w:r>
      <w:r w:rsidR="0062775D" w:rsidRPr="00061E4D">
        <w:rPr>
          <w:rFonts w:cs="Arial"/>
          <w:lang w:val="fr-FR"/>
        </w:rPr>
        <w:t>D</w:t>
      </w:r>
      <w:r w:rsidR="00F72B4A" w:rsidRPr="00061E4D">
        <w:rPr>
          <w:rFonts w:cs="Arial"/>
          <w:lang w:val="fr-FR"/>
        </w:rPr>
        <w:t xml:space="preserve">es outils peuvent </w:t>
      </w:r>
      <w:r w:rsidR="0062775D" w:rsidRPr="00061E4D">
        <w:rPr>
          <w:rFonts w:cs="Arial"/>
          <w:lang w:val="fr-FR"/>
        </w:rPr>
        <w:t>favoriser</w:t>
      </w:r>
      <w:r w:rsidR="00F72B4A" w:rsidRPr="00061E4D">
        <w:rPr>
          <w:rFonts w:cs="Arial"/>
          <w:lang w:val="fr-FR"/>
        </w:rPr>
        <w:t xml:space="preserve"> cette compréhension. Ils devraient donc être conçus et développés avant même </w:t>
      </w:r>
      <w:r w:rsidR="00AB1CA4" w:rsidRPr="00061E4D">
        <w:rPr>
          <w:rFonts w:cs="Arial"/>
          <w:lang w:val="fr-FR"/>
        </w:rPr>
        <w:t>que les nouveaux critères</w:t>
      </w:r>
      <w:r w:rsidR="00F72B4A" w:rsidRPr="00061E4D">
        <w:rPr>
          <w:rFonts w:cs="Arial"/>
          <w:lang w:val="fr-FR"/>
        </w:rPr>
        <w:t xml:space="preserve"> d’accès à l’aide médicale à mourir </w:t>
      </w:r>
      <w:r w:rsidR="00AB1CA4" w:rsidRPr="00061E4D">
        <w:rPr>
          <w:rFonts w:cs="Arial"/>
          <w:lang w:val="fr-FR"/>
        </w:rPr>
        <w:t>entrent en vigueur</w:t>
      </w:r>
      <w:r w:rsidR="00F72B4A" w:rsidRPr="00061E4D">
        <w:rPr>
          <w:rFonts w:cs="Arial"/>
          <w:lang w:val="fr-FR"/>
        </w:rPr>
        <w:t>.</w:t>
      </w:r>
    </w:p>
    <w:p w14:paraId="3CD7E83E" w14:textId="77777777" w:rsidR="00C2100F" w:rsidRPr="00061E4D" w:rsidRDefault="00C2100F" w:rsidP="00541F59">
      <w:pPr>
        <w:jc w:val="both"/>
        <w:rPr>
          <w:rFonts w:cs="Arial"/>
          <w:lang w:val="fr-FR"/>
        </w:rPr>
      </w:pPr>
    </w:p>
    <w:p w14:paraId="0CB80AF9" w14:textId="25B6636D" w:rsidR="00241A2D" w:rsidRPr="00061E4D" w:rsidRDefault="00241A2D" w:rsidP="00E95782">
      <w:pPr>
        <w:pStyle w:val="Titre2"/>
      </w:pPr>
      <w:bookmarkStart w:id="38" w:name="_Toc79671876"/>
      <w:r w:rsidRPr="00061E4D">
        <w:t xml:space="preserve">Recommandation </w:t>
      </w:r>
      <w:r w:rsidR="00F72B4A" w:rsidRPr="00061E4D">
        <w:t>1</w:t>
      </w:r>
      <w:r w:rsidR="00C2100F">
        <w:t>5</w:t>
      </w:r>
      <w:bookmarkEnd w:id="38"/>
    </w:p>
    <w:p w14:paraId="39D88C28" w14:textId="1984FC65" w:rsidR="00DC4BE5" w:rsidRPr="00061E4D" w:rsidRDefault="00241A2D" w:rsidP="004404E6">
      <w:pPr>
        <w:pStyle w:val="Citation"/>
        <w:rPr>
          <w:rFonts w:cs="Arial"/>
          <w:lang w:val="fr-FR"/>
        </w:rPr>
      </w:pPr>
      <w:r w:rsidRPr="00061E4D">
        <w:t>S’assurer de développer des outils destinés aux personnes inaptes pour faciliter leur compréhension des enjeux entourant une demande d’aide médicale à mourir et les soutenir dans leur prise de décision.</w:t>
      </w:r>
      <w:r w:rsidR="00DC4BE5" w:rsidRPr="00061E4D">
        <w:t xml:space="preserve"> </w:t>
      </w:r>
      <w:r w:rsidR="005C6721">
        <w:t>C</w:t>
      </w:r>
      <w:r w:rsidR="00DC4BE5" w:rsidRPr="00061E4D">
        <w:t>es outils doivent également être développés pour faciliter le dépôt de la demande.</w:t>
      </w:r>
      <w:r w:rsidR="00F72B4A" w:rsidRPr="00061E4D">
        <w:t xml:space="preserve"> </w:t>
      </w:r>
      <w:r w:rsidR="005C6721">
        <w:t xml:space="preserve">Leur utilisabilité devrait être testée auprès des personnes concernées. </w:t>
      </w:r>
      <w:r w:rsidR="00F72B4A" w:rsidRPr="00061E4D">
        <w:t xml:space="preserve">Ceci, avant même </w:t>
      </w:r>
      <w:r w:rsidR="00AB1CA4" w:rsidRPr="00061E4D">
        <w:t>que les nouveaux critères d’accès à l’aide médicale à mourir entrent en vigueur</w:t>
      </w:r>
      <w:r w:rsidR="00F72B4A" w:rsidRPr="00061E4D">
        <w:t>.</w:t>
      </w:r>
    </w:p>
    <w:p w14:paraId="63CEE3FC" w14:textId="35060C8C" w:rsidR="00FE4C9B" w:rsidRDefault="00FE4C9B" w:rsidP="00237A22">
      <w:pPr>
        <w:rPr>
          <w:rFonts w:cs="Arial"/>
          <w:lang w:val="fr-FR"/>
        </w:rPr>
      </w:pPr>
    </w:p>
    <w:p w14:paraId="0429B776" w14:textId="64B438F8" w:rsidR="00012089" w:rsidRPr="00061E4D" w:rsidRDefault="00012089" w:rsidP="00E95782">
      <w:pPr>
        <w:pStyle w:val="Titre2"/>
      </w:pPr>
      <w:bookmarkStart w:id="39" w:name="_Toc79671877"/>
      <w:r w:rsidRPr="00061E4D">
        <w:t>2)</w:t>
      </w:r>
      <w:r w:rsidRPr="00061E4D">
        <w:tab/>
        <w:t>Pour les personnes qui anticipent une perte d’aptitude.</w:t>
      </w:r>
      <w:bookmarkEnd w:id="39"/>
    </w:p>
    <w:p w14:paraId="00F045F3" w14:textId="16E96464" w:rsidR="00541F59" w:rsidRPr="00061E4D" w:rsidRDefault="00541F59" w:rsidP="00BE14BD">
      <w:pPr>
        <w:spacing w:line="276" w:lineRule="auto"/>
        <w:jc w:val="both"/>
        <w:rPr>
          <w:rFonts w:cs="Arial"/>
          <w:lang w:val="fr-FR"/>
        </w:rPr>
      </w:pPr>
      <w:r w:rsidRPr="00061E4D">
        <w:rPr>
          <w:rFonts w:cs="Arial"/>
          <w:lang w:val="fr-FR"/>
        </w:rPr>
        <w:t>La COPHAN est en faveur d’accorder la possibilité de faire</w:t>
      </w:r>
      <w:r w:rsidR="006A216B" w:rsidRPr="00061E4D">
        <w:rPr>
          <w:rFonts w:cs="Arial"/>
          <w:lang w:val="fr-FR"/>
        </w:rPr>
        <w:t xml:space="preserve"> une demande </w:t>
      </w:r>
      <w:r w:rsidRPr="00061E4D">
        <w:rPr>
          <w:rFonts w:cs="Arial"/>
          <w:lang w:val="fr-FR"/>
        </w:rPr>
        <w:t>d’aide médicale à mourir</w:t>
      </w:r>
      <w:r w:rsidR="006A216B" w:rsidRPr="00061E4D">
        <w:rPr>
          <w:rFonts w:cs="Arial"/>
          <w:lang w:val="fr-FR"/>
        </w:rPr>
        <w:t xml:space="preserve"> anticipée </w:t>
      </w:r>
      <w:r w:rsidR="00403753" w:rsidRPr="00061E4D">
        <w:rPr>
          <w:rFonts w:cs="Arial"/>
          <w:lang w:val="fr-FR"/>
        </w:rPr>
        <w:t xml:space="preserve">à </w:t>
      </w:r>
      <w:r w:rsidR="00012F5E" w:rsidRPr="00061E4D">
        <w:t xml:space="preserve">des personnes qui ont reçu un diagnostic clair de maladie dégénérative qui a des conséquences </w:t>
      </w:r>
      <w:r w:rsidR="008957B2" w:rsidRPr="00061E4D">
        <w:t xml:space="preserve">significatives </w:t>
      </w:r>
      <w:r w:rsidR="00012F5E" w:rsidRPr="00061E4D">
        <w:t>sur leurs capacités cognitives à long terme</w:t>
      </w:r>
      <w:r w:rsidRPr="00061E4D">
        <w:rPr>
          <w:rFonts w:cs="Arial"/>
          <w:lang w:val="fr-FR"/>
        </w:rPr>
        <w:t>. Cependant, cet accès devrait respecter certaines conditions</w:t>
      </w:r>
      <w:r w:rsidR="00BA24BB" w:rsidRPr="00061E4D">
        <w:rPr>
          <w:rFonts w:cs="Arial"/>
          <w:lang w:val="fr-FR"/>
        </w:rPr>
        <w:t>.</w:t>
      </w:r>
    </w:p>
    <w:p w14:paraId="57EA515B" w14:textId="49500324" w:rsidR="00BA24BB" w:rsidRPr="00061E4D" w:rsidRDefault="00BA24BB" w:rsidP="00237A22">
      <w:pPr>
        <w:rPr>
          <w:rFonts w:cs="Arial"/>
          <w:lang w:val="fr-FR"/>
        </w:rPr>
      </w:pPr>
    </w:p>
    <w:p w14:paraId="05D0E723" w14:textId="69CB8A8E" w:rsidR="00BA24BB" w:rsidRPr="00061E4D" w:rsidRDefault="00BA24BB" w:rsidP="00E95782">
      <w:pPr>
        <w:pStyle w:val="Titre2"/>
      </w:pPr>
      <w:bookmarkStart w:id="40" w:name="_Toc79671878"/>
      <w:r w:rsidRPr="00061E4D">
        <w:t xml:space="preserve">Recommandation </w:t>
      </w:r>
      <w:r w:rsidR="00383F72" w:rsidRPr="00061E4D">
        <w:t>1</w:t>
      </w:r>
      <w:r w:rsidR="00C2100F">
        <w:t>6</w:t>
      </w:r>
      <w:bookmarkEnd w:id="40"/>
    </w:p>
    <w:p w14:paraId="59A8E3F0" w14:textId="6252BF37" w:rsidR="00BA24BB" w:rsidRPr="00061E4D" w:rsidRDefault="00BA24BB" w:rsidP="00B97620">
      <w:pPr>
        <w:pStyle w:val="Citation"/>
        <w:widowControl w:val="0"/>
      </w:pPr>
      <w:r w:rsidRPr="00061E4D">
        <w:t xml:space="preserve">Que la demande anticipée d’aide médicale à mourir soit autorisée à des personnes qui ont reçu un diagnostic clair de maladie dégénérative qui a des conséquences </w:t>
      </w:r>
      <w:r w:rsidR="008957B2" w:rsidRPr="00061E4D">
        <w:t xml:space="preserve">significatives </w:t>
      </w:r>
      <w:r w:rsidRPr="00061E4D">
        <w:t xml:space="preserve">sur </w:t>
      </w:r>
      <w:r w:rsidR="00F05EBA" w:rsidRPr="00061E4D">
        <w:t>leur</w:t>
      </w:r>
      <w:r w:rsidRPr="00061E4D">
        <w:t>s capacités cognitives à long terme</w:t>
      </w:r>
      <w:r w:rsidR="00C500DA">
        <w:t>,</w:t>
      </w:r>
      <w:r w:rsidRPr="00061E4D">
        <w:t xml:space="preserve"> </w:t>
      </w:r>
      <w:r w:rsidR="00F05EBA" w:rsidRPr="00061E4D">
        <w:t xml:space="preserve">mais </w:t>
      </w:r>
      <w:r w:rsidRPr="00061E4D">
        <w:t>aux conditions suivantes :</w:t>
      </w:r>
    </w:p>
    <w:p w14:paraId="6B931BD3" w14:textId="720E1E29" w:rsidR="006A216B" w:rsidRPr="00061E4D" w:rsidRDefault="00541F59" w:rsidP="00976887">
      <w:pPr>
        <w:pStyle w:val="Citation"/>
        <w:numPr>
          <w:ilvl w:val="0"/>
          <w:numId w:val="24"/>
        </w:numPr>
        <w:ind w:left="993" w:hanging="284"/>
      </w:pPr>
      <w:r w:rsidRPr="00061E4D">
        <w:t xml:space="preserve">Avoir </w:t>
      </w:r>
      <w:r w:rsidR="006A216B" w:rsidRPr="00061E4D">
        <w:t>un délai de 90 jours</w:t>
      </w:r>
      <w:r w:rsidRPr="00061E4D">
        <w:t xml:space="preserve"> entre la signature de la demande et l’administration de l’aide médicale à mourir</w:t>
      </w:r>
      <w:r w:rsidR="007F44CA">
        <w:t xml:space="preserve"> </w:t>
      </w:r>
      <w:r w:rsidR="007F44CA" w:rsidRPr="00061E4D">
        <w:t xml:space="preserve">afin de laisser le temps </w:t>
      </w:r>
      <w:r w:rsidR="007F44CA">
        <w:t>à l’équipe de soins</w:t>
      </w:r>
      <w:r w:rsidR="007F44CA" w:rsidRPr="00061E4D">
        <w:t xml:space="preserve"> et à la personne qui fait sa demande de faire le bilan de la situation et de trouver éventuellement des solutions alternatives, à condition que celles-ci répondent aux besoins et respecte la volonté de la personne</w:t>
      </w:r>
      <w:r w:rsidR="007F44CA">
        <w:t>.</w:t>
      </w:r>
    </w:p>
    <w:p w14:paraId="3B91A9E9" w14:textId="3D832327" w:rsidR="00541F59" w:rsidRPr="00061E4D" w:rsidRDefault="00541F59" w:rsidP="00976887">
      <w:pPr>
        <w:pStyle w:val="Citation"/>
        <w:numPr>
          <w:ilvl w:val="0"/>
          <w:numId w:val="24"/>
        </w:numPr>
        <w:ind w:left="993" w:hanging="284"/>
      </w:pPr>
      <w:r w:rsidRPr="00061E4D">
        <w:t xml:space="preserve">Tenir compte de l’évolution </w:t>
      </w:r>
      <w:r w:rsidR="00C45D66" w:rsidRPr="00061E4D">
        <w:t xml:space="preserve">ou du stade </w:t>
      </w:r>
      <w:r w:rsidRPr="00061E4D">
        <w:t>de la maladie, afin de faire un suivi régulier sur les aptitudes de la personne.</w:t>
      </w:r>
    </w:p>
    <w:p w14:paraId="6B4946F7" w14:textId="214D2E70" w:rsidR="00541F59" w:rsidRPr="00061E4D" w:rsidRDefault="00541F59" w:rsidP="00976887">
      <w:pPr>
        <w:pStyle w:val="Citation"/>
        <w:numPr>
          <w:ilvl w:val="0"/>
          <w:numId w:val="24"/>
        </w:numPr>
        <w:ind w:left="993" w:hanging="284"/>
      </w:pPr>
      <w:r w:rsidRPr="00061E4D">
        <w:t xml:space="preserve">Comme pour les autres demandes </w:t>
      </w:r>
      <w:r w:rsidR="00BA24BB" w:rsidRPr="00061E4D">
        <w:t>d’aide médicale à mourir, celle-ci devrait être administrée seulement lorsque les souffrances physiques et psychologiques de la personne seront devenues persistantes et intolérables.</w:t>
      </w:r>
    </w:p>
    <w:p w14:paraId="7D16BA58" w14:textId="77777777" w:rsidR="00541F59" w:rsidRPr="00061E4D" w:rsidRDefault="00541F59" w:rsidP="00237A22">
      <w:pPr>
        <w:rPr>
          <w:rFonts w:cs="Arial"/>
          <w:lang w:val="fr-FR"/>
        </w:rPr>
      </w:pPr>
    </w:p>
    <w:p w14:paraId="28181CE0" w14:textId="12BD01B5" w:rsidR="00012089" w:rsidRPr="00061E4D" w:rsidRDefault="00012089" w:rsidP="00E95782">
      <w:pPr>
        <w:pStyle w:val="Titre2"/>
      </w:pPr>
      <w:bookmarkStart w:id="41" w:name="_Toc79671879"/>
      <w:r w:rsidRPr="00061E4D">
        <w:t>3)</w:t>
      </w:r>
      <w:r w:rsidRPr="00061E4D">
        <w:tab/>
        <w:t xml:space="preserve">Pour les personnes victimes d’un </w:t>
      </w:r>
      <w:bookmarkStart w:id="42" w:name="_Hlk78902267"/>
      <w:r w:rsidRPr="00061E4D">
        <w:t>accident</w:t>
      </w:r>
      <w:r w:rsidR="008957B2" w:rsidRPr="00061E4D">
        <w:t xml:space="preserve"> soudain et inattendu</w:t>
      </w:r>
      <w:bookmarkEnd w:id="42"/>
      <w:r w:rsidR="006A216B" w:rsidRPr="00061E4D">
        <w:t xml:space="preserve">, </w:t>
      </w:r>
      <w:r w:rsidR="008957B2" w:rsidRPr="00061E4D">
        <w:t>tel qu’</w:t>
      </w:r>
      <w:r w:rsidR="006A216B" w:rsidRPr="00061E4D">
        <w:t>un accident vasculaire cérébral, un traum</w:t>
      </w:r>
      <w:r w:rsidRPr="00061E4D">
        <w:t>atisme craniocérébral</w:t>
      </w:r>
      <w:r w:rsidR="006A216B" w:rsidRPr="00061E4D">
        <w:t xml:space="preserve"> ou un</w:t>
      </w:r>
      <w:r w:rsidRPr="00061E4D">
        <w:t xml:space="preserve"> coma</w:t>
      </w:r>
      <w:r w:rsidR="006A216B" w:rsidRPr="00061E4D">
        <w:t>.</w:t>
      </w:r>
      <w:bookmarkEnd w:id="41"/>
    </w:p>
    <w:p w14:paraId="7B2F775F" w14:textId="6A2D9535" w:rsidR="00F76BE2" w:rsidRPr="00061E4D" w:rsidRDefault="00F76BE2" w:rsidP="00BE14BD">
      <w:pPr>
        <w:spacing w:line="276" w:lineRule="auto"/>
        <w:jc w:val="both"/>
        <w:rPr>
          <w:rFonts w:cs="Arial"/>
          <w:lang w:val="fr-FR"/>
        </w:rPr>
      </w:pPr>
      <w:r w:rsidRPr="00061E4D">
        <w:rPr>
          <w:rFonts w:cs="Arial"/>
          <w:lang w:val="fr-FR"/>
        </w:rPr>
        <w:t xml:space="preserve">La COPHAN préfère ne pas élargir l’accès à l’aide médicale à </w:t>
      </w:r>
      <w:r w:rsidRPr="00C2100F">
        <w:rPr>
          <w:rFonts w:cs="Arial"/>
          <w:lang w:val="fr-FR"/>
        </w:rPr>
        <w:t xml:space="preserve">mourir </w:t>
      </w:r>
      <w:r w:rsidR="00E42196" w:rsidRPr="00C2100F">
        <w:rPr>
          <w:rFonts w:cs="Arial"/>
          <w:lang w:val="fr-FR"/>
        </w:rPr>
        <w:t xml:space="preserve">sur la base d’un consentement anticipé </w:t>
      </w:r>
      <w:r w:rsidRPr="00C2100F">
        <w:rPr>
          <w:rFonts w:cs="Arial"/>
          <w:lang w:val="fr-FR"/>
        </w:rPr>
        <w:t>pour les personnes victimes d’</w:t>
      </w:r>
      <w:r w:rsidR="008957B2" w:rsidRPr="00C2100F">
        <w:rPr>
          <w:rFonts w:cs="Arial"/>
          <w:lang w:val="fr-FR"/>
        </w:rPr>
        <w:t xml:space="preserve">un </w:t>
      </w:r>
      <w:r w:rsidRPr="00C2100F">
        <w:rPr>
          <w:rFonts w:cs="Arial"/>
          <w:lang w:val="fr-FR"/>
        </w:rPr>
        <w:t>accident</w:t>
      </w:r>
      <w:r w:rsidR="003B53D2" w:rsidRPr="00C2100F">
        <w:rPr>
          <w:rFonts w:cs="Arial"/>
          <w:lang w:val="fr-FR"/>
        </w:rPr>
        <w:t xml:space="preserve">, par cohérence avec </w:t>
      </w:r>
      <w:r w:rsidR="003B53D2" w:rsidRPr="00C2100F">
        <w:rPr>
          <w:rFonts w:cs="Arial"/>
          <w:lang w:val="fr-FR"/>
        </w:rPr>
        <w:lastRenderedPageBreak/>
        <w:t>nos positions dans les deux autres situations</w:t>
      </w:r>
      <w:r w:rsidRPr="00C2100F">
        <w:rPr>
          <w:rFonts w:cs="Arial"/>
          <w:lang w:val="fr-FR"/>
        </w:rPr>
        <w:t xml:space="preserve">. </w:t>
      </w:r>
      <w:r w:rsidR="006A216B" w:rsidRPr="00C2100F">
        <w:rPr>
          <w:rFonts w:cs="Arial"/>
          <w:lang w:val="fr-FR"/>
        </w:rPr>
        <w:t xml:space="preserve">Ce serait </w:t>
      </w:r>
      <w:r w:rsidR="003B53D2" w:rsidRPr="00C2100F">
        <w:rPr>
          <w:rFonts w:cs="Arial"/>
          <w:lang w:val="fr-FR"/>
        </w:rPr>
        <w:t>en effet</w:t>
      </w:r>
      <w:r w:rsidR="00D2334B" w:rsidRPr="00C2100F">
        <w:rPr>
          <w:rFonts w:cs="Arial"/>
          <w:lang w:val="fr-FR"/>
        </w:rPr>
        <w:t xml:space="preserve"> la rendre accessible</w:t>
      </w:r>
      <w:r w:rsidR="00D2334B" w:rsidRPr="00061E4D">
        <w:rPr>
          <w:rFonts w:cs="Arial"/>
          <w:lang w:val="fr-FR"/>
        </w:rPr>
        <w:t xml:space="preserve"> sur la seule base du diagnostic </w:t>
      </w:r>
      <w:r w:rsidR="00023505" w:rsidRPr="00061E4D">
        <w:rPr>
          <w:rFonts w:cs="Arial"/>
          <w:lang w:val="fr-FR"/>
        </w:rPr>
        <w:t>d’</w:t>
      </w:r>
      <w:r w:rsidR="00023505" w:rsidRPr="00061E4D">
        <w:t>accident vasculaire cérébral,</w:t>
      </w:r>
      <w:r w:rsidR="00023505" w:rsidRPr="00061E4D">
        <w:rPr>
          <w:rFonts w:cs="Arial"/>
          <w:lang w:val="fr-FR"/>
        </w:rPr>
        <w:t xml:space="preserve"> </w:t>
      </w:r>
      <w:r w:rsidR="00D2334B" w:rsidRPr="00061E4D">
        <w:rPr>
          <w:rFonts w:cs="Arial"/>
          <w:lang w:val="fr-FR"/>
        </w:rPr>
        <w:t xml:space="preserve">de </w:t>
      </w:r>
      <w:r w:rsidR="00023505" w:rsidRPr="00061E4D">
        <w:t>traumatisme craniocérébral</w:t>
      </w:r>
      <w:r w:rsidR="00023505" w:rsidRPr="00061E4D">
        <w:rPr>
          <w:rFonts w:cs="Arial"/>
        </w:rPr>
        <w:t xml:space="preserve"> ou de </w:t>
      </w:r>
      <w:r w:rsidR="00D2334B" w:rsidRPr="00061E4D">
        <w:rPr>
          <w:rFonts w:cs="Arial"/>
          <w:lang w:val="fr-FR"/>
        </w:rPr>
        <w:t>coma, ce à quoi nous nous opposons catégoriquement. Rappelons que cette opposition est fondée sur le fait qu’un même diagnostic, que ce soit une maladie dégénérative, une déficience physique ou intellectuelle</w:t>
      </w:r>
      <w:r w:rsidR="00023505" w:rsidRPr="00061E4D">
        <w:rPr>
          <w:rFonts w:cs="Arial"/>
          <w:lang w:val="fr-FR"/>
        </w:rPr>
        <w:t>,</w:t>
      </w:r>
      <w:r w:rsidR="00D2334B" w:rsidRPr="00061E4D">
        <w:rPr>
          <w:rFonts w:cs="Arial"/>
          <w:lang w:val="fr-FR"/>
        </w:rPr>
        <w:t xml:space="preserve"> peut amener des conséquences physiques et psych</w:t>
      </w:r>
      <w:r w:rsidR="00023505" w:rsidRPr="00061E4D">
        <w:rPr>
          <w:rFonts w:cs="Arial"/>
          <w:lang w:val="fr-FR"/>
        </w:rPr>
        <w:t>ologi</w:t>
      </w:r>
      <w:r w:rsidR="00D2334B" w:rsidRPr="00061E4D">
        <w:rPr>
          <w:rFonts w:cs="Arial"/>
          <w:lang w:val="fr-FR"/>
        </w:rPr>
        <w:t>ques très différentes d’une personne à une autre</w:t>
      </w:r>
      <w:r w:rsidR="00C45D66" w:rsidRPr="00061E4D">
        <w:rPr>
          <w:rFonts w:cs="Arial"/>
          <w:lang w:val="fr-FR"/>
        </w:rPr>
        <w:t>.</w:t>
      </w:r>
    </w:p>
    <w:p w14:paraId="7D1D25E2" w14:textId="77777777" w:rsidR="00815D28" w:rsidRPr="00061E4D" w:rsidRDefault="00815D28" w:rsidP="00BE14BD">
      <w:pPr>
        <w:spacing w:line="276" w:lineRule="auto"/>
        <w:jc w:val="both"/>
        <w:rPr>
          <w:rFonts w:cs="Arial"/>
          <w:lang w:val="fr-FR"/>
        </w:rPr>
      </w:pPr>
    </w:p>
    <w:p w14:paraId="660C8F7B" w14:textId="0B88A823" w:rsidR="00E85498" w:rsidRPr="00061E4D" w:rsidRDefault="00D2334B" w:rsidP="00BE14BD">
      <w:pPr>
        <w:spacing w:line="276" w:lineRule="auto"/>
        <w:jc w:val="both"/>
        <w:rPr>
          <w:rFonts w:cs="Arial"/>
          <w:lang w:val="fr-FR"/>
        </w:rPr>
      </w:pPr>
      <w:r w:rsidRPr="00061E4D">
        <w:rPr>
          <w:rFonts w:cs="Arial"/>
          <w:lang w:val="fr-FR"/>
        </w:rPr>
        <w:t>Dans le cas d’une personne qui aurait un accident vasculaire cérébral, un traumatisme craniocérébral ou un coma, nous voyons deux situations possibles</w:t>
      </w:r>
      <w:r w:rsidR="006D3D47" w:rsidRPr="00061E4D">
        <w:rPr>
          <w:rFonts w:cs="Arial"/>
          <w:lang w:val="fr-FR"/>
        </w:rPr>
        <w:t xml:space="preserve">, dans lesquelles la personne vivrait des souffrances intolérables et persistantes et </w:t>
      </w:r>
      <w:r w:rsidR="00815D28" w:rsidRPr="00061E4D">
        <w:rPr>
          <w:rFonts w:cs="Arial"/>
          <w:lang w:val="fr-FR"/>
        </w:rPr>
        <w:t>pourrait</w:t>
      </w:r>
      <w:r w:rsidR="006D3D47" w:rsidRPr="00061E4D">
        <w:rPr>
          <w:rFonts w:cs="Arial"/>
          <w:lang w:val="fr-FR"/>
        </w:rPr>
        <w:t xml:space="preserve"> demander l’aide médicale à mourir</w:t>
      </w:r>
      <w:r w:rsidR="00815D28" w:rsidRPr="00061E4D">
        <w:rPr>
          <w:rFonts w:cs="Arial"/>
          <w:lang w:val="fr-FR"/>
        </w:rPr>
        <w:t xml:space="preserve"> si elle le souhaite</w:t>
      </w:r>
      <w:r w:rsidRPr="00061E4D">
        <w:rPr>
          <w:rFonts w:cs="Arial"/>
          <w:lang w:val="fr-FR"/>
        </w:rPr>
        <w:t> :</w:t>
      </w:r>
    </w:p>
    <w:p w14:paraId="2948953E" w14:textId="4454E2E8" w:rsidR="00D2334B" w:rsidRPr="00061E4D" w:rsidRDefault="006D3D47" w:rsidP="00061E4D">
      <w:pPr>
        <w:pStyle w:val="Paragraphedeliste"/>
        <w:numPr>
          <w:ilvl w:val="0"/>
          <w:numId w:val="25"/>
        </w:numPr>
        <w:jc w:val="both"/>
        <w:rPr>
          <w:rFonts w:cs="Arial"/>
          <w:lang w:val="fr-FR"/>
        </w:rPr>
      </w:pPr>
      <w:r w:rsidRPr="00061E4D">
        <w:rPr>
          <w:rFonts w:ascii="Arial" w:hAnsi="Arial" w:cs="Arial"/>
          <w:sz w:val="24"/>
          <w:szCs w:val="24"/>
          <w:lang w:val="fr-FR"/>
        </w:rPr>
        <w:t xml:space="preserve">soit cette personne, malgré « l’accident soudain et inattendu », est encore apte à consentir à des soins. Dans ce cas, c’est </w:t>
      </w:r>
      <w:r w:rsidR="00023505" w:rsidRPr="00061E4D">
        <w:rPr>
          <w:rFonts w:ascii="Arial" w:hAnsi="Arial" w:cs="Arial"/>
          <w:sz w:val="24"/>
          <w:szCs w:val="24"/>
          <w:lang w:val="fr-FR"/>
        </w:rPr>
        <w:t xml:space="preserve">une </w:t>
      </w:r>
      <w:r w:rsidRPr="00061E4D">
        <w:rPr>
          <w:rFonts w:ascii="Arial" w:hAnsi="Arial" w:cs="Arial"/>
          <w:sz w:val="24"/>
          <w:szCs w:val="24"/>
          <w:lang w:val="fr-FR"/>
        </w:rPr>
        <w:t xml:space="preserve">situation </w:t>
      </w:r>
      <w:r w:rsidR="00023505" w:rsidRPr="00061E4D">
        <w:rPr>
          <w:rFonts w:ascii="Arial" w:hAnsi="Arial" w:cs="Arial"/>
          <w:sz w:val="24"/>
          <w:szCs w:val="24"/>
          <w:lang w:val="fr-FR"/>
        </w:rPr>
        <w:t xml:space="preserve">semblable à celle </w:t>
      </w:r>
      <w:r w:rsidRPr="00061E4D">
        <w:rPr>
          <w:rFonts w:ascii="Arial" w:hAnsi="Arial" w:cs="Arial"/>
          <w:sz w:val="24"/>
          <w:szCs w:val="24"/>
          <w:lang w:val="fr-FR"/>
        </w:rPr>
        <w:t>de Mme Gladu et M. Truchon</w:t>
      </w:r>
      <w:r w:rsidRPr="00061E4D">
        <w:rPr>
          <w:rStyle w:val="Appelnotedebasdep"/>
          <w:rFonts w:ascii="Arial" w:hAnsi="Arial" w:cs="Arial"/>
          <w:sz w:val="24"/>
          <w:szCs w:val="24"/>
          <w:lang w:val="fr-FR"/>
        </w:rPr>
        <w:footnoteReference w:id="31"/>
      </w:r>
      <w:r w:rsidRPr="00061E4D">
        <w:rPr>
          <w:rFonts w:ascii="Arial" w:hAnsi="Arial" w:cs="Arial"/>
          <w:sz w:val="24"/>
          <w:szCs w:val="24"/>
          <w:lang w:val="fr-FR"/>
        </w:rPr>
        <w:t xml:space="preserve">. Bien que </w:t>
      </w:r>
      <w:r w:rsidR="00E85498" w:rsidRPr="00061E4D">
        <w:rPr>
          <w:rFonts w:ascii="Arial" w:hAnsi="Arial" w:cs="Arial"/>
          <w:sz w:val="24"/>
          <w:szCs w:val="24"/>
          <w:lang w:val="fr-FR"/>
        </w:rPr>
        <w:t>sa</w:t>
      </w:r>
      <w:r w:rsidRPr="00061E4D">
        <w:rPr>
          <w:rFonts w:ascii="Arial" w:hAnsi="Arial" w:cs="Arial"/>
          <w:sz w:val="24"/>
          <w:szCs w:val="24"/>
          <w:lang w:val="fr-FR"/>
        </w:rPr>
        <w:t xml:space="preserve"> vie ne soit pas en danger, </w:t>
      </w:r>
      <w:r w:rsidR="00815D28" w:rsidRPr="00061E4D">
        <w:rPr>
          <w:rFonts w:ascii="Arial" w:hAnsi="Arial" w:cs="Arial"/>
          <w:sz w:val="24"/>
          <w:szCs w:val="24"/>
          <w:lang w:val="fr-FR"/>
        </w:rPr>
        <w:t>elle peut</w:t>
      </w:r>
      <w:r w:rsidRPr="00061E4D">
        <w:rPr>
          <w:rFonts w:ascii="Arial" w:hAnsi="Arial" w:cs="Arial"/>
          <w:sz w:val="24"/>
          <w:szCs w:val="24"/>
          <w:lang w:val="fr-FR"/>
        </w:rPr>
        <w:t xml:space="preserve"> </w:t>
      </w:r>
      <w:r w:rsidR="00023505" w:rsidRPr="00061E4D">
        <w:rPr>
          <w:rFonts w:ascii="Arial" w:hAnsi="Arial" w:cs="Arial"/>
          <w:sz w:val="24"/>
          <w:szCs w:val="24"/>
          <w:lang w:val="fr-FR"/>
        </w:rPr>
        <w:t>maintenant d</w:t>
      </w:r>
      <w:r w:rsidRPr="00061E4D">
        <w:rPr>
          <w:rFonts w:ascii="Arial" w:hAnsi="Arial" w:cs="Arial"/>
          <w:sz w:val="24"/>
          <w:szCs w:val="24"/>
          <w:lang w:val="fr-FR"/>
        </w:rPr>
        <w:t>emander l’aide médicale à mourir</w:t>
      </w:r>
      <w:r w:rsidR="00E85498" w:rsidRPr="00061E4D">
        <w:rPr>
          <w:rFonts w:ascii="Arial" w:hAnsi="Arial" w:cs="Arial"/>
          <w:sz w:val="24"/>
          <w:szCs w:val="24"/>
          <w:lang w:val="fr-FR"/>
        </w:rPr>
        <w:t xml:space="preserve"> si elle remplit les critères de l’article 26 de la Loi</w:t>
      </w:r>
      <w:r w:rsidRPr="00061E4D">
        <w:rPr>
          <w:rFonts w:ascii="Arial" w:hAnsi="Arial" w:cs="Arial"/>
          <w:sz w:val="24"/>
          <w:szCs w:val="24"/>
          <w:lang w:val="fr-FR"/>
        </w:rPr>
        <w:t>.</w:t>
      </w:r>
    </w:p>
    <w:p w14:paraId="0853C6DC" w14:textId="62AA1457" w:rsidR="00E85498" w:rsidRPr="00061E4D" w:rsidRDefault="00E85498" w:rsidP="00061E4D">
      <w:pPr>
        <w:pStyle w:val="Paragraphedeliste"/>
        <w:numPr>
          <w:ilvl w:val="0"/>
          <w:numId w:val="25"/>
        </w:numPr>
        <w:jc w:val="both"/>
        <w:rPr>
          <w:rFonts w:cs="Arial"/>
          <w:lang w:val="fr-FR"/>
        </w:rPr>
      </w:pPr>
      <w:r w:rsidRPr="00061E4D">
        <w:rPr>
          <w:rFonts w:ascii="Arial" w:hAnsi="Arial" w:cs="Arial"/>
          <w:sz w:val="24"/>
          <w:szCs w:val="24"/>
          <w:lang w:val="fr-FR"/>
        </w:rPr>
        <w:t xml:space="preserve">soit cette personne devient inapte à la suite de « l’accident soudain et inattendu ». </w:t>
      </w:r>
      <w:bookmarkStart w:id="43" w:name="_Hlk79419238"/>
      <w:r w:rsidRPr="00061E4D">
        <w:rPr>
          <w:rFonts w:ascii="Arial" w:hAnsi="Arial" w:cs="Arial"/>
          <w:sz w:val="24"/>
          <w:szCs w:val="24"/>
          <w:lang w:val="fr-FR"/>
        </w:rPr>
        <w:t>Elle n’avait pas pu faire de demande anticipée d’aide médicale à mourir avant l’accident, parce que, par définition, c’est un év</w:t>
      </w:r>
      <w:r w:rsidR="00C500DA">
        <w:rPr>
          <w:rFonts w:ascii="Arial" w:hAnsi="Arial" w:cs="Arial"/>
          <w:sz w:val="24"/>
          <w:szCs w:val="24"/>
          <w:lang w:val="fr-FR"/>
        </w:rPr>
        <w:t>è</w:t>
      </w:r>
      <w:r w:rsidRPr="00061E4D">
        <w:rPr>
          <w:rFonts w:ascii="Arial" w:hAnsi="Arial" w:cs="Arial"/>
          <w:sz w:val="24"/>
          <w:szCs w:val="24"/>
          <w:lang w:val="fr-FR"/>
        </w:rPr>
        <w:t xml:space="preserve">nement imprévisible. </w:t>
      </w:r>
      <w:bookmarkEnd w:id="43"/>
      <w:r w:rsidRPr="00061E4D">
        <w:rPr>
          <w:rFonts w:ascii="Arial" w:hAnsi="Arial" w:cs="Arial"/>
          <w:sz w:val="24"/>
          <w:szCs w:val="24"/>
          <w:lang w:val="fr-FR"/>
        </w:rPr>
        <w:t xml:space="preserve">Sa situation la différencie donc de celle des personnes qui ont eu un diagnostic clair de maladie dégénérative pouvant affecter dans le futur leur capacité à consentir à l’aide médicale à mourir. Dans le cas de la maladie dégénérative, </w:t>
      </w:r>
      <w:r w:rsidR="00815D28" w:rsidRPr="00061E4D">
        <w:rPr>
          <w:rFonts w:ascii="Arial" w:hAnsi="Arial" w:cs="Arial"/>
          <w:sz w:val="24"/>
          <w:szCs w:val="24"/>
          <w:lang w:val="fr-FR"/>
        </w:rPr>
        <w:t xml:space="preserve">le diagnostic est clair et </w:t>
      </w:r>
      <w:r w:rsidRPr="00061E4D">
        <w:rPr>
          <w:rFonts w:ascii="Arial" w:hAnsi="Arial" w:cs="Arial"/>
          <w:sz w:val="24"/>
          <w:szCs w:val="24"/>
          <w:lang w:val="fr-FR"/>
        </w:rPr>
        <w:t xml:space="preserve">la perte de la capacité à consentir est prévisible. </w:t>
      </w:r>
      <w:r w:rsidR="000A182A" w:rsidRPr="00061E4D">
        <w:rPr>
          <w:rFonts w:ascii="Arial" w:hAnsi="Arial" w:cs="Arial"/>
          <w:sz w:val="24"/>
          <w:szCs w:val="24"/>
          <w:lang w:val="fr-FR"/>
        </w:rPr>
        <w:t>Ce</w:t>
      </w:r>
      <w:r w:rsidR="00BD681B" w:rsidRPr="00061E4D">
        <w:rPr>
          <w:rFonts w:ascii="Arial" w:hAnsi="Arial" w:cs="Arial"/>
          <w:sz w:val="24"/>
          <w:szCs w:val="24"/>
          <w:lang w:val="fr-FR"/>
        </w:rPr>
        <w:t>la</w:t>
      </w:r>
      <w:r w:rsidR="000A182A" w:rsidRPr="00061E4D">
        <w:rPr>
          <w:rFonts w:ascii="Arial" w:hAnsi="Arial" w:cs="Arial"/>
          <w:sz w:val="24"/>
          <w:szCs w:val="24"/>
          <w:lang w:val="fr-FR"/>
        </w:rPr>
        <w:t xml:space="preserve"> dit, comme </w:t>
      </w:r>
      <w:r w:rsidR="00815D28" w:rsidRPr="00061E4D">
        <w:rPr>
          <w:rFonts w:ascii="Arial" w:hAnsi="Arial" w:cs="Arial"/>
          <w:sz w:val="24"/>
          <w:szCs w:val="24"/>
          <w:lang w:val="fr-FR"/>
        </w:rPr>
        <w:t xml:space="preserve">la personne qui a eu </w:t>
      </w:r>
      <w:r w:rsidR="00023505" w:rsidRPr="00061E4D">
        <w:rPr>
          <w:rFonts w:ascii="Arial" w:hAnsi="Arial" w:cs="Arial"/>
          <w:sz w:val="24"/>
          <w:szCs w:val="24"/>
          <w:lang w:val="fr-FR"/>
        </w:rPr>
        <w:t>u</w:t>
      </w:r>
      <w:r w:rsidR="00815D28" w:rsidRPr="00061E4D">
        <w:rPr>
          <w:rFonts w:ascii="Arial" w:hAnsi="Arial" w:cs="Arial"/>
          <w:sz w:val="24"/>
          <w:szCs w:val="24"/>
          <w:lang w:val="fr-FR"/>
        </w:rPr>
        <w:t>n « accident soudain et inattendu »</w:t>
      </w:r>
      <w:r w:rsidR="000A182A" w:rsidRPr="00061E4D">
        <w:rPr>
          <w:rFonts w:ascii="Arial" w:hAnsi="Arial" w:cs="Arial"/>
          <w:sz w:val="24"/>
          <w:szCs w:val="24"/>
          <w:lang w:val="fr-FR"/>
        </w:rPr>
        <w:t xml:space="preserve"> est devenue inapte, les critères d’admissibilité à l’aide médicale à mourir des personnes « qui n’ont jamais été aptes » s’appliqueront si la Loi est modifiée dans ce sens.</w:t>
      </w:r>
    </w:p>
    <w:p w14:paraId="091D6FCA" w14:textId="2C9D6D27" w:rsidR="00F76BE2" w:rsidRPr="00061E4D" w:rsidRDefault="006A216B" w:rsidP="00BE14BD">
      <w:pPr>
        <w:spacing w:line="276" w:lineRule="auto"/>
        <w:jc w:val="both"/>
        <w:rPr>
          <w:rFonts w:cs="Arial"/>
          <w:lang w:val="fr-FR"/>
        </w:rPr>
      </w:pPr>
      <w:r w:rsidRPr="00061E4D">
        <w:rPr>
          <w:rFonts w:cs="Arial"/>
          <w:lang w:val="fr-FR"/>
        </w:rPr>
        <w:t xml:space="preserve">Comme nous l’avons dit tout au long de ce mémoire, les motifs d’une demande d’aide médicale à mourir doivent se baser sur des souffrances intolérables et persistantes et non </w:t>
      </w:r>
      <w:r w:rsidR="003B53D2" w:rsidRPr="00061E4D">
        <w:rPr>
          <w:rFonts w:cs="Arial"/>
          <w:lang w:val="fr-FR"/>
        </w:rPr>
        <w:t>uniquement</w:t>
      </w:r>
      <w:r w:rsidRPr="00061E4D">
        <w:rPr>
          <w:rFonts w:cs="Arial"/>
          <w:lang w:val="fr-FR"/>
        </w:rPr>
        <w:t xml:space="preserve"> sur la base d’un diagnostic.</w:t>
      </w:r>
    </w:p>
    <w:p w14:paraId="5CFAE53E" w14:textId="203970CA" w:rsidR="006A216B" w:rsidRPr="00061E4D" w:rsidRDefault="006A216B" w:rsidP="00BE14BD">
      <w:pPr>
        <w:spacing w:line="276" w:lineRule="auto"/>
        <w:jc w:val="both"/>
        <w:rPr>
          <w:rFonts w:cs="Arial"/>
          <w:lang w:val="fr-FR"/>
        </w:rPr>
      </w:pPr>
    </w:p>
    <w:p w14:paraId="56A8B31F" w14:textId="35308F2D" w:rsidR="006A216B" w:rsidRPr="00061E4D" w:rsidRDefault="008957B2" w:rsidP="00BE14BD">
      <w:pPr>
        <w:spacing w:line="276" w:lineRule="auto"/>
        <w:jc w:val="both"/>
        <w:rPr>
          <w:rFonts w:cs="Arial"/>
          <w:lang w:val="fr-FR"/>
        </w:rPr>
      </w:pPr>
      <w:r w:rsidRPr="00061E4D">
        <w:rPr>
          <w:noProof/>
        </w:rPr>
        <w:t xml:space="preserve">Afin de répondre aux besoins de ces personnes, </w:t>
      </w:r>
      <w:r w:rsidR="00C45D66" w:rsidRPr="00061E4D">
        <w:rPr>
          <w:noProof/>
        </w:rPr>
        <w:t xml:space="preserve">le </w:t>
      </w:r>
      <w:r w:rsidRPr="00061E4D">
        <w:rPr>
          <w:noProof/>
        </w:rPr>
        <w:t xml:space="preserve">gouvernement, sous la responsabilité du ministère de la Santé et des Services sociaux, de la Régie de l’assurance maladie du Québec ou autre ministère ou organisme </w:t>
      </w:r>
      <w:r w:rsidR="00C45D66" w:rsidRPr="00061E4D">
        <w:rPr>
          <w:noProof/>
        </w:rPr>
        <w:t>gouvernementa</w:t>
      </w:r>
      <w:r w:rsidR="000133D8">
        <w:rPr>
          <w:noProof/>
        </w:rPr>
        <w:t>l</w:t>
      </w:r>
      <w:r w:rsidRPr="00061E4D">
        <w:rPr>
          <w:noProof/>
        </w:rPr>
        <w:t xml:space="preserve">, devrait plutôt encourager davantage la population québécoise </w:t>
      </w:r>
      <w:r w:rsidR="006A216B" w:rsidRPr="00061E4D">
        <w:rPr>
          <w:rFonts w:cs="Arial"/>
          <w:lang w:val="fr-FR"/>
        </w:rPr>
        <w:t xml:space="preserve">à remplir son formulaire de directives médicales anticipées. </w:t>
      </w:r>
      <w:r w:rsidRPr="00061E4D">
        <w:rPr>
          <w:noProof/>
        </w:rPr>
        <w:t xml:space="preserve">Il serait aussi approprié de mener une réflexion sur l’ajout possible de choix de traitements dans ce formulaire. </w:t>
      </w:r>
      <w:r w:rsidR="006A216B" w:rsidRPr="00061E4D">
        <w:rPr>
          <w:rFonts w:cs="Arial"/>
          <w:lang w:val="fr-FR"/>
        </w:rPr>
        <w:t>Ces directives pourraient alors être suivi</w:t>
      </w:r>
      <w:r w:rsidR="00910170" w:rsidRPr="00061E4D">
        <w:rPr>
          <w:rFonts w:cs="Arial"/>
          <w:lang w:val="fr-FR"/>
        </w:rPr>
        <w:t>es</w:t>
      </w:r>
      <w:r w:rsidR="006A216B" w:rsidRPr="00061E4D">
        <w:rPr>
          <w:rFonts w:cs="Arial"/>
          <w:lang w:val="fr-FR"/>
        </w:rPr>
        <w:t xml:space="preserve"> en cas d’accident vasculaire cérébral, de traumatisme craniocérébral</w:t>
      </w:r>
      <w:r w:rsidR="00A570BA">
        <w:rPr>
          <w:rFonts w:cs="Arial"/>
          <w:lang w:val="fr-FR"/>
        </w:rPr>
        <w:t xml:space="preserve">, </w:t>
      </w:r>
      <w:r w:rsidR="006A216B" w:rsidRPr="00061E4D">
        <w:rPr>
          <w:rFonts w:cs="Arial"/>
          <w:lang w:val="fr-FR"/>
        </w:rPr>
        <w:t>de coma</w:t>
      </w:r>
      <w:r w:rsidR="00A570BA">
        <w:rPr>
          <w:rFonts w:cs="Arial"/>
          <w:lang w:val="fr-FR"/>
        </w:rPr>
        <w:t xml:space="preserve"> ou autres</w:t>
      </w:r>
      <w:r w:rsidR="008E0E8D" w:rsidRPr="00061E4D">
        <w:rPr>
          <w:rFonts w:cs="Arial"/>
          <w:lang w:val="fr-FR"/>
        </w:rPr>
        <w:t xml:space="preserve">. Dans ces situations, le </w:t>
      </w:r>
      <w:r w:rsidR="003B53D2" w:rsidRPr="00061E4D">
        <w:rPr>
          <w:rFonts w:cs="Arial"/>
          <w:lang w:val="fr-FR"/>
        </w:rPr>
        <w:t xml:space="preserve">refus </w:t>
      </w:r>
      <w:r w:rsidR="00E0741D">
        <w:rPr>
          <w:rFonts w:cs="Arial"/>
          <w:lang w:val="fr-FR"/>
        </w:rPr>
        <w:t xml:space="preserve">d’un traitement prévu dans les directives médicales anticipées </w:t>
      </w:r>
      <w:r w:rsidR="008E0E8D" w:rsidRPr="00061E4D">
        <w:rPr>
          <w:rFonts w:cs="Arial"/>
          <w:lang w:val="fr-FR"/>
        </w:rPr>
        <w:lastRenderedPageBreak/>
        <w:t>mènera</w:t>
      </w:r>
      <w:r w:rsidR="003B53D2" w:rsidRPr="00061E4D">
        <w:rPr>
          <w:rFonts w:cs="Arial"/>
          <w:lang w:val="fr-FR"/>
        </w:rPr>
        <w:t xml:space="preserve"> au décès</w:t>
      </w:r>
      <w:r w:rsidR="00910170" w:rsidRPr="00061E4D">
        <w:rPr>
          <w:rFonts w:cs="Arial"/>
          <w:lang w:val="fr-FR"/>
        </w:rPr>
        <w:t xml:space="preserve"> de la personne sans pour autant nécessiter un recours à l’aide médicale à mourir.</w:t>
      </w:r>
    </w:p>
    <w:p w14:paraId="086E888B" w14:textId="41072E4D" w:rsidR="009C2BC8" w:rsidRDefault="009C2BC8" w:rsidP="00BE14BD">
      <w:pPr>
        <w:spacing w:line="276" w:lineRule="auto"/>
        <w:jc w:val="both"/>
        <w:rPr>
          <w:rFonts w:cs="Arial"/>
          <w:lang w:val="fr-FR"/>
        </w:rPr>
      </w:pPr>
    </w:p>
    <w:p w14:paraId="478F63DB" w14:textId="69920B24" w:rsidR="006A216B" w:rsidRPr="00061E4D" w:rsidRDefault="006A216B" w:rsidP="00E95782">
      <w:pPr>
        <w:pStyle w:val="Titre2"/>
      </w:pPr>
      <w:bookmarkStart w:id="44" w:name="_Toc79671880"/>
      <w:r w:rsidRPr="00061E4D">
        <w:t xml:space="preserve">Recommandation </w:t>
      </w:r>
      <w:r w:rsidR="00383F72" w:rsidRPr="00061E4D">
        <w:t>1</w:t>
      </w:r>
      <w:r w:rsidR="00C2100F">
        <w:t>7</w:t>
      </w:r>
      <w:bookmarkEnd w:id="44"/>
    </w:p>
    <w:p w14:paraId="35EEB86F" w14:textId="6477681B" w:rsidR="00F55834" w:rsidRPr="00061E4D" w:rsidRDefault="006A216B" w:rsidP="00E0741D">
      <w:pPr>
        <w:pStyle w:val="Citation"/>
      </w:pPr>
      <w:r w:rsidRPr="00061E4D">
        <w:t xml:space="preserve">Ne pas </w:t>
      </w:r>
      <w:r w:rsidR="00201DDC" w:rsidRPr="00061E4D">
        <w:t xml:space="preserve">autoriser la demande </w:t>
      </w:r>
      <w:r w:rsidR="00201DDC" w:rsidRPr="00061E4D">
        <w:rPr>
          <w:b/>
          <w:bCs/>
        </w:rPr>
        <w:t>anticipée</w:t>
      </w:r>
      <w:r w:rsidR="00201DDC" w:rsidRPr="00061E4D">
        <w:t xml:space="preserve"> d’aide médicale à mourir en prévision d’un éventuel accident soudain et inattendu, tel qu’un accident vasculaire cérébral, un traumatisme craniocérébral ou un coma</w:t>
      </w:r>
      <w:r w:rsidR="007C281C">
        <w:t>,</w:t>
      </w:r>
      <w:r w:rsidR="00E0741D">
        <w:t xml:space="preserve"> mais plutôt promouvoir auprès de la population générale québécoise l’importance de remplir </w:t>
      </w:r>
      <w:r w:rsidR="00E0741D" w:rsidRPr="00E0741D">
        <w:t>son formulaire de directives médicales anticipées</w:t>
      </w:r>
      <w:r w:rsidR="00E0741D">
        <w:t>.</w:t>
      </w:r>
    </w:p>
    <w:p w14:paraId="7C74374C" w14:textId="1B983844" w:rsidR="00F109C2" w:rsidRDefault="00F109C2"/>
    <w:p w14:paraId="45835C51" w14:textId="5229C12A" w:rsidR="00B6594F" w:rsidRPr="00061E4D" w:rsidRDefault="00B6594F" w:rsidP="00061E4D">
      <w:pPr>
        <w:pStyle w:val="Titre"/>
        <w:pBdr>
          <w:bottom w:val="none" w:sz="0" w:space="0" w:color="auto"/>
        </w:pBdr>
        <w:outlineLvl w:val="0"/>
        <w:rPr>
          <w:b/>
          <w:sz w:val="36"/>
          <w:szCs w:val="36"/>
        </w:rPr>
      </w:pPr>
      <w:bookmarkStart w:id="45" w:name="_Toc79671881"/>
      <w:r w:rsidRPr="00061E4D">
        <w:rPr>
          <w:b/>
          <w:sz w:val="36"/>
          <w:szCs w:val="36"/>
        </w:rPr>
        <w:t>L’élargissement potentiel de l’aide médicale à mourir aux personnes dont le seul problème médical est un trouble mental</w:t>
      </w:r>
      <w:bookmarkEnd w:id="45"/>
    </w:p>
    <w:p w14:paraId="26E45548" w14:textId="17D3353F" w:rsidR="00B6594F" w:rsidRPr="00061E4D" w:rsidRDefault="00413680" w:rsidP="007F44CA">
      <w:pPr>
        <w:spacing w:line="276" w:lineRule="auto"/>
        <w:jc w:val="both"/>
        <w:rPr>
          <w:noProof/>
        </w:rPr>
      </w:pPr>
      <w:r w:rsidRPr="00061E4D">
        <w:rPr>
          <w:noProof/>
        </w:rPr>
        <w:t xml:space="preserve">Comme nous l’avons annoncé dans notre introduction, nous ne souhaitons pas nous prononcer sur cette question en raison des enjeux cruciaux qui l’entourent et du manque d’expertise à la COPHAN </w:t>
      </w:r>
      <w:r w:rsidR="00023505" w:rsidRPr="00061E4D">
        <w:rPr>
          <w:noProof/>
        </w:rPr>
        <w:t>sur ce sujet</w:t>
      </w:r>
      <w:r w:rsidRPr="00061E4D">
        <w:rPr>
          <w:noProof/>
        </w:rPr>
        <w:t>. Cependant, considérant justement la complexité de cette question, sur laquelle d’ailleurs, même les experts en santé mentale ne semblent pas s’entendre selon le document de consultation</w:t>
      </w:r>
      <w:r w:rsidRPr="00C2100F">
        <w:rPr>
          <w:noProof/>
        </w:rPr>
        <w:t>, nous reprenons la recommandation faite par l’Office des personnes handicapées</w:t>
      </w:r>
      <w:r w:rsidR="00023505" w:rsidRPr="00C2100F">
        <w:rPr>
          <w:noProof/>
        </w:rPr>
        <w:t xml:space="preserve"> du Québec</w:t>
      </w:r>
      <w:r w:rsidRPr="00C2100F">
        <w:rPr>
          <w:noProof/>
        </w:rPr>
        <w:t xml:space="preserve"> dans son mémoire</w:t>
      </w:r>
      <w:r w:rsidR="00C262A4" w:rsidRPr="007F44CA">
        <w:rPr>
          <w:rStyle w:val="Appelnotedebasdep"/>
          <w:rFonts w:cs="Arial"/>
          <w:color w:val="auto"/>
          <w:lang w:val="fr-FR" w:eastAsia="en-US"/>
        </w:rPr>
        <w:footnoteReference w:id="32"/>
      </w:r>
      <w:r w:rsidRPr="007F44CA">
        <w:rPr>
          <w:rStyle w:val="Appelnotedebasdep"/>
          <w:rFonts w:cs="Arial"/>
          <w:color w:val="auto"/>
          <w:lang w:val="fr-FR" w:eastAsia="en-US"/>
        </w:rPr>
        <w:t> </w:t>
      </w:r>
      <w:r w:rsidRPr="00C2100F">
        <w:rPr>
          <w:noProof/>
        </w:rPr>
        <w:t>:</w:t>
      </w:r>
    </w:p>
    <w:p w14:paraId="5BA6DED5" w14:textId="77777777" w:rsidR="00413680" w:rsidRPr="00061E4D" w:rsidRDefault="00413680"/>
    <w:p w14:paraId="01E8A815" w14:textId="6D4A6689" w:rsidR="00C262A4" w:rsidRPr="00061E4D" w:rsidRDefault="00C262A4" w:rsidP="007F44CA">
      <w:pPr>
        <w:spacing w:line="276" w:lineRule="auto"/>
        <w:jc w:val="both"/>
        <w:rPr>
          <w:noProof/>
        </w:rPr>
      </w:pPr>
      <w:r w:rsidRPr="00061E4D">
        <w:rPr>
          <w:noProof/>
        </w:rPr>
        <w:t>« Considérant ces points de vue divergents, il s’avère difficile de prendre une position éclairée pour l’une ou l’autre perspectives. Chaque camp amène des arguments qui demeurent difficiles à concilier.</w:t>
      </w:r>
    </w:p>
    <w:p w14:paraId="64B70640" w14:textId="77777777" w:rsidR="00C262A4" w:rsidRPr="00061E4D" w:rsidRDefault="00C262A4" w:rsidP="00F109C2"/>
    <w:p w14:paraId="7CE5DA9F" w14:textId="5E34DF5F" w:rsidR="00C262A4" w:rsidRPr="00806A4C" w:rsidRDefault="00C262A4" w:rsidP="00806A4C">
      <w:pPr>
        <w:pStyle w:val="Titre2"/>
      </w:pPr>
      <w:bookmarkStart w:id="46" w:name="_Toc79671882"/>
      <w:r w:rsidRPr="00061E4D">
        <w:t>Recommandation 1</w:t>
      </w:r>
      <w:r w:rsidR="00C2100F">
        <w:t>8</w:t>
      </w:r>
      <w:bookmarkEnd w:id="46"/>
    </w:p>
    <w:p w14:paraId="7CFDC727" w14:textId="263123A6" w:rsidR="00B6594F" w:rsidRPr="00061E4D" w:rsidRDefault="00C262A4" w:rsidP="00061E4D">
      <w:pPr>
        <w:pStyle w:val="Citation"/>
      </w:pPr>
      <w:r w:rsidRPr="00061E4D">
        <w:t>Nous recommandons que la Commission spéciale n’aille pas de l’avant avec la proposition d’élargir l’accès à l’</w:t>
      </w:r>
      <w:r w:rsidR="00023505" w:rsidRPr="00061E4D">
        <w:t>aide médicale à mourir</w:t>
      </w:r>
      <w:r w:rsidRPr="00061E4D">
        <w:t xml:space="preserve"> aux personnes ayant des troubles graves de santé mentale dont la seule condition particulière est ce trouble, et ce, tant qu’il n’y a pas une évidence scientifique reconnue appuyant celle-ci »</w:t>
      </w:r>
      <w:r w:rsidR="00776BCC">
        <w:t>.</w:t>
      </w:r>
    </w:p>
    <w:p w14:paraId="7635AEF8" w14:textId="77777777" w:rsidR="00C262A4" w:rsidRPr="00061E4D" w:rsidRDefault="00C262A4" w:rsidP="00F109C2"/>
    <w:p w14:paraId="0A7D9036" w14:textId="1E3A8876" w:rsidR="007E349E" w:rsidRPr="00061E4D" w:rsidRDefault="007E349E" w:rsidP="00237A22">
      <w:pPr>
        <w:pStyle w:val="Titre"/>
        <w:pBdr>
          <w:bottom w:val="none" w:sz="0" w:space="0" w:color="auto"/>
        </w:pBdr>
        <w:outlineLvl w:val="0"/>
        <w:rPr>
          <w:b/>
          <w:sz w:val="36"/>
          <w:szCs w:val="36"/>
        </w:rPr>
      </w:pPr>
      <w:bookmarkStart w:id="47" w:name="_Toc79671883"/>
      <w:r w:rsidRPr="00061E4D">
        <w:rPr>
          <w:b/>
          <w:sz w:val="36"/>
          <w:szCs w:val="36"/>
        </w:rPr>
        <w:t>Les directives médicales anticipées</w:t>
      </w:r>
      <w:bookmarkEnd w:id="30"/>
      <w:bookmarkEnd w:id="31"/>
      <w:bookmarkEnd w:id="47"/>
    </w:p>
    <w:p w14:paraId="0E121327" w14:textId="60A0DC02" w:rsidR="007E349E" w:rsidRPr="00061E4D" w:rsidRDefault="007E349E" w:rsidP="00BE14BD">
      <w:pPr>
        <w:spacing w:line="276" w:lineRule="auto"/>
        <w:jc w:val="both"/>
        <w:rPr>
          <w:rFonts w:cs="Arial"/>
          <w:lang w:val="fr-FR"/>
        </w:rPr>
      </w:pPr>
      <w:r w:rsidRPr="00061E4D">
        <w:rPr>
          <w:rFonts w:cs="Arial"/>
          <w:lang w:val="fr-FR"/>
        </w:rPr>
        <w:t xml:space="preserve">Les </w:t>
      </w:r>
      <w:bookmarkStart w:id="48" w:name="_Hlk79417140"/>
      <w:r w:rsidRPr="00061E4D">
        <w:rPr>
          <w:rFonts w:cs="Arial"/>
          <w:lang w:val="fr-FR"/>
        </w:rPr>
        <w:t xml:space="preserve">directives médicales anticipées </w:t>
      </w:r>
      <w:bookmarkEnd w:id="48"/>
      <w:r w:rsidR="00F76BE2" w:rsidRPr="00061E4D">
        <w:rPr>
          <w:rFonts w:cs="Arial"/>
          <w:lang w:val="fr-FR"/>
        </w:rPr>
        <w:t>sont exécutoires. Comme la COPHAN souhaite que les personnes qui deviennent inapte</w:t>
      </w:r>
      <w:r w:rsidR="00F109C2" w:rsidRPr="00061E4D">
        <w:rPr>
          <w:rFonts w:cs="Arial"/>
          <w:lang w:val="fr-FR"/>
        </w:rPr>
        <w:t>s</w:t>
      </w:r>
      <w:r w:rsidR="00F76BE2" w:rsidRPr="00061E4D">
        <w:rPr>
          <w:rFonts w:cs="Arial"/>
          <w:lang w:val="fr-FR"/>
        </w:rPr>
        <w:t xml:space="preserve"> après un accident ou un problème de santé soudain ne puissent pas avoir accès à l’aide médicale à </w:t>
      </w:r>
      <w:r w:rsidR="00F76BE2" w:rsidRPr="000E39A3">
        <w:rPr>
          <w:rFonts w:cs="Arial"/>
          <w:lang w:val="fr-FR"/>
        </w:rPr>
        <w:t>mourir</w:t>
      </w:r>
      <w:r w:rsidR="002E6F5F" w:rsidRPr="000E39A3">
        <w:rPr>
          <w:rFonts w:cs="Arial"/>
          <w:lang w:val="fr-FR"/>
        </w:rPr>
        <w:t xml:space="preserve"> par anticipation</w:t>
      </w:r>
      <w:r w:rsidR="00F76BE2" w:rsidRPr="000E39A3">
        <w:rPr>
          <w:rFonts w:cs="Arial"/>
          <w:lang w:val="fr-FR"/>
        </w:rPr>
        <w:t xml:space="preserve">, ce soin de fin de </w:t>
      </w:r>
      <w:r w:rsidR="00F76BE2" w:rsidRPr="000E39A3">
        <w:rPr>
          <w:rFonts w:cs="Arial"/>
          <w:lang w:val="fr-FR"/>
        </w:rPr>
        <w:lastRenderedPageBreak/>
        <w:t xml:space="preserve">vie ne devrait pas être ajouté dans la liste des soins du formulaire de </w:t>
      </w:r>
      <w:r w:rsidR="0091045E" w:rsidRPr="000E39A3">
        <w:rPr>
          <w:rFonts w:cs="Arial"/>
          <w:lang w:val="fr-FR"/>
        </w:rPr>
        <w:t>directives</w:t>
      </w:r>
      <w:r w:rsidR="0091045E" w:rsidRPr="0091045E">
        <w:rPr>
          <w:rFonts w:cs="Arial"/>
          <w:lang w:val="fr-FR"/>
        </w:rPr>
        <w:t xml:space="preserve"> médicales anticipées</w:t>
      </w:r>
      <w:r w:rsidR="00F76BE2" w:rsidRPr="00061E4D">
        <w:rPr>
          <w:rFonts w:cs="Arial"/>
          <w:lang w:val="fr-FR"/>
        </w:rPr>
        <w:t>.</w:t>
      </w:r>
    </w:p>
    <w:p w14:paraId="50E6FA89" w14:textId="5A4C8BA1" w:rsidR="00061E4D" w:rsidRDefault="00061E4D" w:rsidP="00237A22">
      <w:pPr>
        <w:autoSpaceDE w:val="0"/>
        <w:autoSpaceDN w:val="0"/>
        <w:adjustRightInd w:val="0"/>
        <w:spacing w:after="60"/>
        <w:rPr>
          <w:b/>
          <w:bCs/>
        </w:rPr>
      </w:pPr>
    </w:p>
    <w:p w14:paraId="5AAA5DCA" w14:textId="77777777" w:rsidR="005117F5" w:rsidRPr="00B27475" w:rsidRDefault="005117F5" w:rsidP="005117F5">
      <w:pPr>
        <w:spacing w:line="276" w:lineRule="auto"/>
        <w:jc w:val="both"/>
        <w:rPr>
          <w:rFonts w:cs="Arial"/>
          <w:lang w:val="fr-FR"/>
        </w:rPr>
      </w:pPr>
      <w:r w:rsidRPr="00B27475">
        <w:rPr>
          <w:rFonts w:cs="Arial"/>
          <w:lang w:val="fr-FR"/>
        </w:rPr>
        <w:t>Afin de donner davantage d’options aux personnes dans les choix de traitements qu’elles souhaitent, ou non, recevoir, il serait pertinent d’entamer une réflexion afin d’allonger la liste des traitements inscrits dans le formulaire de directives médicales anticipées.</w:t>
      </w:r>
    </w:p>
    <w:p w14:paraId="4595950D" w14:textId="77777777" w:rsidR="00C2100F" w:rsidRPr="00B27475" w:rsidRDefault="00C2100F" w:rsidP="00237A22">
      <w:pPr>
        <w:autoSpaceDE w:val="0"/>
        <w:autoSpaceDN w:val="0"/>
        <w:adjustRightInd w:val="0"/>
        <w:spacing w:after="60"/>
        <w:rPr>
          <w:b/>
          <w:bCs/>
        </w:rPr>
      </w:pPr>
    </w:p>
    <w:p w14:paraId="797D266B" w14:textId="5C246ECE" w:rsidR="00061E4D" w:rsidRPr="00B27475" w:rsidRDefault="00061E4D" w:rsidP="00806A4C">
      <w:pPr>
        <w:pStyle w:val="Titre2"/>
      </w:pPr>
      <w:bookmarkStart w:id="49" w:name="_Toc79671884"/>
      <w:r w:rsidRPr="00B27475">
        <w:t xml:space="preserve">Recommandation </w:t>
      </w:r>
      <w:r w:rsidR="00806A4C" w:rsidRPr="00B27475">
        <w:t>1</w:t>
      </w:r>
      <w:r w:rsidR="00C2100F" w:rsidRPr="00B27475">
        <w:t>9</w:t>
      </w:r>
      <w:bookmarkEnd w:id="49"/>
    </w:p>
    <w:p w14:paraId="58E14D93" w14:textId="54DD0418" w:rsidR="007E349E" w:rsidRPr="00B27475" w:rsidRDefault="00F76BE2" w:rsidP="00A7285A">
      <w:pPr>
        <w:pStyle w:val="Citation"/>
      </w:pPr>
      <w:r w:rsidRPr="00B27475">
        <w:t>Ne pas inclure l’aide médicale à mourir dans le formulaire de directives médicales anticipées.</w:t>
      </w:r>
    </w:p>
    <w:p w14:paraId="71C9D824" w14:textId="3E214E17" w:rsidR="005117F5" w:rsidRPr="005117F5" w:rsidRDefault="005117F5" w:rsidP="005117F5">
      <w:pPr>
        <w:pStyle w:val="Citation"/>
      </w:pPr>
      <w:r w:rsidRPr="00B27475">
        <w:t>Engager une réflexion sur l’ajout possible d</w:t>
      </w:r>
      <w:r w:rsidR="00A37A96" w:rsidRPr="00B27475">
        <w:t>’autres</w:t>
      </w:r>
      <w:r w:rsidRPr="00B27475">
        <w:t xml:space="preserve"> traitements dans la liste de ceux proposés dans le formulaire de directives médicales anticipées.</w:t>
      </w:r>
    </w:p>
    <w:p w14:paraId="44E2F267" w14:textId="7F921E3F" w:rsidR="00B27475" w:rsidRDefault="00B27475">
      <w:pPr>
        <w:rPr>
          <w:rFonts w:cs="Arial"/>
        </w:rPr>
      </w:pPr>
      <w:r>
        <w:rPr>
          <w:rFonts w:cs="Arial"/>
        </w:rPr>
        <w:br w:type="page"/>
      </w:r>
    </w:p>
    <w:p w14:paraId="09497146" w14:textId="4EEF7E6B" w:rsidR="007E349E" w:rsidRPr="00061E4D" w:rsidRDefault="007E349E" w:rsidP="00237A22">
      <w:pPr>
        <w:pStyle w:val="Titre"/>
        <w:pBdr>
          <w:bottom w:val="none" w:sz="0" w:space="0" w:color="auto"/>
        </w:pBdr>
        <w:outlineLvl w:val="0"/>
        <w:rPr>
          <w:b/>
          <w:color w:val="auto"/>
          <w:sz w:val="36"/>
          <w:szCs w:val="36"/>
        </w:rPr>
      </w:pPr>
      <w:bookmarkStart w:id="50" w:name="_Toc367793292"/>
      <w:bookmarkStart w:id="51" w:name="_Toc367800671"/>
      <w:bookmarkStart w:id="52" w:name="_Toc79671885"/>
      <w:r w:rsidRPr="00061E4D">
        <w:rPr>
          <w:b/>
          <w:color w:val="auto"/>
          <w:sz w:val="36"/>
          <w:szCs w:val="36"/>
        </w:rPr>
        <w:lastRenderedPageBreak/>
        <w:t>Conclusion</w:t>
      </w:r>
      <w:bookmarkEnd w:id="50"/>
      <w:bookmarkEnd w:id="51"/>
      <w:bookmarkEnd w:id="52"/>
    </w:p>
    <w:p w14:paraId="618B52CF" w14:textId="22F17981" w:rsidR="007E349E" w:rsidRPr="00061E4D" w:rsidRDefault="007E349E" w:rsidP="00BE14BD">
      <w:pPr>
        <w:spacing w:line="276" w:lineRule="auto"/>
        <w:jc w:val="both"/>
        <w:rPr>
          <w:rFonts w:cs="Arial"/>
          <w:lang w:val="fr-FR"/>
        </w:rPr>
      </w:pPr>
      <w:r w:rsidRPr="00061E4D">
        <w:rPr>
          <w:rFonts w:cs="Arial"/>
          <w:lang w:val="fr-FR"/>
        </w:rPr>
        <w:t xml:space="preserve">La COPHAN soutient le gouvernement dans cette démarche concernant </w:t>
      </w:r>
      <w:r w:rsidR="00AE09BE" w:rsidRPr="00061E4D">
        <w:rPr>
          <w:rFonts w:cs="Arial"/>
          <w:lang w:val="fr-FR"/>
        </w:rPr>
        <w:t xml:space="preserve">l’évolution de la Loi sur </w:t>
      </w:r>
      <w:r w:rsidRPr="00061E4D">
        <w:rPr>
          <w:rFonts w:cs="Arial"/>
          <w:lang w:val="fr-FR"/>
        </w:rPr>
        <w:t>les soins de fin de vie</w:t>
      </w:r>
      <w:r w:rsidR="00CB25CC" w:rsidRPr="00061E4D">
        <w:rPr>
          <w:rFonts w:cs="Arial"/>
          <w:lang w:val="fr-FR"/>
        </w:rPr>
        <w:t>. Elle est en faveur de l’élargissement de l’accès à l’aide médicale à mourir pour les personnes qui ont toujours été inaptes, à la possibilité de demande anticipée pour les personnes qui ont reçu un diagnostic clair de maladie ayant à terme des conséquences cogniti</w:t>
      </w:r>
      <w:r w:rsidR="006B46C5" w:rsidRPr="00061E4D">
        <w:rPr>
          <w:rFonts w:cs="Arial"/>
          <w:lang w:val="fr-FR"/>
        </w:rPr>
        <w:t>ve</w:t>
      </w:r>
      <w:r w:rsidR="00CB25CC" w:rsidRPr="00061E4D">
        <w:rPr>
          <w:rFonts w:cs="Arial"/>
          <w:lang w:val="fr-FR"/>
        </w:rPr>
        <w:t>s rendant impossible le consentement à l’aide médicale à mourir</w:t>
      </w:r>
      <w:r w:rsidR="000133D8">
        <w:rPr>
          <w:rFonts w:cs="Arial"/>
          <w:lang w:val="fr-FR"/>
        </w:rPr>
        <w:t>,</w:t>
      </w:r>
      <w:r w:rsidR="00CB25CC" w:rsidRPr="00061E4D">
        <w:rPr>
          <w:rFonts w:cs="Arial"/>
          <w:lang w:val="fr-FR"/>
        </w:rPr>
        <w:t xml:space="preserve"> mais </w:t>
      </w:r>
      <w:r w:rsidRPr="00061E4D">
        <w:rPr>
          <w:rFonts w:cs="Arial"/>
          <w:lang w:val="fr-FR"/>
        </w:rPr>
        <w:t>demande la prise en compte de ses commentaires et recommandations</w:t>
      </w:r>
      <w:r w:rsidR="00AE09BE" w:rsidRPr="00061E4D">
        <w:rPr>
          <w:rFonts w:cs="Arial"/>
          <w:lang w:val="fr-FR"/>
        </w:rPr>
        <w:t xml:space="preserve"> avant d’élargir l’accès à l’aide médicale à mourir</w:t>
      </w:r>
      <w:r w:rsidRPr="00061E4D">
        <w:rPr>
          <w:rFonts w:cs="Arial"/>
          <w:lang w:val="fr-FR"/>
        </w:rPr>
        <w:t>.</w:t>
      </w:r>
      <w:r w:rsidR="00CB25CC" w:rsidRPr="00061E4D">
        <w:rPr>
          <w:rFonts w:cs="Arial"/>
          <w:lang w:val="fr-FR"/>
        </w:rPr>
        <w:t xml:space="preserve"> De plus, la COPHAN </w:t>
      </w:r>
      <w:r w:rsidR="00CB25CC" w:rsidRPr="00C2100F">
        <w:rPr>
          <w:rFonts w:cs="Arial"/>
          <w:lang w:val="fr-FR"/>
        </w:rPr>
        <w:t xml:space="preserve">s’oppose à </w:t>
      </w:r>
      <w:r w:rsidR="00F864C3" w:rsidRPr="00C2100F">
        <w:rPr>
          <w:rFonts w:cs="Arial"/>
          <w:lang w:val="fr-FR"/>
        </w:rPr>
        <w:t>la demande anticipée d’</w:t>
      </w:r>
      <w:r w:rsidR="00CB25CC" w:rsidRPr="00C2100F">
        <w:rPr>
          <w:rFonts w:cs="Arial"/>
          <w:lang w:val="fr-FR"/>
        </w:rPr>
        <w:t>aide médicale à mourir pour les personnes rendu</w:t>
      </w:r>
      <w:r w:rsidR="00764AFE" w:rsidRPr="00C2100F">
        <w:rPr>
          <w:rFonts w:cs="Arial"/>
          <w:lang w:val="fr-FR"/>
        </w:rPr>
        <w:t>e</w:t>
      </w:r>
      <w:r w:rsidR="00CB25CC" w:rsidRPr="00C2100F">
        <w:rPr>
          <w:rFonts w:cs="Arial"/>
          <w:lang w:val="fr-FR"/>
        </w:rPr>
        <w:t>s</w:t>
      </w:r>
      <w:r w:rsidR="00CB25CC" w:rsidRPr="00061E4D">
        <w:rPr>
          <w:rFonts w:cs="Arial"/>
          <w:lang w:val="fr-FR"/>
        </w:rPr>
        <w:t xml:space="preserve"> inaptes </w:t>
      </w:r>
      <w:r w:rsidR="006B46C5" w:rsidRPr="00061E4D">
        <w:rPr>
          <w:rFonts w:cs="Arial"/>
          <w:lang w:val="fr-FR"/>
        </w:rPr>
        <w:t xml:space="preserve">à consentir </w:t>
      </w:r>
      <w:r w:rsidR="00CB25CC" w:rsidRPr="00061E4D">
        <w:rPr>
          <w:rFonts w:cs="Arial"/>
          <w:lang w:val="fr-FR"/>
        </w:rPr>
        <w:t>à la suite d’un accident</w:t>
      </w:r>
      <w:r w:rsidR="00764AFE" w:rsidRPr="00061E4D">
        <w:rPr>
          <w:rFonts w:cs="Arial"/>
          <w:lang w:val="fr-FR"/>
        </w:rPr>
        <w:t xml:space="preserve"> vasculaire</w:t>
      </w:r>
      <w:r w:rsidR="006368BA" w:rsidRPr="00061E4D">
        <w:rPr>
          <w:rFonts w:cs="Arial"/>
          <w:lang w:val="fr-FR"/>
        </w:rPr>
        <w:t xml:space="preserve"> cérébral</w:t>
      </w:r>
      <w:r w:rsidR="00764AFE" w:rsidRPr="00061E4D">
        <w:rPr>
          <w:rFonts w:cs="Arial"/>
          <w:lang w:val="fr-FR"/>
        </w:rPr>
        <w:t>, un traumatisme crânien ou un coma.</w:t>
      </w:r>
      <w:r w:rsidR="006368BA" w:rsidRPr="00061E4D">
        <w:rPr>
          <w:rFonts w:cs="Arial"/>
          <w:lang w:val="fr-FR"/>
        </w:rPr>
        <w:t xml:space="preserve"> Nous recommandons également que l’aide médicale à mourir ne soit pas ajoutée dans la liste des soins du formulaire de directives médicales anticipées.</w:t>
      </w:r>
      <w:r w:rsidR="008E1935" w:rsidRPr="00061E4D">
        <w:rPr>
          <w:rFonts w:cs="Arial"/>
          <w:lang w:val="fr-FR"/>
        </w:rPr>
        <w:t xml:space="preserve"> Nous nous opposons également au consentement pour autrui, en exigeant que des balises et des outils soient prévus pour assurer aux personnes inaptes les conditions d’un consentement libre et éclairé.</w:t>
      </w:r>
    </w:p>
    <w:p w14:paraId="38F4BADF" w14:textId="41B3FB46" w:rsidR="007E349E" w:rsidRDefault="007E349E" w:rsidP="00BE14BD">
      <w:pPr>
        <w:spacing w:line="276" w:lineRule="auto"/>
        <w:jc w:val="both"/>
        <w:rPr>
          <w:rFonts w:cs="Arial"/>
          <w:lang w:val="fr-FR"/>
        </w:rPr>
      </w:pPr>
    </w:p>
    <w:p w14:paraId="4F5B336D" w14:textId="0E31F5A8" w:rsidR="00C274E7" w:rsidRDefault="00C274E7" w:rsidP="00C274E7">
      <w:pPr>
        <w:spacing w:line="276" w:lineRule="auto"/>
        <w:jc w:val="both"/>
        <w:rPr>
          <w:rFonts w:cs="Arial"/>
          <w:lang w:val="fr-FR"/>
        </w:rPr>
      </w:pPr>
      <w:r w:rsidRPr="00061E4D">
        <w:rPr>
          <w:rFonts w:cs="Arial"/>
          <w:lang w:val="fr-FR"/>
        </w:rPr>
        <w:t xml:space="preserve">L’élargissement éventuel de la Loi concernant les soins de fin de vie crée une complexité pour s’assurer du consentement libre et éclairé quant aux responsabilités à partager entre un grand nombre d’acteurs : ministre, CISSS et CIUSSS, établissements, maisons de soins palliatifs, professionnels de la santé ou des services sociaux, Conseil des médecins, dentistes et pharmaciens, médecin qui fournit une sédation palliative terminale ou l’aide médicale à mourir, Commission sur les soins de fin de vie, etc. </w:t>
      </w:r>
    </w:p>
    <w:p w14:paraId="78D0ABF2" w14:textId="77777777" w:rsidR="00C274E7" w:rsidRPr="00061E4D" w:rsidRDefault="00C274E7" w:rsidP="00C274E7">
      <w:pPr>
        <w:spacing w:line="276" w:lineRule="auto"/>
        <w:jc w:val="both"/>
        <w:rPr>
          <w:rFonts w:eastAsia="MS Mincho" w:cs="Arial"/>
        </w:rPr>
      </w:pPr>
    </w:p>
    <w:p w14:paraId="78614A76" w14:textId="0485A260" w:rsidR="00C274E7" w:rsidRDefault="00C274E7" w:rsidP="00C274E7">
      <w:pPr>
        <w:spacing w:line="276" w:lineRule="auto"/>
        <w:jc w:val="both"/>
        <w:rPr>
          <w:rFonts w:cs="Arial"/>
          <w:lang w:val="fr-FR"/>
        </w:rPr>
      </w:pPr>
      <w:r w:rsidRPr="00061E4D">
        <w:rPr>
          <w:rFonts w:cs="Arial"/>
          <w:lang w:val="fr-FR"/>
        </w:rPr>
        <w:t xml:space="preserve">La loi devrait préciser quels seront les nouveaux acteurs concernés par l’élargissement éventuel de l’accès à l’aide médicale à mourir et leurs responsabilités. Le ministère de la Santé et des Services sociaux devra aussi planifier et organiser les services de fin de vie et créer des ententes en se conformant </w:t>
      </w:r>
      <w:r w:rsidR="008E6310">
        <w:rPr>
          <w:rFonts w:cs="Arial"/>
          <w:lang w:val="fr-FR"/>
        </w:rPr>
        <w:t>aux modifications de la</w:t>
      </w:r>
      <w:r w:rsidRPr="00061E4D">
        <w:rPr>
          <w:rFonts w:cs="Arial"/>
          <w:lang w:val="fr-FR"/>
        </w:rPr>
        <w:t xml:space="preserve"> Loi et en respectant son plan de développement.</w:t>
      </w:r>
    </w:p>
    <w:p w14:paraId="6F9E0251" w14:textId="77777777" w:rsidR="008E6310" w:rsidRPr="00061E4D" w:rsidRDefault="008E6310" w:rsidP="00C274E7">
      <w:pPr>
        <w:spacing w:line="276" w:lineRule="auto"/>
        <w:jc w:val="both"/>
        <w:rPr>
          <w:rFonts w:cs="Arial"/>
          <w:lang w:val="fr-FR"/>
        </w:rPr>
      </w:pPr>
    </w:p>
    <w:p w14:paraId="46A1DA99" w14:textId="16803B65" w:rsidR="00C2100F" w:rsidRDefault="00C274E7" w:rsidP="00C274E7">
      <w:pPr>
        <w:spacing w:line="276" w:lineRule="auto"/>
        <w:jc w:val="both"/>
        <w:rPr>
          <w:rFonts w:cs="Arial"/>
          <w:lang w:val="fr-FR"/>
        </w:rPr>
      </w:pPr>
      <w:r w:rsidRPr="00061E4D">
        <w:rPr>
          <w:rFonts w:cs="Arial"/>
          <w:lang w:val="fr-FR"/>
        </w:rPr>
        <w:t>La politique, les codes d’éthique et les programmes cliniques portant sur les soins de fin de vie devront également être mis à jour dans le cas d’un élargissement de la Loi.</w:t>
      </w:r>
    </w:p>
    <w:p w14:paraId="50735E7E" w14:textId="77777777" w:rsidR="00A37A96" w:rsidRPr="00061E4D" w:rsidRDefault="00A37A96" w:rsidP="00C274E7">
      <w:pPr>
        <w:spacing w:line="276" w:lineRule="auto"/>
        <w:jc w:val="both"/>
        <w:rPr>
          <w:rFonts w:cs="Arial"/>
          <w:lang w:val="fr-FR"/>
        </w:rPr>
      </w:pPr>
    </w:p>
    <w:p w14:paraId="49A18E16" w14:textId="50912167" w:rsidR="00C274E7" w:rsidRPr="00061E4D" w:rsidRDefault="00C274E7" w:rsidP="00C274E7">
      <w:pPr>
        <w:spacing w:line="276" w:lineRule="auto"/>
        <w:jc w:val="both"/>
        <w:rPr>
          <w:rFonts w:cs="Arial"/>
          <w:lang w:val="fr-FR"/>
        </w:rPr>
      </w:pPr>
      <w:r w:rsidRPr="00061E4D">
        <w:rPr>
          <w:rFonts w:cs="Arial"/>
          <w:lang w:val="fr-FR"/>
        </w:rPr>
        <w:t>Les outils pour garantir le consentement libre et éclair</w:t>
      </w:r>
      <w:r w:rsidR="00897070">
        <w:rPr>
          <w:rFonts w:cs="Arial"/>
          <w:lang w:val="fr-FR"/>
        </w:rPr>
        <w:t>é</w:t>
      </w:r>
      <w:r w:rsidRPr="00061E4D">
        <w:rPr>
          <w:rFonts w:cs="Arial"/>
          <w:lang w:val="fr-FR"/>
        </w:rPr>
        <w:t xml:space="preserve"> des personnes qui demanderont l’aide médicale à mourir dans le cadre </w:t>
      </w:r>
      <w:r w:rsidR="00897070">
        <w:rPr>
          <w:rFonts w:cs="Arial"/>
          <w:lang w:val="fr-FR"/>
        </w:rPr>
        <w:t>des modifications apportées à la</w:t>
      </w:r>
      <w:r w:rsidRPr="00061E4D">
        <w:rPr>
          <w:rFonts w:cs="Arial"/>
          <w:lang w:val="fr-FR"/>
        </w:rPr>
        <w:t xml:space="preserve"> </w:t>
      </w:r>
      <w:r w:rsidR="00897070">
        <w:rPr>
          <w:rFonts w:cs="Arial"/>
          <w:lang w:val="fr-FR"/>
        </w:rPr>
        <w:t>L</w:t>
      </w:r>
      <w:r w:rsidRPr="00061E4D">
        <w:rPr>
          <w:rFonts w:cs="Arial"/>
          <w:lang w:val="fr-FR"/>
        </w:rPr>
        <w:t>oi ainsi que les balises encadrant l’accès à l’aide médicale à mourir selon les nouveaux critères devront être développés avant l’entrée en vigueur de la mise à jour de la Loi.</w:t>
      </w:r>
    </w:p>
    <w:p w14:paraId="55D4C293" w14:textId="77777777" w:rsidR="00C274E7" w:rsidRPr="00061E4D" w:rsidRDefault="00C274E7" w:rsidP="00C274E7">
      <w:pPr>
        <w:spacing w:line="276" w:lineRule="auto"/>
        <w:jc w:val="both"/>
        <w:rPr>
          <w:rFonts w:cs="Arial"/>
          <w:lang w:val="fr-FR"/>
        </w:rPr>
      </w:pPr>
    </w:p>
    <w:p w14:paraId="5E396069" w14:textId="77777777" w:rsidR="00C274E7" w:rsidRDefault="00C274E7" w:rsidP="00C274E7">
      <w:pPr>
        <w:spacing w:line="276" w:lineRule="auto"/>
        <w:jc w:val="both"/>
        <w:rPr>
          <w:rFonts w:cs="Arial"/>
          <w:lang w:val="fr-FR"/>
        </w:rPr>
      </w:pPr>
      <w:r w:rsidRPr="00061E4D">
        <w:rPr>
          <w:rFonts w:cs="Arial"/>
          <w:lang w:val="fr-FR"/>
        </w:rPr>
        <w:lastRenderedPageBreak/>
        <w:t>Les organismes d’action communautaire autonome concernés, dont la COPHAN, doivent pouvoir participer à toutes les étapes de la mise en œuvre de l’élargissement de la Loi et à son éventuelle évaluation.</w:t>
      </w:r>
    </w:p>
    <w:p w14:paraId="30BB83CC" w14:textId="44C56C42" w:rsidR="00C274E7" w:rsidRDefault="00C274E7" w:rsidP="00BE14BD">
      <w:pPr>
        <w:spacing w:line="276" w:lineRule="auto"/>
        <w:jc w:val="both"/>
        <w:rPr>
          <w:rFonts w:cs="Arial"/>
          <w:lang w:val="fr-FR"/>
        </w:rPr>
      </w:pPr>
    </w:p>
    <w:p w14:paraId="20E90152" w14:textId="05B6442C" w:rsidR="00C274E7" w:rsidRPr="00061E4D" w:rsidRDefault="00C274E7" w:rsidP="00C274E7">
      <w:pPr>
        <w:spacing w:line="276" w:lineRule="auto"/>
        <w:jc w:val="both"/>
        <w:rPr>
          <w:rFonts w:cs="Arial"/>
          <w:lang w:val="fr-FR"/>
        </w:rPr>
      </w:pPr>
      <w:r w:rsidRPr="00061E4D">
        <w:rPr>
          <w:rFonts w:cs="Arial"/>
          <w:lang w:val="fr-FR"/>
        </w:rPr>
        <w:t xml:space="preserve">Le respect de la volonté des personnes et la mise en place de mécanismes rigoureux de vérification de cette volonté sont incontournables. Rappelons que </w:t>
      </w:r>
      <w:r w:rsidRPr="00061E4D">
        <w:rPr>
          <w:noProof/>
        </w:rPr>
        <w:t>les personnes en situation de handicap vivent plusieurs inégalités sociales et que « ces conditions socioéconomiques défavorables ont une incidence certaine sur la santé physique et mentale des personnes ayant des limitations »</w:t>
      </w:r>
      <w:r w:rsidR="009C615F">
        <w:rPr>
          <w:noProof/>
        </w:rPr>
        <w:t>.</w:t>
      </w:r>
      <w:r w:rsidRPr="00061E4D">
        <w:rPr>
          <w:rStyle w:val="Appelnotedebasdep"/>
          <w:noProof/>
        </w:rPr>
        <w:footnoteReference w:id="33"/>
      </w:r>
      <w:r w:rsidRPr="00061E4D">
        <w:rPr>
          <w:noProof/>
        </w:rPr>
        <w:t xml:space="preserve"> Ces personnes ont également un accès inéquitable au système de santé</w:t>
      </w:r>
      <w:r w:rsidRPr="00061E4D">
        <w:rPr>
          <w:rFonts w:cs="Arial"/>
          <w:lang w:val="fr-FR"/>
        </w:rPr>
        <w:t>.</w:t>
      </w:r>
    </w:p>
    <w:p w14:paraId="64D6ECDA" w14:textId="52E05561" w:rsidR="00C274E7" w:rsidRDefault="00C274E7" w:rsidP="00BE14BD">
      <w:pPr>
        <w:spacing w:line="276" w:lineRule="auto"/>
        <w:jc w:val="both"/>
        <w:rPr>
          <w:rFonts w:cs="Arial"/>
          <w:lang w:val="fr-FR"/>
        </w:rPr>
      </w:pPr>
    </w:p>
    <w:p w14:paraId="6E2DC863" w14:textId="72E7580A" w:rsidR="00266C1C" w:rsidRDefault="004E5DD1" w:rsidP="00BE14BD">
      <w:pPr>
        <w:spacing w:line="276" w:lineRule="auto"/>
        <w:jc w:val="both"/>
        <w:rPr>
          <w:rFonts w:cs="Arial"/>
          <w:lang w:val="fr-FR"/>
        </w:rPr>
      </w:pPr>
      <w:r w:rsidRPr="00C27002">
        <w:rPr>
          <w:rFonts w:cs="Arial"/>
          <w:lang w:val="fr-FR"/>
        </w:rPr>
        <w:t>N</w:t>
      </w:r>
      <w:r w:rsidR="007E349E" w:rsidRPr="00C27002">
        <w:rPr>
          <w:rFonts w:cs="Arial"/>
          <w:lang w:val="fr-FR"/>
        </w:rPr>
        <w:t xml:space="preserve">ous restons grandement préoccupés par les conditions de vie imposées </w:t>
      </w:r>
      <w:r w:rsidRPr="00C27002">
        <w:rPr>
          <w:rFonts w:cs="Arial"/>
          <w:lang w:val="fr-FR"/>
        </w:rPr>
        <w:t>aux</w:t>
      </w:r>
      <w:r w:rsidR="007E349E" w:rsidRPr="00C27002">
        <w:rPr>
          <w:rFonts w:cs="Arial"/>
          <w:lang w:val="fr-FR"/>
        </w:rPr>
        <w:t xml:space="preserve"> personnes </w:t>
      </w:r>
      <w:r w:rsidR="00142B28" w:rsidRPr="00C27002">
        <w:rPr>
          <w:noProof/>
          <w:color w:val="auto"/>
        </w:rPr>
        <w:t>en situation de handicap</w:t>
      </w:r>
      <w:r w:rsidR="00142B28" w:rsidRPr="00C27002" w:rsidDel="00142B28">
        <w:rPr>
          <w:rFonts w:cs="Arial"/>
          <w:lang w:val="fr-FR"/>
        </w:rPr>
        <w:t xml:space="preserve"> </w:t>
      </w:r>
      <w:r w:rsidR="007E349E" w:rsidRPr="00C27002">
        <w:rPr>
          <w:rFonts w:cs="Arial"/>
          <w:lang w:val="fr-FR"/>
        </w:rPr>
        <w:t>trè</w:t>
      </w:r>
      <w:r w:rsidR="00700858" w:rsidRPr="00C27002">
        <w:rPr>
          <w:rFonts w:cs="Arial"/>
          <w:lang w:val="fr-FR"/>
        </w:rPr>
        <w:t>s</w:t>
      </w:r>
      <w:r w:rsidR="007E349E" w:rsidRPr="00C27002">
        <w:rPr>
          <w:rFonts w:cs="Arial"/>
          <w:lang w:val="fr-FR"/>
        </w:rPr>
        <w:t xml:space="preserve"> importante</w:t>
      </w:r>
      <w:r w:rsidR="007E349E" w:rsidRPr="00061E4D">
        <w:rPr>
          <w:rFonts w:cs="Arial"/>
          <w:lang w:val="fr-FR"/>
        </w:rPr>
        <w:t xml:space="preserve"> et qui sont physiquement dépendantes. Elles croupissent dans des conditions souvent scandaleuses et la société québécoise doit prendre conscience que ce genre de situations </w:t>
      </w:r>
      <w:r w:rsidR="00700858" w:rsidRPr="00061E4D">
        <w:rPr>
          <w:rFonts w:cs="Arial"/>
          <w:lang w:val="fr-FR"/>
        </w:rPr>
        <w:t>porte</w:t>
      </w:r>
      <w:r w:rsidR="007E349E" w:rsidRPr="00061E4D">
        <w:rPr>
          <w:rFonts w:cs="Arial"/>
          <w:lang w:val="fr-FR"/>
        </w:rPr>
        <w:t xml:space="preserve"> atteinte à leur dignité. Des changements s’imposent et ce parallèle entre un</w:t>
      </w:r>
      <w:r w:rsidR="00BD1189" w:rsidRPr="00061E4D">
        <w:rPr>
          <w:rFonts w:cs="Arial"/>
          <w:lang w:val="fr-FR"/>
        </w:rPr>
        <w:t xml:space="preserve">e vie digne </w:t>
      </w:r>
      <w:r w:rsidR="007E349E" w:rsidRPr="00061E4D">
        <w:rPr>
          <w:rFonts w:cs="Arial"/>
          <w:lang w:val="fr-FR"/>
        </w:rPr>
        <w:t>et une fin de vie digne devrait inciter les décideurs, tout autant que la population, à prendre résolument tous les moyens de redonner à ces personnes une vie digne, dans le respect de la globalité de leur personne.</w:t>
      </w:r>
    </w:p>
    <w:p w14:paraId="6CCF20C5" w14:textId="61291F2C" w:rsidR="00C274E7" w:rsidRDefault="00C274E7" w:rsidP="00BE14BD">
      <w:pPr>
        <w:spacing w:line="276" w:lineRule="auto"/>
        <w:jc w:val="both"/>
        <w:rPr>
          <w:rFonts w:cs="Arial"/>
          <w:lang w:val="fr-FR"/>
        </w:rPr>
      </w:pPr>
    </w:p>
    <w:p w14:paraId="58294625" w14:textId="39C06CE8" w:rsidR="00266C1C" w:rsidRPr="00061E4D" w:rsidRDefault="00C274E7" w:rsidP="00A37A96">
      <w:pPr>
        <w:spacing w:line="276" w:lineRule="auto"/>
        <w:jc w:val="both"/>
        <w:rPr>
          <w:rFonts w:cs="Arial"/>
          <w:b/>
          <w:bCs/>
          <w:kern w:val="32"/>
          <w:sz w:val="32"/>
          <w:szCs w:val="32"/>
          <w:lang w:val="fr-FR" w:eastAsia="fr-FR"/>
        </w:rPr>
      </w:pPr>
      <w:r>
        <w:rPr>
          <w:rFonts w:cs="Arial"/>
          <w:lang w:val="fr-FR"/>
        </w:rPr>
        <w:t xml:space="preserve">Considérant tous les </w:t>
      </w:r>
      <w:r w:rsidR="004E5DD1">
        <w:rPr>
          <w:rFonts w:cs="Arial"/>
          <w:lang w:val="fr-FR"/>
        </w:rPr>
        <w:t>travaux à effectuer pour appliquer tous les changements apportés à la Loi</w:t>
      </w:r>
      <w:r>
        <w:rPr>
          <w:rFonts w:cs="Arial"/>
          <w:lang w:val="fr-FR"/>
        </w:rPr>
        <w:t xml:space="preserve">, pourquoi </w:t>
      </w:r>
      <w:r w:rsidRPr="00061E4D">
        <w:rPr>
          <w:rFonts w:cs="Arial"/>
          <w:lang w:val="fr-FR"/>
        </w:rPr>
        <w:t xml:space="preserve">vouloir </w:t>
      </w:r>
      <w:r w:rsidR="009C615F">
        <w:rPr>
          <w:rFonts w:cs="Arial"/>
          <w:lang w:val="fr-FR"/>
        </w:rPr>
        <w:t xml:space="preserve">le </w:t>
      </w:r>
      <w:r w:rsidRPr="00061E4D">
        <w:rPr>
          <w:rFonts w:cs="Arial"/>
          <w:lang w:val="fr-FR"/>
        </w:rPr>
        <w:t>faire de façon précipitée ? Comment la population peut-elle être bien informée sur ses droits et ses recours</w:t>
      </w:r>
      <w:r w:rsidR="004E5DD1">
        <w:rPr>
          <w:rFonts w:cs="Arial"/>
          <w:lang w:val="fr-FR"/>
        </w:rPr>
        <w:t> ? Comment</w:t>
      </w:r>
      <w:r w:rsidR="009C615F">
        <w:rPr>
          <w:rFonts w:cs="Arial"/>
          <w:lang w:val="fr-FR"/>
        </w:rPr>
        <w:t xml:space="preserve"> </w:t>
      </w:r>
      <w:r>
        <w:rPr>
          <w:rFonts w:cs="Arial"/>
          <w:lang w:val="fr-FR"/>
        </w:rPr>
        <w:t xml:space="preserve">éviter des dérapages si on ne prend pas le temps </w:t>
      </w:r>
      <w:r w:rsidR="004E5DD1">
        <w:rPr>
          <w:rFonts w:cs="Arial"/>
          <w:lang w:val="fr-FR"/>
        </w:rPr>
        <w:t>d’améliorer les conditions de vie des personnes en situation de handicap et, ensuite, d’</w:t>
      </w:r>
      <w:r>
        <w:rPr>
          <w:rFonts w:cs="Arial"/>
          <w:lang w:val="fr-FR"/>
        </w:rPr>
        <w:t xml:space="preserve">apporter </w:t>
      </w:r>
      <w:r w:rsidR="004E5DD1">
        <w:rPr>
          <w:rFonts w:cs="Arial"/>
          <w:lang w:val="fr-FR"/>
        </w:rPr>
        <w:t>l</w:t>
      </w:r>
      <w:r>
        <w:rPr>
          <w:rFonts w:cs="Arial"/>
          <w:lang w:val="fr-FR"/>
        </w:rPr>
        <w:t>es changements</w:t>
      </w:r>
      <w:r w:rsidR="004E5DD1">
        <w:rPr>
          <w:rFonts w:cs="Arial"/>
          <w:lang w:val="fr-FR"/>
        </w:rPr>
        <w:t xml:space="preserve"> nécessaires pour appliquer l’aide médicale à mourir aux personnes qui ne sont pas en fin de vie ?</w:t>
      </w:r>
      <w:r w:rsidR="00266C1C" w:rsidRPr="00061E4D">
        <w:rPr>
          <w:rFonts w:cs="Arial"/>
        </w:rPr>
        <w:br w:type="page"/>
      </w:r>
    </w:p>
    <w:p w14:paraId="1A57C2EC" w14:textId="0E30F8F2" w:rsidR="00266C1C" w:rsidRPr="00061E4D" w:rsidRDefault="00266C1C" w:rsidP="00140125">
      <w:pPr>
        <w:pStyle w:val="Titre"/>
        <w:pBdr>
          <w:bottom w:val="none" w:sz="0" w:space="0" w:color="auto"/>
        </w:pBdr>
        <w:outlineLvl w:val="0"/>
        <w:rPr>
          <w:b/>
          <w:sz w:val="36"/>
          <w:szCs w:val="36"/>
        </w:rPr>
      </w:pPr>
      <w:bookmarkStart w:id="53" w:name="_Toc79671886"/>
      <w:r w:rsidRPr="00061E4D">
        <w:rPr>
          <w:b/>
          <w:sz w:val="36"/>
          <w:szCs w:val="36"/>
        </w:rPr>
        <w:lastRenderedPageBreak/>
        <w:t>Liste des recommandations</w:t>
      </w:r>
      <w:bookmarkEnd w:id="53"/>
    </w:p>
    <w:p w14:paraId="20FEEA9E" w14:textId="77777777" w:rsidR="00061E4D" w:rsidRPr="00A833C5" w:rsidRDefault="00061E4D" w:rsidP="00A833C5">
      <w:pPr>
        <w:rPr>
          <w:b/>
          <w:bCs/>
        </w:rPr>
      </w:pPr>
      <w:r w:rsidRPr="00A833C5">
        <w:rPr>
          <w:b/>
          <w:bCs/>
        </w:rPr>
        <w:t>Recommandation 1</w:t>
      </w:r>
    </w:p>
    <w:p w14:paraId="4A3FA911" w14:textId="77777777" w:rsidR="00C27002" w:rsidRDefault="00C27002" w:rsidP="00C27002">
      <w:pPr>
        <w:pStyle w:val="Citation"/>
      </w:pPr>
      <w:r>
        <w:t xml:space="preserve">Pour encadrer l’accès </w:t>
      </w:r>
      <w:r w:rsidRPr="00061E4D">
        <w:t>à l’aide médicale à mourir</w:t>
      </w:r>
      <w:r>
        <w:t xml:space="preserve"> des </w:t>
      </w:r>
      <w:r w:rsidRPr="00061E4D">
        <w:t>personne</w:t>
      </w:r>
      <w:r>
        <w:t>s</w:t>
      </w:r>
      <w:r w:rsidRPr="00061E4D">
        <w:t xml:space="preserve"> en situation de handicap </w:t>
      </w:r>
      <w:r>
        <w:t>qui ne sont pas en fin de vie et en</w:t>
      </w:r>
      <w:r w:rsidRPr="00061E4D">
        <w:t xml:space="preserve"> cas d’élargissement de l’accès à l’aide médicale à mourir aux personnes en situation d’inaptitude, déterminer des balises strictes et développer des outils pour garantir le consentement libre et éclairé de ces personnes </w:t>
      </w:r>
      <w:r w:rsidRPr="00061E4D">
        <w:rPr>
          <w:b/>
          <w:bCs/>
        </w:rPr>
        <w:t xml:space="preserve">avant que </w:t>
      </w:r>
      <w:r w:rsidRPr="00061E4D">
        <w:rPr>
          <w:b/>
          <w:bCs/>
          <w:noProof/>
        </w:rPr>
        <w:t xml:space="preserve">les éventuels changements </w:t>
      </w:r>
      <w:r>
        <w:rPr>
          <w:b/>
          <w:bCs/>
          <w:noProof/>
        </w:rPr>
        <w:t>à</w:t>
      </w:r>
      <w:r w:rsidRPr="00061E4D">
        <w:rPr>
          <w:b/>
          <w:bCs/>
          <w:noProof/>
        </w:rPr>
        <w:t xml:space="preserve"> la Loi n’entrent en vigueur</w:t>
      </w:r>
      <w:r w:rsidRPr="00061E4D">
        <w:t>.</w:t>
      </w:r>
    </w:p>
    <w:p w14:paraId="0745D163" w14:textId="77777777" w:rsidR="00C27002" w:rsidRPr="00EC209F" w:rsidRDefault="00C27002" w:rsidP="00C27002">
      <w:pPr>
        <w:pStyle w:val="Citation"/>
      </w:pPr>
      <w:r>
        <w:t xml:space="preserve">Ces outils pourraient s’inspirer de ceux existants ou en cours de développement pour aider à la prise de décision des personnes </w:t>
      </w:r>
      <w:r w:rsidRPr="00061E4D">
        <w:t>en situation d’inaptitude</w:t>
      </w:r>
      <w:r>
        <w:t>.</w:t>
      </w:r>
    </w:p>
    <w:p w14:paraId="1C7E7F22" w14:textId="77777777" w:rsidR="00C27002" w:rsidRPr="00EC209F" w:rsidRDefault="00C27002" w:rsidP="00C27002">
      <w:pPr>
        <w:pStyle w:val="Citation"/>
      </w:pPr>
      <w:r w:rsidRPr="00061E4D">
        <w:t xml:space="preserve">Ceci devrait se faire en partenariat avec </w:t>
      </w:r>
      <w:r>
        <w:t>d</w:t>
      </w:r>
      <w:r w:rsidRPr="00061E4D">
        <w:t xml:space="preserve">es organismes </w:t>
      </w:r>
      <w:r>
        <w:t xml:space="preserve">d’action communautaire autonome </w:t>
      </w:r>
      <w:r w:rsidRPr="00061E4D">
        <w:t>de défense des droits des personnes handicapées, dont la COPHAN.</w:t>
      </w:r>
    </w:p>
    <w:p w14:paraId="3BE00FB9" w14:textId="77777777" w:rsidR="00C27002" w:rsidRDefault="00C27002" w:rsidP="00C27002">
      <w:pPr>
        <w:spacing w:line="276" w:lineRule="auto"/>
        <w:rPr>
          <w:noProof/>
        </w:rPr>
      </w:pPr>
    </w:p>
    <w:p w14:paraId="1DC7F3EA" w14:textId="77777777" w:rsidR="00C27002" w:rsidRPr="00C27002" w:rsidRDefault="00C27002" w:rsidP="00C27002">
      <w:pPr>
        <w:rPr>
          <w:b/>
          <w:bCs/>
        </w:rPr>
      </w:pPr>
      <w:r w:rsidRPr="00C27002">
        <w:rPr>
          <w:b/>
          <w:bCs/>
        </w:rPr>
        <w:t>Recommandation 2</w:t>
      </w:r>
    </w:p>
    <w:p w14:paraId="1AE52B55" w14:textId="77777777" w:rsidR="00C27002" w:rsidRPr="00061E4D" w:rsidRDefault="00C27002" w:rsidP="00C27002">
      <w:pPr>
        <w:pStyle w:val="Citation"/>
      </w:pPr>
      <w:r w:rsidRPr="00061E4D">
        <w:t>Mettre en place un comité de travail pour développer les outils et les balises nécessaires à un vrai consentement libre et éclairé. Les travaux de ce comité devraient être terminés avant l’entrée en vigueur des modifications apportées à la Loi.</w:t>
      </w:r>
    </w:p>
    <w:p w14:paraId="11DA7D4D" w14:textId="48D2C2F9" w:rsidR="00266C1C" w:rsidRPr="00061E4D" w:rsidRDefault="00266C1C" w:rsidP="00BE14BD">
      <w:pPr>
        <w:spacing w:line="276" w:lineRule="auto"/>
        <w:jc w:val="both"/>
        <w:rPr>
          <w:rFonts w:cs="Arial"/>
        </w:rPr>
      </w:pPr>
    </w:p>
    <w:p w14:paraId="2FC81D81" w14:textId="77777777" w:rsidR="00061E4D" w:rsidRPr="00A833C5" w:rsidRDefault="00061E4D" w:rsidP="00A833C5">
      <w:pPr>
        <w:rPr>
          <w:b/>
          <w:bCs/>
        </w:rPr>
      </w:pPr>
      <w:r w:rsidRPr="00A833C5">
        <w:rPr>
          <w:b/>
          <w:bCs/>
        </w:rPr>
        <w:t>Recommandation 3</w:t>
      </w:r>
    </w:p>
    <w:p w14:paraId="0264E901" w14:textId="77777777" w:rsidR="00C27002" w:rsidRPr="00061E4D" w:rsidRDefault="00C27002" w:rsidP="00C27002">
      <w:pPr>
        <w:pStyle w:val="Citation"/>
      </w:pPr>
      <w:r w:rsidRPr="00061E4D">
        <w:t>Le réseau de la santé et des services sociaux, en collaboration avec les personnes concernées</w:t>
      </w:r>
      <w:r>
        <w:t xml:space="preserve"> et les organismes qui les représentent</w:t>
      </w:r>
      <w:r w:rsidRPr="00061E4D">
        <w:t>, doit déployer tous les efforts nécessaires pour solutionner les nombreux problèmes qui persistent dans le domaine des services de soutien à domicile et des conditions de vie qui prévalent dans les milieux d’hébergement et les diverses ressources résidentielles.</w:t>
      </w:r>
    </w:p>
    <w:p w14:paraId="744B770B" w14:textId="40539055" w:rsidR="00C27002" w:rsidRPr="00061E4D" w:rsidRDefault="00C27002" w:rsidP="00C27002">
      <w:pPr>
        <w:pStyle w:val="Citation"/>
      </w:pPr>
      <w:r w:rsidRPr="00061E4D">
        <w:t xml:space="preserve">Il doit entendre les suggestions de changements proposées par les personnes habitant dans ces lieux, notamment dans les CHSLD, prendre appui sur les exemples de milieux résidentiels </w:t>
      </w:r>
      <w:r>
        <w:t xml:space="preserve">ou d’assistance </w:t>
      </w:r>
      <w:r w:rsidRPr="00061E4D">
        <w:t>novateurs qui ont souvent fait leur</w:t>
      </w:r>
      <w:r w:rsidR="00DD4740">
        <w:t>s</w:t>
      </w:r>
      <w:r w:rsidRPr="00061E4D">
        <w:t xml:space="preserve"> preuve</w:t>
      </w:r>
      <w:r>
        <w:t>s</w:t>
      </w:r>
      <w:r w:rsidRPr="00061E4D">
        <w:t xml:space="preserve"> et collaborer avec les personnes concernées afin d’innover et de mettre en place des services beaucoup plus humains, respectueux des droits et libertés de la personne et qui répondent aux besoins qu’elles expriment.</w:t>
      </w:r>
    </w:p>
    <w:p w14:paraId="0E22DD3C" w14:textId="77777777" w:rsidR="00C27002" w:rsidRPr="00061E4D" w:rsidRDefault="00C27002" w:rsidP="00C27002">
      <w:pPr>
        <w:pStyle w:val="Citation"/>
      </w:pPr>
      <w:r w:rsidRPr="00061E4D">
        <w:t>Le réseau doit veiller à ce que le personnel adopte en tout temps des comportements plus humains, respectueux de la dignité des personnes, de leur autonomie et qu’ils soient exempts de tout préjugé à l’égard des personnes qu’il dessert.</w:t>
      </w:r>
    </w:p>
    <w:p w14:paraId="01DF4E12" w14:textId="77777777" w:rsidR="00461A83" w:rsidRPr="00A833C5" w:rsidRDefault="00461A83" w:rsidP="00A833C5">
      <w:pPr>
        <w:rPr>
          <w:b/>
          <w:bCs/>
        </w:rPr>
      </w:pPr>
      <w:r w:rsidRPr="00A833C5">
        <w:rPr>
          <w:b/>
          <w:bCs/>
        </w:rPr>
        <w:lastRenderedPageBreak/>
        <w:t>Recommandation 4</w:t>
      </w:r>
    </w:p>
    <w:p w14:paraId="5BBF452C" w14:textId="77777777" w:rsidR="00C27002" w:rsidRPr="00061E4D" w:rsidRDefault="00C27002" w:rsidP="00C27002">
      <w:pPr>
        <w:pStyle w:val="Citation"/>
      </w:pPr>
      <w:r w:rsidRPr="00061E4D">
        <w:t xml:space="preserve">Le ministère de la Santé et des Services sociaux doit bonifier l’offre de services de </w:t>
      </w:r>
      <w:r w:rsidRPr="00061E4D">
        <w:rPr>
          <w:b/>
          <w:bCs/>
        </w:rPr>
        <w:t>soutien psychosocial</w:t>
      </w:r>
      <w:r w:rsidRPr="00061E4D">
        <w:t xml:space="preserve"> dans toute la province autant dans le secteur public que communautaire et en assurer l’accessibilité aux personnes en situation de handicap.</w:t>
      </w:r>
    </w:p>
    <w:p w14:paraId="76BD6C2C" w14:textId="77777777" w:rsidR="0089464D" w:rsidRPr="00061E4D" w:rsidRDefault="0089464D" w:rsidP="00BE14BD">
      <w:pPr>
        <w:spacing w:line="276" w:lineRule="auto"/>
        <w:jc w:val="both"/>
        <w:rPr>
          <w:rFonts w:cs="Arial"/>
        </w:rPr>
      </w:pPr>
    </w:p>
    <w:p w14:paraId="321EA743" w14:textId="77777777" w:rsidR="004B79F8" w:rsidRPr="00A833C5" w:rsidRDefault="004B79F8" w:rsidP="00A833C5">
      <w:pPr>
        <w:rPr>
          <w:b/>
          <w:bCs/>
        </w:rPr>
      </w:pPr>
      <w:r w:rsidRPr="00A833C5">
        <w:rPr>
          <w:b/>
          <w:bCs/>
        </w:rPr>
        <w:t>Recommandation 5</w:t>
      </w:r>
    </w:p>
    <w:p w14:paraId="20258221" w14:textId="77777777" w:rsidR="00C27002" w:rsidRPr="00061E4D" w:rsidRDefault="00C27002" w:rsidP="00C27002">
      <w:pPr>
        <w:pStyle w:val="Citation"/>
      </w:pPr>
      <w:r w:rsidRPr="0006211C">
        <w:t>Mettre en place une procédure d’accompagnement de toute personne en situation de handicap qui demanderait l’aide médicale à mourir. Cet accompagnement devra se faire dès le début de la démarche de demande d’aide médicale à mourir et pourrait s’inspirer de la procédure d’accompagnement des personnes seules et vulnérables émise dans le cadre de l’application du protocole national de priorisation pour l’accès aux soins intensifs en temps de pandémie</w:t>
      </w:r>
      <w:r w:rsidRPr="0006211C">
        <w:rPr>
          <w:rStyle w:val="Appelnotedebasdep"/>
          <w:noProof/>
        </w:rPr>
        <w:footnoteReference w:id="34"/>
      </w:r>
      <w:r w:rsidRPr="0006211C">
        <w:t>.</w:t>
      </w:r>
    </w:p>
    <w:p w14:paraId="51CC845D" w14:textId="77777777" w:rsidR="004B79F8" w:rsidRPr="00061E4D" w:rsidRDefault="004B79F8" w:rsidP="004B79F8">
      <w:pPr>
        <w:autoSpaceDE w:val="0"/>
        <w:autoSpaceDN w:val="0"/>
        <w:adjustRightInd w:val="0"/>
        <w:jc w:val="both"/>
        <w:rPr>
          <w:rFonts w:cs="Arial"/>
        </w:rPr>
      </w:pPr>
    </w:p>
    <w:p w14:paraId="2DFEC7F7" w14:textId="77777777" w:rsidR="004B79F8" w:rsidRPr="00A833C5" w:rsidRDefault="004B79F8" w:rsidP="00A833C5">
      <w:pPr>
        <w:rPr>
          <w:b/>
          <w:bCs/>
        </w:rPr>
      </w:pPr>
      <w:r w:rsidRPr="00A833C5">
        <w:rPr>
          <w:b/>
          <w:bCs/>
        </w:rPr>
        <w:t>Recommandation 6</w:t>
      </w:r>
    </w:p>
    <w:p w14:paraId="6C338B56" w14:textId="77777777" w:rsidR="00C27002" w:rsidRPr="00061E4D" w:rsidRDefault="00C27002" w:rsidP="00C27002">
      <w:pPr>
        <w:pStyle w:val="Citation"/>
      </w:pPr>
      <w:r w:rsidRPr="00061E4D">
        <w:t>Dans le cadre de la révision de la Loi, remplacer le 4</w:t>
      </w:r>
      <w:r w:rsidRPr="00061E4D">
        <w:rPr>
          <w:vertAlign w:val="superscript"/>
        </w:rPr>
        <w:t>e</w:t>
      </w:r>
      <w:r w:rsidRPr="00061E4D">
        <w:t xml:space="preserve"> alinéa de l’article 5 de la Loi sur les soins de fin de vie par le 1</w:t>
      </w:r>
      <w:r w:rsidRPr="00061E4D">
        <w:rPr>
          <w:vertAlign w:val="superscript"/>
        </w:rPr>
        <w:t>er</w:t>
      </w:r>
      <w:r w:rsidRPr="00061E4D">
        <w:t xml:space="preserve"> alinéa de l’article 8 de la Loi sur la santé et sur les services sociaux : </w:t>
      </w:r>
      <w:r w:rsidRPr="00061E4D">
        <w:rPr>
          <w:b/>
          <w:bCs/>
        </w:rPr>
        <w:t>Tout usager des services de santé et des services sociaux a le droit d’être informé sur son état de santé et de bien-être, de manière à connaître, dans la mesure du possible, les différentes options qui s’offrent à lui, dont les soins palliatifs, ainsi que les risques et les conséquences généralement associés à chacune de ces options avant de consentir à des soins le concernant.</w:t>
      </w:r>
    </w:p>
    <w:p w14:paraId="367430E9" w14:textId="77777777" w:rsidR="004B79F8" w:rsidRPr="004B79F8" w:rsidRDefault="004B79F8" w:rsidP="004B79F8"/>
    <w:p w14:paraId="36897CBA" w14:textId="77777777" w:rsidR="000E39A3" w:rsidRPr="001469C6" w:rsidRDefault="000E39A3" w:rsidP="001469C6">
      <w:pPr>
        <w:rPr>
          <w:b/>
          <w:bCs/>
        </w:rPr>
      </w:pPr>
      <w:r w:rsidRPr="001469C6">
        <w:rPr>
          <w:b/>
          <w:bCs/>
        </w:rPr>
        <w:t>Recommandation 7</w:t>
      </w:r>
    </w:p>
    <w:p w14:paraId="506D9BAA" w14:textId="77777777" w:rsidR="00C27002" w:rsidRDefault="00C27002" w:rsidP="00C27002">
      <w:pPr>
        <w:pStyle w:val="Citation"/>
      </w:pPr>
      <w:r w:rsidRPr="00061E4D">
        <w:t xml:space="preserve">Dans le cadre de la révision de la Loi, </w:t>
      </w:r>
      <w:r>
        <w:t>m</w:t>
      </w:r>
      <w:r w:rsidRPr="00061E4D">
        <w:t xml:space="preserve">odifier l’article 1, Objet de la Loi, pour préciser : « À cette fin, elle précise les droits de ces personnes, </w:t>
      </w:r>
      <w:r w:rsidRPr="00061E4D">
        <w:rPr>
          <w:b/>
          <w:bCs/>
        </w:rPr>
        <w:t>notamment le droit au consentement libre et éclairé et le droit à l’information</w:t>
      </w:r>
      <w:r w:rsidRPr="00061E4D">
        <w:t xml:space="preserve"> (...) »</w:t>
      </w:r>
    </w:p>
    <w:p w14:paraId="17F9A2D3" w14:textId="77777777" w:rsidR="00C27002" w:rsidRPr="00AC6C71" w:rsidRDefault="00C27002" w:rsidP="00C27002"/>
    <w:p w14:paraId="5EE838DD" w14:textId="77777777" w:rsidR="00C27002" w:rsidRPr="00C27002" w:rsidRDefault="00C27002" w:rsidP="00C27002">
      <w:pPr>
        <w:rPr>
          <w:b/>
          <w:bCs/>
        </w:rPr>
      </w:pPr>
      <w:r w:rsidRPr="00C27002">
        <w:rPr>
          <w:b/>
          <w:bCs/>
        </w:rPr>
        <w:t>Recommandation 8</w:t>
      </w:r>
    </w:p>
    <w:p w14:paraId="0DDA69AE" w14:textId="77777777" w:rsidR="00C27002" w:rsidRPr="00061E4D" w:rsidRDefault="00C27002" w:rsidP="00C27002">
      <w:pPr>
        <w:pStyle w:val="Citation"/>
      </w:pPr>
      <w:r w:rsidRPr="00061E4D">
        <w:t xml:space="preserve">Dans le cadre de la révision de la Loi, </w:t>
      </w:r>
      <w:r>
        <w:t>m</w:t>
      </w:r>
      <w:r w:rsidRPr="00061E4D">
        <w:t xml:space="preserve">odifier l’article 2 pour préciser que les principes qui doivent guider la prestation des soins de fin de vie des personnes </w:t>
      </w:r>
      <w:r w:rsidRPr="00061E4D">
        <w:rPr>
          <w:b/>
          <w:bCs/>
        </w:rPr>
        <w:t xml:space="preserve">sont basés notamment sur les droits fondamentaux de la Charte des droits et libertés de la personne, sur la section des droits de la personne de la Loi </w:t>
      </w:r>
      <w:r w:rsidRPr="00061E4D">
        <w:rPr>
          <w:b/>
          <w:bCs/>
        </w:rPr>
        <w:lastRenderedPageBreak/>
        <w:t>sur les services de santé et sur les services sociaux et sur l’article 10 du Code civil du Québec</w:t>
      </w:r>
      <w:r w:rsidRPr="00061E4D">
        <w:t>.</w:t>
      </w:r>
    </w:p>
    <w:p w14:paraId="0F14E133" w14:textId="77777777" w:rsidR="00C27002" w:rsidRPr="00061E4D" w:rsidRDefault="00C27002" w:rsidP="00C27002">
      <w:pPr>
        <w:spacing w:line="276" w:lineRule="auto"/>
        <w:jc w:val="both"/>
        <w:rPr>
          <w:rFonts w:eastAsia="MS Mincho" w:cs="Arial"/>
        </w:rPr>
      </w:pPr>
    </w:p>
    <w:p w14:paraId="2F1022B7" w14:textId="77777777" w:rsidR="00C27002" w:rsidRPr="00C27002" w:rsidRDefault="00C27002" w:rsidP="00C27002">
      <w:pPr>
        <w:rPr>
          <w:b/>
          <w:bCs/>
        </w:rPr>
      </w:pPr>
      <w:r w:rsidRPr="00C27002">
        <w:rPr>
          <w:b/>
          <w:bCs/>
        </w:rPr>
        <w:t>Recommandation 9</w:t>
      </w:r>
    </w:p>
    <w:p w14:paraId="1910A15F" w14:textId="77777777" w:rsidR="00C27002" w:rsidRPr="00061E4D" w:rsidRDefault="00C27002" w:rsidP="00C27002">
      <w:pPr>
        <w:pStyle w:val="Citation"/>
      </w:pPr>
      <w:r w:rsidRPr="00061E4D">
        <w:t>Rappelons que toute communication doit respecter le droit à l’information et être offerte dans le format demandé, suivant les besoins exprimés par la personne. La Politique québécoise L’accès aux documents et aux services offerts au public pour les personnes handicapées</w:t>
      </w:r>
      <w:r w:rsidRPr="00061E4D">
        <w:rPr>
          <w:rStyle w:val="Appelnotedebasdep"/>
        </w:rPr>
        <w:footnoteReference w:id="35"/>
      </w:r>
      <w:r w:rsidRPr="00061E4D">
        <w:t xml:space="preserve"> définit bien cet enjeu.</w:t>
      </w:r>
    </w:p>
    <w:p w14:paraId="17D6EE4C" w14:textId="338AD5AE" w:rsidR="004A0F86" w:rsidRPr="00061E4D" w:rsidRDefault="004A0F86" w:rsidP="00B97620">
      <w:pPr>
        <w:jc w:val="both"/>
        <w:rPr>
          <w:rFonts w:cs="Arial"/>
        </w:rPr>
      </w:pPr>
    </w:p>
    <w:p w14:paraId="13F037FB" w14:textId="77777777" w:rsidR="00841B9C" w:rsidRPr="00A833C5" w:rsidRDefault="00841B9C" w:rsidP="00A833C5">
      <w:pPr>
        <w:rPr>
          <w:b/>
          <w:bCs/>
        </w:rPr>
      </w:pPr>
      <w:r w:rsidRPr="00A833C5">
        <w:rPr>
          <w:b/>
          <w:bCs/>
        </w:rPr>
        <w:t>Recommandation 10</w:t>
      </w:r>
    </w:p>
    <w:p w14:paraId="719AD223" w14:textId="77777777" w:rsidR="00DD4740" w:rsidRPr="00061E4D" w:rsidRDefault="00DD4740" w:rsidP="00DD4740">
      <w:pPr>
        <w:pStyle w:val="Citation"/>
      </w:pPr>
      <w:r w:rsidRPr="00061E4D">
        <w:t>Autoriser l’accès à l’aide médicale à mourir aux personnes qui ont toujours été inaptes, uniquement à leur demande, à condition de mettre en place des balises pour encadrer cet accès et des outils pour assurer et faciliter leur consentement libre et éclairé.</w:t>
      </w:r>
    </w:p>
    <w:p w14:paraId="72A24B84" w14:textId="77777777" w:rsidR="00B97620" w:rsidRPr="00061E4D" w:rsidRDefault="00B97620" w:rsidP="00B97620">
      <w:pPr>
        <w:spacing w:line="276" w:lineRule="auto"/>
        <w:jc w:val="both"/>
        <w:rPr>
          <w:rFonts w:cs="Arial"/>
        </w:rPr>
      </w:pPr>
    </w:p>
    <w:p w14:paraId="6EA4DD84" w14:textId="77777777" w:rsidR="002C64ED" w:rsidRPr="00A833C5" w:rsidRDefault="002C64ED" w:rsidP="00A833C5">
      <w:pPr>
        <w:rPr>
          <w:b/>
          <w:bCs/>
        </w:rPr>
      </w:pPr>
      <w:r w:rsidRPr="00A833C5">
        <w:rPr>
          <w:b/>
          <w:bCs/>
        </w:rPr>
        <w:t>Recommandation 11</w:t>
      </w:r>
    </w:p>
    <w:p w14:paraId="51B1E728" w14:textId="77777777" w:rsidR="00DD4740" w:rsidRPr="00061E4D" w:rsidRDefault="00DD4740" w:rsidP="00DD4740">
      <w:pPr>
        <w:pStyle w:val="Citation"/>
      </w:pPr>
      <w:r w:rsidRPr="00061E4D">
        <w:t>Interdire les demandes d’aide médicale à mourir pour autrui et le consentement substitué. Nous voulons qu’en aucun cas une personne</w:t>
      </w:r>
      <w:r>
        <w:t xml:space="preserve"> ne</w:t>
      </w:r>
      <w:r w:rsidRPr="00061E4D">
        <w:t xml:space="preserve"> puisse demander une aide médicale à mourir au nom d’une personne inapte ou consentir à l’aide médicale à mourir en son nom.</w:t>
      </w:r>
    </w:p>
    <w:p w14:paraId="4C040BC3" w14:textId="77777777" w:rsidR="002C64ED" w:rsidRPr="00DD4740" w:rsidRDefault="002C64ED" w:rsidP="002C64ED">
      <w:pPr>
        <w:jc w:val="both"/>
        <w:rPr>
          <w:rFonts w:cs="Arial"/>
        </w:rPr>
      </w:pPr>
    </w:p>
    <w:p w14:paraId="02EEA1E6" w14:textId="77777777" w:rsidR="000E39A3" w:rsidRPr="000E39A3" w:rsidRDefault="000E39A3" w:rsidP="000E39A3">
      <w:pPr>
        <w:rPr>
          <w:b/>
          <w:bCs/>
        </w:rPr>
      </w:pPr>
      <w:r w:rsidRPr="000E39A3">
        <w:rPr>
          <w:b/>
          <w:bCs/>
        </w:rPr>
        <w:t>Recommandation 12</w:t>
      </w:r>
    </w:p>
    <w:p w14:paraId="79201850" w14:textId="77777777" w:rsidR="00DD4740" w:rsidRPr="00061E4D" w:rsidRDefault="00DD4740" w:rsidP="00DD4740">
      <w:pPr>
        <w:pStyle w:val="Citation"/>
        <w:widowControl w:val="0"/>
      </w:pPr>
      <w:r w:rsidRPr="00061E4D">
        <w:t>Le médecin doit s’assurer que le consentement de la personne inapte à l’aide médicale à mourir est réellement libre et éclairé. Un accompagnement peut être offert à la personne inapte, si elle le souhaite, afin de s’assurer que son consentement respecte ces conditions. Le médecin ne doit pas se baser sur le diagnostic pour évaluer les raisons de demande d’aide médicale à mourir</w:t>
      </w:r>
      <w:r>
        <w:t>,</w:t>
      </w:r>
      <w:r w:rsidRPr="00061E4D">
        <w:t xml:space="preserve"> mais s’assurer qu’elles correspondent à une souffrance physique ou psychologique intolérable et persistante.</w:t>
      </w:r>
      <w:r>
        <w:t xml:space="preserve"> </w:t>
      </w:r>
    </w:p>
    <w:p w14:paraId="5F51ADB2" w14:textId="77777777" w:rsidR="00DD4740" w:rsidRPr="00061E4D" w:rsidRDefault="00DD4740" w:rsidP="00DD4740">
      <w:pPr>
        <w:jc w:val="both"/>
        <w:rPr>
          <w:rFonts w:cs="Arial"/>
          <w:lang w:val="fr-FR"/>
        </w:rPr>
      </w:pPr>
    </w:p>
    <w:p w14:paraId="5B817096" w14:textId="77777777" w:rsidR="00DD4740" w:rsidRPr="00DD4740" w:rsidRDefault="00DD4740" w:rsidP="00DD4740">
      <w:pPr>
        <w:rPr>
          <w:b/>
          <w:bCs/>
        </w:rPr>
      </w:pPr>
      <w:r w:rsidRPr="00DD4740">
        <w:rPr>
          <w:b/>
          <w:bCs/>
        </w:rPr>
        <w:t>Recommandation 13</w:t>
      </w:r>
    </w:p>
    <w:p w14:paraId="0FC90C0D" w14:textId="77777777" w:rsidR="00DD4740" w:rsidRPr="00061E4D" w:rsidRDefault="00DD4740" w:rsidP="00DD4740">
      <w:pPr>
        <w:pStyle w:val="Citation"/>
      </w:pPr>
      <w:r w:rsidRPr="00061E4D">
        <w:t xml:space="preserve">En plus de l’avis d’un deuxième médecin, une évaluation psychosociale devrait être obligatoirement faite pour s’assurer que la personne ne demande pas l’aide médicale à mourir comme une solution désespérée à un manque de services </w:t>
      </w:r>
      <w:r w:rsidRPr="00061E4D">
        <w:lastRenderedPageBreak/>
        <w:t>répondant à ses besoins de la vie courante ou poussée par des influences externes.</w:t>
      </w:r>
      <w:r w:rsidRPr="00061E4D">
        <w:rPr>
          <w:rStyle w:val="Appelnotedebasdep"/>
        </w:rPr>
        <w:footnoteReference w:id="36"/>
      </w:r>
      <w:r>
        <w:t xml:space="preserve"> </w:t>
      </w:r>
    </w:p>
    <w:p w14:paraId="2EE0153B" w14:textId="77777777" w:rsidR="00DD4740" w:rsidRPr="00061E4D" w:rsidRDefault="00DD4740" w:rsidP="00DD4740">
      <w:pPr>
        <w:jc w:val="both"/>
        <w:rPr>
          <w:rFonts w:cs="Arial"/>
          <w:lang w:val="fr-FR"/>
        </w:rPr>
      </w:pPr>
    </w:p>
    <w:p w14:paraId="659B4F59" w14:textId="77777777" w:rsidR="00DD4740" w:rsidRPr="00DD4740" w:rsidRDefault="00DD4740" w:rsidP="00DD4740">
      <w:pPr>
        <w:rPr>
          <w:b/>
          <w:bCs/>
        </w:rPr>
      </w:pPr>
      <w:r w:rsidRPr="00DD4740">
        <w:rPr>
          <w:b/>
          <w:bCs/>
        </w:rPr>
        <w:t>Recommandation 14</w:t>
      </w:r>
    </w:p>
    <w:p w14:paraId="123FFE26" w14:textId="77777777" w:rsidR="00DD4740" w:rsidRPr="00061E4D" w:rsidRDefault="00DD4740" w:rsidP="00DD4740">
      <w:pPr>
        <w:pStyle w:val="Citation"/>
      </w:pPr>
      <w:r w:rsidRPr="00061E4D">
        <w:t xml:space="preserve">À la suite de </w:t>
      </w:r>
      <w:r>
        <w:t xml:space="preserve">la conclusion de </w:t>
      </w:r>
      <w:r w:rsidRPr="00061E4D">
        <w:t xml:space="preserve">l’évaluation psychosociale, instaurer un </w:t>
      </w:r>
      <w:r w:rsidRPr="00061E4D">
        <w:rPr>
          <w:b/>
          <w:bCs/>
        </w:rPr>
        <w:t>délai de 90 jours</w:t>
      </w:r>
      <w:r w:rsidRPr="00061E4D">
        <w:t xml:space="preserve"> entre le moment où la demande est signée et l’administration de l’aide médicale à mourir afin de laisser le temps </w:t>
      </w:r>
      <w:r>
        <w:t>à l’équipe de soins</w:t>
      </w:r>
      <w:r w:rsidRPr="00061E4D">
        <w:t xml:space="preserve"> et à la personne qui fait sa demande de faire le bilan de la situation et de trouver éventuellement des solutions alternatives, à condition que celles-ci répondent aux besoins et respecte la volonté de la personne.</w:t>
      </w:r>
    </w:p>
    <w:p w14:paraId="2A9DFE6E" w14:textId="77777777" w:rsidR="0086039A" w:rsidRPr="00061E4D" w:rsidRDefault="0086039A" w:rsidP="0086039A">
      <w:pPr>
        <w:rPr>
          <w:rFonts w:cs="Arial"/>
        </w:rPr>
      </w:pPr>
    </w:p>
    <w:p w14:paraId="47835886" w14:textId="77777777" w:rsidR="0054698D" w:rsidRPr="00A833C5" w:rsidRDefault="0054698D" w:rsidP="00A833C5">
      <w:pPr>
        <w:rPr>
          <w:b/>
          <w:bCs/>
        </w:rPr>
      </w:pPr>
      <w:r w:rsidRPr="00A833C5">
        <w:rPr>
          <w:b/>
          <w:bCs/>
        </w:rPr>
        <w:t>Recommandation 15</w:t>
      </w:r>
    </w:p>
    <w:p w14:paraId="7E7A6B67" w14:textId="672AF7F1" w:rsidR="000E39A3" w:rsidRPr="00061E4D" w:rsidRDefault="003738C6" w:rsidP="000E39A3">
      <w:pPr>
        <w:pStyle w:val="Citation"/>
      </w:pPr>
      <w:r w:rsidRPr="00061E4D">
        <w:t xml:space="preserve">S’assurer de développer des outils destinés aux personnes inaptes pour faciliter leur compréhension des enjeux entourant une demande d’aide médicale à mourir et les soutenir dans leur prise de décision. </w:t>
      </w:r>
      <w:r>
        <w:t>C</w:t>
      </w:r>
      <w:r w:rsidRPr="00061E4D">
        <w:t xml:space="preserve">es outils doivent également être développés pour faciliter le dépôt de la demande. </w:t>
      </w:r>
      <w:r>
        <w:t xml:space="preserve">Leur utilisabilité devrait être testée auprès des personnes concernées. </w:t>
      </w:r>
      <w:r w:rsidRPr="00061E4D">
        <w:t>Ceci, avant même que les nouveaux critères d’accès à l’aide médicale à mourir entrent en vigueur.</w:t>
      </w:r>
    </w:p>
    <w:p w14:paraId="059A4C59" w14:textId="77777777" w:rsidR="00976887" w:rsidRPr="00061E4D" w:rsidRDefault="00976887" w:rsidP="00976887">
      <w:pPr>
        <w:rPr>
          <w:rFonts w:cs="Arial"/>
        </w:rPr>
      </w:pPr>
    </w:p>
    <w:p w14:paraId="2764E238" w14:textId="77777777" w:rsidR="00293002" w:rsidRPr="00A833C5" w:rsidRDefault="00293002" w:rsidP="00A833C5">
      <w:pPr>
        <w:rPr>
          <w:b/>
          <w:bCs/>
        </w:rPr>
      </w:pPr>
      <w:r w:rsidRPr="00A833C5">
        <w:rPr>
          <w:b/>
          <w:bCs/>
        </w:rPr>
        <w:t>Recommandation 16</w:t>
      </w:r>
    </w:p>
    <w:p w14:paraId="675C3E7D" w14:textId="77777777" w:rsidR="00DD4740" w:rsidRPr="00061E4D" w:rsidRDefault="00DD4740" w:rsidP="00DD4740">
      <w:pPr>
        <w:pStyle w:val="Citation"/>
        <w:widowControl w:val="0"/>
      </w:pPr>
      <w:r w:rsidRPr="00061E4D">
        <w:t>Que la demande anticipée d’aide médicale à mourir soit autorisée à des personnes qui ont reçu un diagnostic clair de maladie dégénérative qui a des conséquences significatives sur leurs capacités cognitives à long terme</w:t>
      </w:r>
      <w:r>
        <w:t>,</w:t>
      </w:r>
      <w:r w:rsidRPr="00061E4D">
        <w:t xml:space="preserve"> mais aux conditions suivantes :</w:t>
      </w:r>
    </w:p>
    <w:p w14:paraId="58D627E9" w14:textId="77777777" w:rsidR="00DD4740" w:rsidRPr="00061E4D" w:rsidRDefault="00DD4740" w:rsidP="00DD4740">
      <w:pPr>
        <w:pStyle w:val="Citation"/>
        <w:numPr>
          <w:ilvl w:val="0"/>
          <w:numId w:val="24"/>
        </w:numPr>
        <w:ind w:left="993" w:hanging="284"/>
      </w:pPr>
      <w:r w:rsidRPr="00061E4D">
        <w:t>Avoir un délai de 90 jours entre la signature de la demande et l’administration de l’aide médicale à mourir</w:t>
      </w:r>
      <w:r>
        <w:t xml:space="preserve"> </w:t>
      </w:r>
      <w:r w:rsidRPr="00061E4D">
        <w:t xml:space="preserve">afin de laisser le temps </w:t>
      </w:r>
      <w:r>
        <w:t>à l’équipe de soins</w:t>
      </w:r>
      <w:r w:rsidRPr="00061E4D">
        <w:t xml:space="preserve"> et à la personne qui fait sa demande de faire le bilan de la situation et de trouver éventuellement des solutions alternatives, à condition que celles-ci répondent aux besoins et respecte la volonté de la personne</w:t>
      </w:r>
      <w:r>
        <w:t>.</w:t>
      </w:r>
    </w:p>
    <w:p w14:paraId="2AC60211" w14:textId="77777777" w:rsidR="00DD4740" w:rsidRPr="00061E4D" w:rsidRDefault="00DD4740" w:rsidP="00DD4740">
      <w:pPr>
        <w:pStyle w:val="Citation"/>
        <w:numPr>
          <w:ilvl w:val="0"/>
          <w:numId w:val="24"/>
        </w:numPr>
        <w:ind w:left="993" w:hanging="284"/>
      </w:pPr>
      <w:r w:rsidRPr="00061E4D">
        <w:t>Tenir compte de l’évolution ou du stade de la maladie, afin de faire un suivi régulier sur les aptitudes de la personne.</w:t>
      </w:r>
    </w:p>
    <w:p w14:paraId="547F3C6B" w14:textId="42439B82" w:rsidR="003738C6" w:rsidRPr="00061E4D" w:rsidRDefault="00DD4740" w:rsidP="00DD4740">
      <w:pPr>
        <w:pStyle w:val="Citation"/>
        <w:numPr>
          <w:ilvl w:val="0"/>
          <w:numId w:val="24"/>
        </w:numPr>
        <w:ind w:left="993" w:hanging="284"/>
      </w:pPr>
      <w:r w:rsidRPr="00061E4D">
        <w:t>Comme pour les autres demandes d’aide médicale à mourir, celle-ci devrait être administrée seulement lorsque les souffrances physiques et psychologiques de la personne seront devenues persistantes et intolérables.</w:t>
      </w:r>
    </w:p>
    <w:p w14:paraId="58E78F74" w14:textId="77777777" w:rsidR="00293002" w:rsidRPr="00A833C5" w:rsidRDefault="00293002" w:rsidP="00A833C5">
      <w:pPr>
        <w:rPr>
          <w:b/>
          <w:bCs/>
        </w:rPr>
      </w:pPr>
      <w:r w:rsidRPr="00A833C5">
        <w:rPr>
          <w:b/>
          <w:bCs/>
        </w:rPr>
        <w:lastRenderedPageBreak/>
        <w:t>Recommandation 17</w:t>
      </w:r>
    </w:p>
    <w:p w14:paraId="7F629E44" w14:textId="6592E937" w:rsidR="000E39A3" w:rsidRPr="00061E4D" w:rsidRDefault="00DD4740" w:rsidP="000E39A3">
      <w:pPr>
        <w:pStyle w:val="Citation"/>
      </w:pPr>
      <w:r w:rsidRPr="00061E4D">
        <w:t xml:space="preserve">Ne pas autoriser la demande </w:t>
      </w:r>
      <w:r w:rsidRPr="00061E4D">
        <w:rPr>
          <w:b/>
          <w:bCs/>
        </w:rPr>
        <w:t>anticipée</w:t>
      </w:r>
      <w:r w:rsidRPr="00061E4D">
        <w:t xml:space="preserve"> d’aide médicale à mourir en prévision d’un éventuel accident soudain et inattendu, tel qu’un accident vasculaire cérébral, un traumatisme craniocérébral ou un coma</w:t>
      </w:r>
      <w:r>
        <w:t xml:space="preserve">, mais plutôt promouvoir auprès de la population générale québécoise l’importance de remplir </w:t>
      </w:r>
      <w:r w:rsidRPr="00E0741D">
        <w:t>son formulaire de directives médicales anticipées</w:t>
      </w:r>
      <w:r>
        <w:t>.</w:t>
      </w:r>
    </w:p>
    <w:p w14:paraId="6720F008" w14:textId="77777777" w:rsidR="00293002" w:rsidRPr="00061E4D" w:rsidRDefault="00293002" w:rsidP="00293002"/>
    <w:p w14:paraId="75A55758" w14:textId="77777777" w:rsidR="00293002" w:rsidRPr="00A833C5" w:rsidRDefault="00293002" w:rsidP="00A833C5">
      <w:pPr>
        <w:rPr>
          <w:b/>
          <w:bCs/>
        </w:rPr>
      </w:pPr>
      <w:r w:rsidRPr="00A833C5">
        <w:rPr>
          <w:b/>
          <w:bCs/>
        </w:rPr>
        <w:t>Recommandation 18</w:t>
      </w:r>
    </w:p>
    <w:p w14:paraId="724467BF" w14:textId="15FAB53C" w:rsidR="001C667B" w:rsidRDefault="00DD4740" w:rsidP="000E39A3">
      <w:pPr>
        <w:pStyle w:val="Citation"/>
      </w:pPr>
      <w:r w:rsidRPr="00061E4D">
        <w:t>Nous recommandons que la Commission spéciale n’aille pas de l’avant avec la proposition d’élargir l’accès à l’aide médicale à mourir aux personnes ayant des troubles graves de santé mentale dont la seule condition particulière est ce trouble, et ce, tant qu’il n’y a pas une évidence scientifique reconnue appuyant celle-ci »</w:t>
      </w:r>
      <w:r>
        <w:t>.</w:t>
      </w:r>
    </w:p>
    <w:p w14:paraId="4B965B17" w14:textId="77777777" w:rsidR="000E39A3" w:rsidRPr="000E39A3" w:rsidRDefault="000E39A3" w:rsidP="000E39A3"/>
    <w:p w14:paraId="265CD184" w14:textId="77777777" w:rsidR="00293002" w:rsidRPr="00061E4D" w:rsidRDefault="00293002" w:rsidP="00293002">
      <w:pPr>
        <w:rPr>
          <w:b/>
          <w:bCs/>
        </w:rPr>
      </w:pPr>
      <w:r w:rsidRPr="00061E4D">
        <w:rPr>
          <w:b/>
          <w:bCs/>
        </w:rPr>
        <w:t>Recommandation 19</w:t>
      </w:r>
    </w:p>
    <w:p w14:paraId="078BE512" w14:textId="77777777" w:rsidR="00DD4740" w:rsidRPr="00B27475" w:rsidRDefault="00DD4740" w:rsidP="00DD4740">
      <w:pPr>
        <w:pStyle w:val="Citation"/>
      </w:pPr>
      <w:r w:rsidRPr="00B27475">
        <w:t>Ne pas inclure l’aide médicale à mourir dans le formulaire de directives médicales anticipées.</w:t>
      </w:r>
    </w:p>
    <w:p w14:paraId="056AC1BF" w14:textId="4A40D426" w:rsidR="00293002" w:rsidRPr="00293002" w:rsidRDefault="00DD4740" w:rsidP="00DD4740">
      <w:pPr>
        <w:pStyle w:val="Citation"/>
      </w:pPr>
      <w:r w:rsidRPr="00B27475">
        <w:t>Engager une réflexion sur l’ajout possible d’autres traitements dans la liste de ceux proposés dans le formulaire de directives médicales anticipées.</w:t>
      </w:r>
    </w:p>
    <w:sectPr w:rsidR="00293002" w:rsidRPr="00293002" w:rsidSect="00076FF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6627" w14:textId="77777777" w:rsidR="00F34947" w:rsidRDefault="00F34947" w:rsidP="00C16F0F">
      <w:r>
        <w:separator/>
      </w:r>
    </w:p>
  </w:endnote>
  <w:endnote w:type="continuationSeparator" w:id="0">
    <w:p w14:paraId="037FCED4" w14:textId="77777777" w:rsidR="00F34947" w:rsidRDefault="00F34947" w:rsidP="00C1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81AC" w14:textId="77777777" w:rsidR="007E349E" w:rsidRDefault="007E349E">
    <w:pPr>
      <w:pStyle w:val="Pieddepage"/>
      <w:jc w:val="right"/>
    </w:pPr>
  </w:p>
  <w:p w14:paraId="15245ADC" w14:textId="77777777" w:rsidR="007E349E" w:rsidRDefault="007E34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F456" w14:textId="77777777" w:rsidR="007E349E" w:rsidRDefault="007C692E">
    <w:pPr>
      <w:pStyle w:val="Pieddepage"/>
      <w:jc w:val="right"/>
    </w:pPr>
    <w:r>
      <w:fldChar w:fldCharType="begin"/>
    </w:r>
    <w:r>
      <w:instrText>PAGE   \* MERGEFORMAT</w:instrText>
    </w:r>
    <w:r>
      <w:fldChar w:fldCharType="separate"/>
    </w:r>
    <w:r w:rsidR="007E349E" w:rsidRPr="00297FF1">
      <w:rPr>
        <w:noProof/>
        <w:lang w:val="fr-FR"/>
      </w:rPr>
      <w:t>3</w:t>
    </w:r>
    <w:r>
      <w:rPr>
        <w:noProof/>
        <w:lang w:val="fr-FR"/>
      </w:rPr>
      <w:fldChar w:fldCharType="end"/>
    </w:r>
  </w:p>
  <w:p w14:paraId="041568F4" w14:textId="77777777" w:rsidR="007E349E" w:rsidRDefault="007E34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B5E1" w14:textId="77777777" w:rsidR="007E349E" w:rsidRDefault="007C692E">
    <w:pPr>
      <w:pStyle w:val="Pieddepage"/>
      <w:jc w:val="right"/>
    </w:pPr>
    <w:r>
      <w:fldChar w:fldCharType="begin"/>
    </w:r>
    <w:r>
      <w:instrText>PAGE   \* MERGEFORMAT</w:instrText>
    </w:r>
    <w:r>
      <w:fldChar w:fldCharType="separate"/>
    </w:r>
    <w:r w:rsidR="00F15F69" w:rsidRPr="00F15F69">
      <w:rPr>
        <w:noProof/>
        <w:lang w:val="fr-FR"/>
      </w:rPr>
      <w:t>11</w:t>
    </w:r>
    <w:r>
      <w:rPr>
        <w:noProof/>
        <w:lang w:val="fr-FR"/>
      </w:rPr>
      <w:fldChar w:fldCharType="end"/>
    </w:r>
  </w:p>
  <w:p w14:paraId="790C6E4C" w14:textId="77777777" w:rsidR="007E349E" w:rsidRDefault="007E34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AF88" w14:textId="77777777" w:rsidR="00F34947" w:rsidRDefault="00F34947" w:rsidP="00C16F0F">
      <w:r>
        <w:separator/>
      </w:r>
    </w:p>
  </w:footnote>
  <w:footnote w:type="continuationSeparator" w:id="0">
    <w:p w14:paraId="2D3B9F7E" w14:textId="77777777" w:rsidR="00F34947" w:rsidRDefault="00F34947" w:rsidP="00C16F0F">
      <w:r>
        <w:continuationSeparator/>
      </w:r>
    </w:p>
  </w:footnote>
  <w:footnote w:id="1">
    <w:p w14:paraId="1A14F94D" w14:textId="4EA578AD" w:rsidR="00745FA3" w:rsidRDefault="00745FA3">
      <w:pPr>
        <w:pStyle w:val="Notedebasdepage"/>
      </w:pPr>
      <w:r w:rsidRPr="00061E4D">
        <w:rPr>
          <w:rStyle w:val="Appelnotedebasdep"/>
        </w:rPr>
        <w:footnoteRef/>
      </w:r>
      <w:r w:rsidRPr="00061E4D">
        <w:t xml:space="preserve"> Groupe d’experts sur la question de l’inaptitude et l’aide médicale à mourir (2019). Rapport. </w:t>
      </w:r>
      <w:hyperlink r:id="rId1" w:history="1">
        <w:r w:rsidRPr="00061E4D">
          <w:rPr>
            <w:rStyle w:val="Lienhypertexte"/>
            <w:i/>
            <w:iCs/>
          </w:rPr>
          <w:t>L'aide médicale à mourir pour les personnes en situation d'inaptitude : le juste équilibre entre le droit à l'autodétermination</w:t>
        </w:r>
      </w:hyperlink>
      <w:r w:rsidRPr="00061E4D">
        <w:rPr>
          <w:i/>
          <w:iCs/>
        </w:rPr>
        <w:t>, la compassion et la prudence</w:t>
      </w:r>
      <w:r w:rsidRPr="00061E4D">
        <w:t>. (page 10).</w:t>
      </w:r>
    </w:p>
  </w:footnote>
  <w:footnote w:id="2">
    <w:p w14:paraId="59B87413" w14:textId="2DEDA98F" w:rsidR="002C766A" w:rsidRDefault="002C766A" w:rsidP="002C766A">
      <w:pPr>
        <w:pStyle w:val="Commentaire"/>
      </w:pPr>
      <w:r>
        <w:rPr>
          <w:rStyle w:val="Appelnotedebasdep"/>
        </w:rPr>
        <w:footnoteRef/>
      </w:r>
      <w:r>
        <w:t xml:space="preserve"> </w:t>
      </w:r>
      <w:r w:rsidRPr="00B645FD">
        <w:t xml:space="preserve">Institut national de santé publique du Québec </w:t>
      </w:r>
      <w:r>
        <w:t>(</w:t>
      </w:r>
      <w:r>
        <w:rPr>
          <w:noProof/>
        </w:rPr>
        <w:t xml:space="preserve">2014). </w:t>
      </w:r>
      <w:hyperlink r:id="rId2" w:history="1">
        <w:r w:rsidRPr="00034AF7">
          <w:rPr>
            <w:rStyle w:val="Lienhypertexte"/>
            <w:i/>
            <w:iCs/>
            <w:noProof/>
          </w:rPr>
          <w:t>Avenues politiques : intervenir pour réduire les inégalités sociales de santé</w:t>
        </w:r>
      </w:hyperlink>
      <w:r>
        <w:rPr>
          <w:noProof/>
        </w:rPr>
        <w:t xml:space="preserve">. </w:t>
      </w:r>
      <w:r w:rsidR="008E2B4A">
        <w:rPr>
          <w:noProof/>
        </w:rPr>
        <w:t>(page 3)</w:t>
      </w:r>
    </w:p>
  </w:footnote>
  <w:footnote w:id="3">
    <w:p w14:paraId="1E2ADEA5" w14:textId="0B53D5EE" w:rsidR="002C766A" w:rsidRDefault="002C766A" w:rsidP="002C766A">
      <w:pPr>
        <w:pStyle w:val="Commentaire"/>
      </w:pPr>
      <w:r>
        <w:rPr>
          <w:rStyle w:val="Appelnotedebasdep"/>
        </w:rPr>
        <w:footnoteRef/>
      </w:r>
      <w:r>
        <w:t xml:space="preserve"> </w:t>
      </w:r>
      <w:r>
        <w:rPr>
          <w:noProof/>
        </w:rPr>
        <w:t>Agence de la Santé et des Services sociaux de la Capitale-Nationale (2012)</w:t>
      </w:r>
      <w:bookmarkStart w:id="10" w:name="_Hlk77842088"/>
      <w:r>
        <w:rPr>
          <w:noProof/>
        </w:rPr>
        <w:t xml:space="preserve">. </w:t>
      </w:r>
      <w:hyperlink r:id="rId3" w:history="1">
        <w:r w:rsidRPr="00034AF7">
          <w:rPr>
            <w:rStyle w:val="Lienhypertexte"/>
            <w:i/>
            <w:iCs/>
            <w:noProof/>
          </w:rPr>
          <w:t>Groupes de citoyens particulièrement touchés par les inégalités sociales de santé dans la région de la Capitale-Nationale. Expériences, données, statistiques et études</w:t>
        </w:r>
      </w:hyperlink>
      <w:r w:rsidRPr="00034AF7">
        <w:rPr>
          <w:i/>
          <w:iCs/>
          <w:noProof/>
        </w:rPr>
        <w:t>.</w:t>
      </w:r>
      <w:bookmarkEnd w:id="10"/>
      <w:r w:rsidR="008E2B4A">
        <w:rPr>
          <w:i/>
          <w:iCs/>
          <w:noProof/>
        </w:rPr>
        <w:t xml:space="preserve"> </w:t>
      </w:r>
      <w:r w:rsidR="008E2B4A" w:rsidRPr="00225F1F">
        <w:rPr>
          <w:noProof/>
        </w:rPr>
        <w:t>(page 32)</w:t>
      </w:r>
    </w:p>
  </w:footnote>
  <w:footnote w:id="4">
    <w:p w14:paraId="2F15EA12" w14:textId="77777777" w:rsidR="00686F30" w:rsidRDefault="00686F30" w:rsidP="00686F30">
      <w:pPr>
        <w:pStyle w:val="Notedebasdepage"/>
      </w:pPr>
      <w:r>
        <w:rPr>
          <w:rStyle w:val="Appelnotedebasdep"/>
        </w:rPr>
        <w:footnoteRef/>
      </w:r>
      <w:r>
        <w:t xml:space="preserve"> </w:t>
      </w:r>
      <w:hyperlink r:id="rId4" w:history="1">
        <w:r w:rsidRPr="00154E1B">
          <w:rPr>
            <w:rStyle w:val="Lienhypertexte"/>
          </w:rPr>
          <w:t>Mémoire du professeur Timothy Stainton</w:t>
        </w:r>
      </w:hyperlink>
      <w:r>
        <w:t xml:space="preserve"> (2021), professeur à l’Université de Colombie-Britannique, déposée à la Commission spéciale sur l’évolution de la Loi. (pages 2 à 7).</w:t>
      </w:r>
    </w:p>
  </w:footnote>
  <w:footnote w:id="5">
    <w:p w14:paraId="644406CB" w14:textId="3D2C1042" w:rsidR="00686F30" w:rsidRDefault="00686F30">
      <w:pPr>
        <w:pStyle w:val="Notedebasdepage"/>
      </w:pPr>
      <w:r>
        <w:rPr>
          <w:rStyle w:val="Appelnotedebasdep"/>
        </w:rPr>
        <w:footnoteRef/>
      </w:r>
      <w:r>
        <w:t xml:space="preserve"> Référence précédente</w:t>
      </w:r>
      <w:r w:rsidR="0066408B">
        <w:t>.</w:t>
      </w:r>
      <w:r>
        <w:t xml:space="preserve"> </w:t>
      </w:r>
      <w:r w:rsidR="0066408B">
        <w:t>(</w:t>
      </w:r>
      <w:r>
        <w:t>page 13</w:t>
      </w:r>
      <w:r w:rsidR="0066408B">
        <w:t>)</w:t>
      </w:r>
    </w:p>
  </w:footnote>
  <w:footnote w:id="6">
    <w:p w14:paraId="0EA7A1B4" w14:textId="03B3B5C0" w:rsidR="004B153A" w:rsidRDefault="004B153A" w:rsidP="004B153A">
      <w:pPr>
        <w:pStyle w:val="Notedebasdepage"/>
      </w:pPr>
      <w:r>
        <w:rPr>
          <w:rStyle w:val="Appelnotedebasdep"/>
        </w:rPr>
        <w:footnoteRef/>
      </w:r>
      <w:r>
        <w:t xml:space="preserve"> </w:t>
      </w:r>
      <w:r w:rsidR="0062672E">
        <w:t xml:space="preserve">Office des personnes handicapées du Québec. (2017). </w:t>
      </w:r>
      <w:hyperlink r:id="rId5" w:history="1">
        <w:r w:rsidR="0062672E" w:rsidRPr="007C4603">
          <w:rPr>
            <w:rStyle w:val="Lienhypertexte"/>
            <w:i/>
            <w:iCs/>
          </w:rPr>
          <w:t>Évaluation de l’efficacité de la politique gouvernementale À part entière : Les activités permettant de vivre à domicile pour un véritable exercice du droit à l’égalité</w:t>
        </w:r>
      </w:hyperlink>
      <w:r w:rsidR="0062672E" w:rsidRPr="007C4603">
        <w:t xml:space="preserve"> (page </w:t>
      </w:r>
      <w:r w:rsidR="007C4603" w:rsidRPr="007C4603">
        <w:t>12</w:t>
      </w:r>
      <w:r w:rsidR="0062672E" w:rsidRPr="007C4603">
        <w:t>)</w:t>
      </w:r>
      <w:r w:rsidR="00C51660" w:rsidRPr="007C4603">
        <w:t>.</w:t>
      </w:r>
    </w:p>
  </w:footnote>
  <w:footnote w:id="7">
    <w:p w14:paraId="00449F95" w14:textId="6B3B3136" w:rsidR="001126B1" w:rsidRDefault="001126B1">
      <w:pPr>
        <w:pStyle w:val="Notedebasdepage"/>
      </w:pPr>
      <w:r>
        <w:rPr>
          <w:rStyle w:val="Appelnotedebasdep"/>
        </w:rPr>
        <w:footnoteRef/>
      </w:r>
      <w:r w:rsidR="008E2B4A">
        <w:t xml:space="preserve"> </w:t>
      </w:r>
      <w:r w:rsidR="00F73034" w:rsidRPr="00F73034">
        <w:t xml:space="preserve">Ordre régional des infirmières et des infirmiers de Québec </w:t>
      </w:r>
      <w:r w:rsidR="00F73034">
        <w:t>(2018). « </w:t>
      </w:r>
      <w:hyperlink r:id="rId6" w:history="1">
        <w:r w:rsidR="00F73034" w:rsidRPr="00F73034">
          <w:rPr>
            <w:rStyle w:val="Lienhypertexte"/>
          </w:rPr>
          <w:t>L’aide médicale à mourir : vers où allons-nous? </w:t>
        </w:r>
      </w:hyperlink>
      <w:r w:rsidR="00F73034">
        <w:t xml:space="preserve">», </w:t>
      </w:r>
      <w:r w:rsidR="00F73034" w:rsidRPr="00F73034">
        <w:rPr>
          <w:i/>
          <w:iCs/>
        </w:rPr>
        <w:t>Le cyberjournal</w:t>
      </w:r>
      <w:r w:rsidR="00F73034">
        <w:t>, vol. 9, no3, printemps 2018.</w:t>
      </w:r>
    </w:p>
  </w:footnote>
  <w:footnote w:id="8">
    <w:p w14:paraId="18C96355" w14:textId="3D64B687" w:rsidR="001126B1" w:rsidRPr="001126B1" w:rsidRDefault="001126B1" w:rsidP="001126B1">
      <w:pPr>
        <w:pStyle w:val="Notedebasdepage"/>
      </w:pPr>
      <w:r>
        <w:rPr>
          <w:rStyle w:val="Appelnotedebasdep"/>
        </w:rPr>
        <w:footnoteRef/>
      </w:r>
      <w:r w:rsidRPr="001126B1">
        <w:t xml:space="preserve"> </w:t>
      </w:r>
      <w:r w:rsidR="00F73034" w:rsidRPr="00F73034">
        <w:t>Ministère de la Santé et des Services sociaux</w:t>
      </w:r>
      <w:r w:rsidR="00F73034">
        <w:t>.</w:t>
      </w:r>
      <w:r w:rsidR="00A824B6">
        <w:t xml:space="preserve"> </w:t>
      </w:r>
      <w:r w:rsidR="00F73034">
        <w:t xml:space="preserve">(2021, avril). </w:t>
      </w:r>
      <w:hyperlink r:id="rId7" w:history="1">
        <w:r w:rsidR="00F73034" w:rsidRPr="00F73034">
          <w:rPr>
            <w:rStyle w:val="Lienhypertexte"/>
            <w:i/>
            <w:iCs/>
          </w:rPr>
          <w:t>Politique d'hébergement et de soins et services de longue durée - Des milieux de vie qui nous ressemblent</w:t>
        </w:r>
      </w:hyperlink>
      <w:r w:rsidR="00F73034">
        <w:t xml:space="preserve">. </w:t>
      </w:r>
      <w:r w:rsidRPr="001126B1">
        <w:t>(pa</w:t>
      </w:r>
      <w:r>
        <w:t>ge 5)</w:t>
      </w:r>
    </w:p>
  </w:footnote>
  <w:footnote w:id="9">
    <w:p w14:paraId="056971D5" w14:textId="7F9B293C" w:rsidR="00C0117C" w:rsidRPr="00CD3BC3" w:rsidRDefault="00C0117C">
      <w:pPr>
        <w:pStyle w:val="Notedebasdepage"/>
      </w:pPr>
      <w:r>
        <w:rPr>
          <w:rStyle w:val="Appelnotedebasdep"/>
        </w:rPr>
        <w:footnoteRef/>
      </w:r>
      <w:r w:rsidRPr="00225F1F">
        <w:t xml:space="preserve"> </w:t>
      </w:r>
      <w:r w:rsidR="00CD3BC3" w:rsidRPr="00225F1F">
        <w:t xml:space="preserve">COPHAN. </w:t>
      </w:r>
      <w:r w:rsidR="00CD3BC3" w:rsidRPr="00CD3BC3">
        <w:t>(2012, ma</w:t>
      </w:r>
      <w:r w:rsidR="00CD3BC3">
        <w:t>rs). « </w:t>
      </w:r>
      <w:hyperlink r:id="rId8" w:history="1">
        <w:r w:rsidR="00CD3BC3" w:rsidRPr="00CD3BC3">
          <w:rPr>
            <w:rStyle w:val="Lienhypertexte"/>
          </w:rPr>
          <w:t>La maltraitance envers les personnes handicapées existe : le plan d’action doit en tenir compte</w:t>
        </w:r>
      </w:hyperlink>
      <w:r w:rsidR="00CD3BC3">
        <w:t> »</w:t>
      </w:r>
      <w:r w:rsidR="00B31A98">
        <w:t xml:space="preserve"> (page 11)</w:t>
      </w:r>
      <w:r w:rsidR="00CD3BC3">
        <w:t>.</w:t>
      </w:r>
    </w:p>
  </w:footnote>
  <w:footnote w:id="10">
    <w:p w14:paraId="29B5B07E" w14:textId="2AA87B2E" w:rsidR="00DF239A" w:rsidRDefault="00DF239A" w:rsidP="00B31A98">
      <w:pPr>
        <w:pStyle w:val="Notedebasdepage"/>
      </w:pPr>
      <w:r>
        <w:rPr>
          <w:rStyle w:val="Appelnotedebasdep"/>
        </w:rPr>
        <w:footnoteRef/>
      </w:r>
      <w:r>
        <w:t xml:space="preserve"> </w:t>
      </w:r>
      <w:r w:rsidR="00B31A98">
        <w:t xml:space="preserve">Thériault, J. </w:t>
      </w:r>
      <w:r w:rsidR="00595CD2">
        <w:t xml:space="preserve">(2017). </w:t>
      </w:r>
      <w:r w:rsidR="00B31A98">
        <w:t>« </w:t>
      </w:r>
      <w:hyperlink r:id="rId9" w:history="1">
        <w:r w:rsidR="00B31A98" w:rsidRPr="00595CD2">
          <w:rPr>
            <w:rStyle w:val="Lienhypertexte"/>
          </w:rPr>
          <w:t>Une meilleure compréhension pour une meilleure promotion de la dignité du risque auprès des personnes ayant une déficience intellectuelle : Propositions concrètes pour une application au sein des pratiques en réadaptation</w:t>
        </w:r>
      </w:hyperlink>
      <w:r w:rsidR="00B31A98">
        <w:t xml:space="preserve"> »-Mémoire de maîtrise </w:t>
      </w:r>
      <w:r w:rsidR="00B31A98" w:rsidRPr="00B31A98">
        <w:t>professionnelle en pratiques de la réadaptation</w:t>
      </w:r>
      <w:r w:rsidR="00B31A98">
        <w:t xml:space="preserve">, </w:t>
      </w:r>
      <w:r w:rsidR="00595CD2">
        <w:t>Université de Sherbrooke, page 12.</w:t>
      </w:r>
      <w:r w:rsidR="001F4804">
        <w:t xml:space="preserve"> </w:t>
      </w:r>
    </w:p>
  </w:footnote>
  <w:footnote w:id="11">
    <w:p w14:paraId="2A7B4031" w14:textId="4B885311" w:rsidR="00630F65" w:rsidRPr="00E732EE" w:rsidRDefault="00630F65" w:rsidP="00595CD2">
      <w:pPr>
        <w:pStyle w:val="Notedebasdepage"/>
      </w:pPr>
      <w:r>
        <w:rPr>
          <w:rStyle w:val="Appelnotedebasdep"/>
        </w:rPr>
        <w:footnoteRef/>
      </w:r>
      <w:r>
        <w:t xml:space="preserve"> </w:t>
      </w:r>
      <w:r w:rsidR="00595CD2">
        <w:t>Caouette, M. (2018). « </w:t>
      </w:r>
      <w:hyperlink r:id="rId10" w:history="1">
        <w:r w:rsidR="00595CD2" w:rsidRPr="00595CD2">
          <w:rPr>
            <w:rStyle w:val="Lienhypertexte"/>
          </w:rPr>
          <w:t>Prendre le risque de s’autodéterminer… un pari gagnant!</w:t>
        </w:r>
      </w:hyperlink>
      <w:r w:rsidR="00595CD2">
        <w:t xml:space="preserve"> », </w:t>
      </w:r>
      <w:r w:rsidR="00595CD2" w:rsidRPr="00225F1F">
        <w:rPr>
          <w:i/>
          <w:iCs/>
        </w:rPr>
        <w:t>L’Équité,</w:t>
      </w:r>
      <w:r w:rsidR="00595CD2">
        <w:t xml:space="preserve"> </w:t>
      </w:r>
      <w:r w:rsidR="00595CD2" w:rsidRPr="00595CD2">
        <w:t>Oct</w:t>
      </w:r>
      <w:r w:rsidR="00595CD2">
        <w:t>.</w:t>
      </w:r>
      <w:r w:rsidR="00595CD2" w:rsidRPr="00595CD2">
        <w:t>-Nov</w:t>
      </w:r>
      <w:r w:rsidR="00595CD2">
        <w:t>.</w:t>
      </w:r>
      <w:r w:rsidR="00595CD2" w:rsidRPr="00595CD2">
        <w:t>-Déc</w:t>
      </w:r>
      <w:r w:rsidR="00595CD2">
        <w:t>.</w:t>
      </w:r>
      <w:r w:rsidR="00595CD2" w:rsidRPr="00595CD2">
        <w:t xml:space="preserve"> </w:t>
      </w:r>
      <w:r w:rsidR="00595CD2" w:rsidRPr="00E732EE">
        <w:t>201</w:t>
      </w:r>
      <w:r w:rsidR="00595CD2">
        <w:t>, v</w:t>
      </w:r>
      <w:r w:rsidR="00595CD2" w:rsidRPr="00E732EE">
        <w:t>ol. 29</w:t>
      </w:r>
      <w:r w:rsidR="00595CD2">
        <w:t>, n</w:t>
      </w:r>
      <w:r w:rsidR="00595CD2" w:rsidRPr="00E732EE">
        <w:t>o. 4</w:t>
      </w:r>
      <w:r w:rsidR="00595CD2">
        <w:t>,</w:t>
      </w:r>
      <w:r w:rsidR="00595CD2" w:rsidRPr="00E732EE">
        <w:t xml:space="preserve"> page 3.</w:t>
      </w:r>
    </w:p>
  </w:footnote>
  <w:footnote w:id="12">
    <w:p w14:paraId="08C60F56" w14:textId="18432689" w:rsidR="00110C48" w:rsidRDefault="00110C48" w:rsidP="00A824B6">
      <w:pPr>
        <w:pStyle w:val="Notedebasdepage"/>
      </w:pPr>
      <w:r>
        <w:rPr>
          <w:rStyle w:val="Appelnotedebasdep"/>
        </w:rPr>
        <w:footnoteRef/>
      </w:r>
      <w:r>
        <w:t xml:space="preserve"> </w:t>
      </w:r>
      <w:r w:rsidR="00A824B6">
        <w:t xml:space="preserve">Office des personnes handicapées du Québec. (2017). </w:t>
      </w:r>
      <w:hyperlink r:id="rId11" w:history="1">
        <w:r w:rsidR="00A824B6" w:rsidRPr="00225F1F">
          <w:rPr>
            <w:rStyle w:val="Lienhypertexte"/>
            <w:i/>
            <w:iCs/>
          </w:rPr>
          <w:t>Évaluation de l’efficacité de la politique gouvernementale À part entière : Les activités permettant de vivre à domicile pour un véritable exercice du droit à l’égalité</w:t>
        </w:r>
      </w:hyperlink>
      <w:r w:rsidR="00A824B6">
        <w:t xml:space="preserve"> (page 14)</w:t>
      </w:r>
    </w:p>
  </w:footnote>
  <w:footnote w:id="13">
    <w:p w14:paraId="3A9C4CFF" w14:textId="77777777" w:rsidR="00A824B6" w:rsidRDefault="00A824B6" w:rsidP="00A824B6">
      <w:pPr>
        <w:pStyle w:val="Notedebasdepage"/>
      </w:pPr>
      <w:r>
        <w:rPr>
          <w:rStyle w:val="Appelnotedebasdep"/>
        </w:rPr>
        <w:footnoteRef/>
      </w:r>
      <w:r>
        <w:t xml:space="preserve"> Voir référence précédente </w:t>
      </w:r>
      <w:r w:rsidRPr="001126B1">
        <w:t>(pa</w:t>
      </w:r>
      <w:r>
        <w:t>ge 5)</w:t>
      </w:r>
    </w:p>
  </w:footnote>
  <w:footnote w:id="14">
    <w:p w14:paraId="08AB6A35" w14:textId="4F381B92" w:rsidR="00E732EE" w:rsidRDefault="00E732EE" w:rsidP="00E732EE">
      <w:pPr>
        <w:pStyle w:val="Notedebasdepage"/>
      </w:pPr>
      <w:r>
        <w:rPr>
          <w:rStyle w:val="Appelnotedebasdep"/>
        </w:rPr>
        <w:footnoteRef/>
      </w:r>
      <w:r w:rsidR="00AE1A50" w:rsidRPr="00225F1F">
        <w:t xml:space="preserve">Perron, </w:t>
      </w:r>
      <w:r w:rsidRPr="00AE1A50">
        <w:t>C</w:t>
      </w:r>
      <w:r w:rsidR="00AE1A50" w:rsidRPr="00225F1F">
        <w:t>. (</w:t>
      </w:r>
      <w:r>
        <w:t>2018</w:t>
      </w:r>
      <w:r w:rsidR="00AE1A50">
        <w:t>)</w:t>
      </w:r>
      <w:r>
        <w:t xml:space="preserve">. </w:t>
      </w:r>
      <w:hyperlink r:id="rId12" w:history="1">
        <w:r w:rsidR="00AE1A50" w:rsidRPr="00AE1A50">
          <w:rPr>
            <w:rStyle w:val="Lienhypertexte"/>
          </w:rPr>
          <w:t>« </w:t>
        </w:r>
        <w:r w:rsidRPr="00AE1A50">
          <w:rPr>
            <w:rStyle w:val="Lienhypertexte"/>
          </w:rPr>
          <w:t>Besoins de personnes en fin de vie et leurs perceptions de l'aide médicale à mourir</w:t>
        </w:r>
        <w:r w:rsidR="006014D0">
          <w:rPr>
            <w:rStyle w:val="Lienhypertexte"/>
          </w:rPr>
          <w:t> </w:t>
        </w:r>
        <w:r w:rsidRPr="00AE1A50">
          <w:rPr>
            <w:rStyle w:val="Lienhypertexte"/>
          </w:rPr>
          <w:t>: onze entretiens</w:t>
        </w:r>
        <w:r w:rsidR="00AE1A50" w:rsidRPr="00AE1A50">
          <w:rPr>
            <w:rStyle w:val="Lienhypertexte"/>
          </w:rPr>
          <w:t> »</w:t>
        </w:r>
      </w:hyperlink>
      <w:r w:rsidR="00AE1A50">
        <w:t xml:space="preserve">, Mémoire de maîtrise en travail social, Université du Québec en Outaouais, Résumé : </w:t>
      </w:r>
      <w:r w:rsidR="00AE1A50" w:rsidRPr="00225F1F">
        <w:t>« </w:t>
      </w:r>
      <w:r w:rsidR="00AE1A50" w:rsidRPr="00225F1F">
        <w:rPr>
          <w:rFonts w:cs="Arial"/>
          <w:sz w:val="19"/>
          <w:szCs w:val="19"/>
        </w:rPr>
        <w:t>Les pertes, particulièrement celles liées à l’autonomie, à l’image corporelle, aux rôles, à la reconnaissance,</w:t>
      </w:r>
      <w:r w:rsidR="00AE1A50" w:rsidRPr="00AE1A50">
        <w:rPr>
          <w:rFonts w:cs="Arial"/>
          <w:sz w:val="19"/>
          <w:szCs w:val="19"/>
          <w:shd w:val="clear" w:color="auto" w:fill="EAEAEA"/>
        </w:rPr>
        <w:t xml:space="preserve"> </w:t>
      </w:r>
      <w:r w:rsidR="00AE1A50" w:rsidRPr="00225F1F">
        <w:rPr>
          <w:rFonts w:cs="Arial"/>
          <w:sz w:val="19"/>
          <w:szCs w:val="19"/>
        </w:rPr>
        <w:t>voire aux liens sociaux, sont à la source des plus grandes souffrances pouvant conduire à l’aide médicale à mourir »</w:t>
      </w:r>
    </w:p>
    <w:p w14:paraId="33163797" w14:textId="1868E7BB" w:rsidR="00E732EE" w:rsidRDefault="00AE1A50" w:rsidP="00E732EE">
      <w:pPr>
        <w:pStyle w:val="Notedebasdepage"/>
      </w:pPr>
      <w:r>
        <w:t>et</w:t>
      </w:r>
    </w:p>
    <w:p w14:paraId="34AE7E03" w14:textId="3B2BFE90" w:rsidR="00E732EE" w:rsidRDefault="00AE1A50" w:rsidP="00E732EE">
      <w:pPr>
        <w:pStyle w:val="Notedebasdepage"/>
      </w:pPr>
      <w:r>
        <w:t xml:space="preserve">Gentile, D. (2018, 31 mai). </w:t>
      </w:r>
      <w:hyperlink r:id="rId13" w:history="1">
        <w:r w:rsidRPr="00AE1A50">
          <w:rPr>
            <w:rStyle w:val="Lienhypertexte"/>
          </w:rPr>
          <w:t>« Choisir l'aide médicale à mourir faute de soins palliatifs appropriés? »</w:t>
        </w:r>
      </w:hyperlink>
      <w:r>
        <w:t xml:space="preserve">, Radio-Canada. </w:t>
      </w:r>
      <w:r w:rsidR="00E732EE">
        <w:t>"La pénurie de médecins en soins palliatifs inquiète le Collège des médecins du Québec qui va même jusqu'à affirmer que cette situation aurait forcé certains patients à se tourner vers l'aide médicale à mourir."</w:t>
      </w:r>
    </w:p>
  </w:footnote>
  <w:footnote w:id="15">
    <w:p w14:paraId="0AFBE482" w14:textId="1165F01C" w:rsidR="00182309" w:rsidRPr="00225F1F" w:rsidRDefault="00182309" w:rsidP="00182309">
      <w:pPr>
        <w:pStyle w:val="Commentaire"/>
        <w:rPr>
          <w:noProof/>
          <w:lang w:val="en-CA"/>
        </w:rPr>
      </w:pPr>
      <w:r>
        <w:rPr>
          <w:rStyle w:val="Appelnotedebasdep"/>
        </w:rPr>
        <w:footnoteRef/>
      </w:r>
      <w:r w:rsidRPr="00225F1F">
        <w:rPr>
          <w:lang w:val="en-CA"/>
        </w:rPr>
        <w:t xml:space="preserve"> </w:t>
      </w:r>
      <w:r w:rsidRPr="00182309">
        <w:rPr>
          <w:lang w:val="en-CA"/>
        </w:rPr>
        <w:t xml:space="preserve">Divya Nagraj </w:t>
      </w:r>
      <w:r>
        <w:rPr>
          <w:lang w:val="en-CA"/>
        </w:rPr>
        <w:t xml:space="preserve">et </w:t>
      </w:r>
      <w:r w:rsidRPr="00182309">
        <w:rPr>
          <w:lang w:val="en-CA"/>
        </w:rPr>
        <w:t>Hatim A Omar</w:t>
      </w:r>
      <w:r>
        <w:rPr>
          <w:lang w:val="en-CA"/>
        </w:rPr>
        <w:t xml:space="preserve">. </w:t>
      </w:r>
      <w:hyperlink r:id="rId14" w:history="1">
        <w:r w:rsidRPr="00225F1F">
          <w:rPr>
            <w:rStyle w:val="Lienhypertexte"/>
            <w:lang w:val="en-CA"/>
          </w:rPr>
          <w:t>« Disability and suicide: A review »</w:t>
        </w:r>
      </w:hyperlink>
      <w:r w:rsidR="00414804">
        <w:rPr>
          <w:lang w:val="en-CA"/>
        </w:rPr>
        <w:t>,</w:t>
      </w:r>
      <w:r>
        <w:rPr>
          <w:lang w:val="en-CA"/>
        </w:rPr>
        <w:t xml:space="preserve"> </w:t>
      </w:r>
      <w:r w:rsidRPr="00225F1F">
        <w:rPr>
          <w:i/>
          <w:iCs/>
          <w:lang w:val="en-CA"/>
        </w:rPr>
        <w:t>Interrnational Journal of Child Health and Human Development</w:t>
      </w:r>
      <w:r w:rsidRPr="00182309">
        <w:rPr>
          <w:lang w:val="en-CA"/>
        </w:rPr>
        <w:t>, suppl. Special Issue: Youth Suicide Prevention; Hauppauge Vol. 10, N° 4, (2017): 345-354</w:t>
      </w:r>
      <w:r>
        <w:rPr>
          <w:lang w:val="en-CA"/>
        </w:rPr>
        <w:t xml:space="preserve"> </w:t>
      </w:r>
    </w:p>
    <w:p w14:paraId="7C79FE6E" w14:textId="0BE08AB3" w:rsidR="00182309" w:rsidRPr="00225F1F" w:rsidRDefault="00182309" w:rsidP="00182309">
      <w:pPr>
        <w:pStyle w:val="Commentaire"/>
      </w:pPr>
      <w:r w:rsidRPr="00225F1F">
        <w:t>et</w:t>
      </w:r>
    </w:p>
    <w:p w14:paraId="7BA4579C" w14:textId="34213CDF" w:rsidR="00182309" w:rsidRPr="00225F1F" w:rsidRDefault="00182309" w:rsidP="00182309">
      <w:pPr>
        <w:pStyle w:val="Commentaire"/>
        <w:rPr>
          <w:lang w:val="en-CA"/>
        </w:rPr>
      </w:pPr>
      <w:r w:rsidRPr="00225F1F">
        <w:t>Lutz, J. et Fiske,</w:t>
      </w:r>
      <w:r w:rsidR="00414804" w:rsidRPr="00225F1F">
        <w:t xml:space="preserve"> A. </w:t>
      </w:r>
      <w:r w:rsidR="00414804">
        <w:t xml:space="preserve">(2018). </w:t>
      </w:r>
      <w:r w:rsidR="00414804" w:rsidRPr="00414804">
        <w:rPr>
          <w:lang w:val="en-CA"/>
        </w:rPr>
        <w:t>« </w:t>
      </w:r>
      <w:hyperlink r:id="rId15" w:history="1">
        <w:r w:rsidRPr="00414804">
          <w:rPr>
            <w:rStyle w:val="Lienhypertexte"/>
            <w:lang w:val="en-CA"/>
          </w:rPr>
          <w:t>Functional disability and suicidal behavior in middle-aged and older adults: A systematic critical review</w:t>
        </w:r>
      </w:hyperlink>
      <w:r w:rsidR="00414804" w:rsidRPr="00414804">
        <w:rPr>
          <w:lang w:val="en-CA"/>
        </w:rPr>
        <w:t> »</w:t>
      </w:r>
      <w:r w:rsidRPr="00182309">
        <w:rPr>
          <w:lang w:val="en-CA"/>
        </w:rPr>
        <w:t>,</w:t>
      </w:r>
      <w:r w:rsidR="00414804" w:rsidRPr="00225F1F">
        <w:rPr>
          <w:lang w:val="en-CA"/>
        </w:rPr>
        <w:t xml:space="preserve"> </w:t>
      </w:r>
      <w:r w:rsidRPr="00225F1F">
        <w:rPr>
          <w:i/>
          <w:iCs/>
          <w:lang w:val="en-CA"/>
        </w:rPr>
        <w:t>Journal of Affective Disorders</w:t>
      </w:r>
      <w:r w:rsidRPr="00182309">
        <w:rPr>
          <w:lang w:val="en-CA"/>
        </w:rPr>
        <w:t>,</w:t>
      </w:r>
      <w:r w:rsidR="00414804">
        <w:rPr>
          <w:lang w:val="en-CA"/>
        </w:rPr>
        <w:t xml:space="preserve"> </w:t>
      </w:r>
      <w:r w:rsidRPr="00182309">
        <w:rPr>
          <w:lang w:val="en-CA"/>
        </w:rPr>
        <w:t>Vol</w:t>
      </w:r>
      <w:r w:rsidR="00414804">
        <w:rPr>
          <w:lang w:val="en-CA"/>
        </w:rPr>
        <w:t>.</w:t>
      </w:r>
      <w:r w:rsidRPr="00182309">
        <w:rPr>
          <w:lang w:val="en-CA"/>
        </w:rPr>
        <w:t xml:space="preserve"> 227,</w:t>
      </w:r>
      <w:r w:rsidR="00414804">
        <w:rPr>
          <w:lang w:val="en-CA"/>
        </w:rPr>
        <w:t xml:space="preserve"> p. </w:t>
      </w:r>
      <w:r w:rsidRPr="00414804">
        <w:rPr>
          <w:lang w:val="en-CA"/>
        </w:rPr>
        <w:t>260-271</w:t>
      </w:r>
      <w:r w:rsidR="00414804">
        <w:rPr>
          <w:lang w:val="en-CA"/>
        </w:rPr>
        <w:t>.</w:t>
      </w:r>
    </w:p>
    <w:p w14:paraId="644A25ED" w14:textId="6F22AC6E" w:rsidR="00182309" w:rsidRPr="00225F1F" w:rsidRDefault="00182309">
      <w:pPr>
        <w:pStyle w:val="Notedebasdepage"/>
        <w:rPr>
          <w:lang w:val="en-CA"/>
        </w:rPr>
      </w:pPr>
    </w:p>
  </w:footnote>
  <w:footnote w:id="16">
    <w:p w14:paraId="6224F7A3" w14:textId="4F4F387F" w:rsidR="00AB556C" w:rsidRPr="00061E4D" w:rsidRDefault="00AB556C" w:rsidP="00926077">
      <w:pPr>
        <w:pStyle w:val="Notedebasdepage"/>
        <w:jc w:val="both"/>
      </w:pPr>
      <w:r w:rsidRPr="00061E4D">
        <w:rPr>
          <w:rStyle w:val="Appelnotedebasdep"/>
        </w:rPr>
        <w:footnoteRef/>
      </w:r>
      <w:r w:rsidRPr="00061E4D">
        <w:t xml:space="preserve"> Cela implique par exemple que les campagnes de santé publique, les programmes de prévention des CLSC, etc. soient </w:t>
      </w:r>
      <w:r w:rsidR="00142B28" w:rsidRPr="00061E4D">
        <w:t xml:space="preserve">disponibles en </w:t>
      </w:r>
      <w:r w:rsidRPr="00061E4D">
        <w:t xml:space="preserve">braille, gros caractères, langage simplifié, LSQ afin de limiter </w:t>
      </w:r>
      <w:r w:rsidR="00142B28" w:rsidRPr="00061E4D">
        <w:t>l’</w:t>
      </w:r>
      <w:r w:rsidRPr="00061E4D">
        <w:t xml:space="preserve">exposition </w:t>
      </w:r>
      <w:r w:rsidR="00142B28" w:rsidRPr="00061E4D">
        <w:t xml:space="preserve">des personnes en situation de handicap </w:t>
      </w:r>
      <w:r w:rsidRPr="00061E4D">
        <w:t>à des facteurs aggravant leur santé, comme le tabagisme, la violence faite aux femmes, etc.</w:t>
      </w:r>
    </w:p>
  </w:footnote>
  <w:footnote w:id="17">
    <w:p w14:paraId="40F441FD" w14:textId="6CC785B9" w:rsidR="00FD66B8" w:rsidRPr="00FD66B8" w:rsidRDefault="00FD66B8">
      <w:pPr>
        <w:pStyle w:val="Notedebasdepage"/>
      </w:pPr>
      <w:r w:rsidRPr="00061E4D">
        <w:rPr>
          <w:rStyle w:val="Appelnotedebasdep"/>
        </w:rPr>
        <w:footnoteRef/>
      </w:r>
      <w:r w:rsidRPr="00061E4D">
        <w:t xml:space="preserve"> </w:t>
      </w:r>
      <w:r w:rsidR="00A50EFF" w:rsidRPr="00061E4D">
        <w:t xml:space="preserve">Ouellet, V. (2021, 18 mars). </w:t>
      </w:r>
      <w:r w:rsidRPr="00061E4D">
        <w:rPr>
          <w:noProof/>
        </w:rPr>
        <w:t>« </w:t>
      </w:r>
      <w:hyperlink r:id="rId16" w:history="1">
        <w:r w:rsidRPr="00061E4D">
          <w:rPr>
            <w:rStyle w:val="Lienhypertexte"/>
            <w:noProof/>
          </w:rPr>
          <w:t>Après les mesures sanitaires s'enchaînent les SOS en santé mentale</w:t>
        </w:r>
      </w:hyperlink>
      <w:r w:rsidRPr="00061E4D">
        <w:rPr>
          <w:noProof/>
        </w:rPr>
        <w:t> »,</w:t>
      </w:r>
      <w:r>
        <w:rPr>
          <w:noProof/>
        </w:rPr>
        <w:t xml:space="preserve"> </w:t>
      </w:r>
      <w:r w:rsidRPr="00225F1F">
        <w:rPr>
          <w:i/>
          <w:iCs/>
          <w:noProof/>
        </w:rPr>
        <w:t>Radio-Canada</w:t>
      </w:r>
    </w:p>
  </w:footnote>
  <w:footnote w:id="18">
    <w:p w14:paraId="4372C4CF" w14:textId="68E8928C" w:rsidR="00AF2554" w:rsidRPr="00AF2554" w:rsidRDefault="00AF2554" w:rsidP="00AF2554">
      <w:pPr>
        <w:pStyle w:val="Notedebasdepage"/>
      </w:pPr>
      <w:r>
        <w:rPr>
          <w:rStyle w:val="Appelnotedebasdep"/>
        </w:rPr>
        <w:footnoteRef/>
      </w:r>
      <w:r w:rsidRPr="00C12F45">
        <w:rPr>
          <w:lang w:val="en-CA"/>
        </w:rPr>
        <w:t xml:space="preserve"> </w:t>
      </w:r>
      <w:r w:rsidRPr="00C12F45">
        <w:rPr>
          <w:noProof/>
          <w:lang w:val="en-CA"/>
        </w:rPr>
        <w:t xml:space="preserve">Wiebe, E., Green, S., Schiff, B. (2018). </w:t>
      </w:r>
      <w:r>
        <w:rPr>
          <w:rFonts w:eastAsia="MS Mincho" w:cs="Arial"/>
        </w:rPr>
        <w:t>« </w:t>
      </w:r>
      <w:hyperlink r:id="rId17" w:history="1">
        <w:r w:rsidRPr="00AF2554">
          <w:rPr>
            <w:rStyle w:val="Lienhypertexte"/>
            <w:noProof/>
          </w:rPr>
          <w:t>Enseigner l’aide médicale à mourir aux résidents</w:t>
        </w:r>
      </w:hyperlink>
      <w:r>
        <w:rPr>
          <w:noProof/>
        </w:rPr>
        <w:t xml:space="preserve"> », </w:t>
      </w:r>
      <w:r w:rsidRPr="00225F1F">
        <w:rPr>
          <w:i/>
          <w:iCs/>
          <w:noProof/>
        </w:rPr>
        <w:t>Le médecin de famille Canadien</w:t>
      </w:r>
      <w:r>
        <w:rPr>
          <w:noProof/>
        </w:rPr>
        <w:t>, avril 2018</w:t>
      </w:r>
      <w:r w:rsidRPr="00AF2554">
        <w:rPr>
          <w:noProof/>
        </w:rPr>
        <w:t xml:space="preserve">, </w:t>
      </w:r>
      <w:r>
        <w:rPr>
          <w:noProof/>
        </w:rPr>
        <w:t xml:space="preserve">vol. </w:t>
      </w:r>
      <w:r w:rsidRPr="00AF2554">
        <w:rPr>
          <w:noProof/>
        </w:rPr>
        <w:t>64</w:t>
      </w:r>
      <w:r>
        <w:rPr>
          <w:noProof/>
        </w:rPr>
        <w:t xml:space="preserve">, no </w:t>
      </w:r>
      <w:r w:rsidRPr="00AF2554">
        <w:rPr>
          <w:noProof/>
        </w:rPr>
        <w:t>4</w:t>
      </w:r>
      <w:r>
        <w:rPr>
          <w:noProof/>
        </w:rPr>
        <w:t>, p.</w:t>
      </w:r>
      <w:r w:rsidRPr="00AF2554">
        <w:rPr>
          <w:noProof/>
        </w:rPr>
        <w:t xml:space="preserve"> e199-e200</w:t>
      </w:r>
    </w:p>
  </w:footnote>
  <w:footnote w:id="19">
    <w:p w14:paraId="0CFA5FCF" w14:textId="3F4DA6E6" w:rsidR="00DA1335" w:rsidRPr="00DA1335" w:rsidRDefault="00DA1335">
      <w:pPr>
        <w:pStyle w:val="Notedebasdepage"/>
      </w:pPr>
      <w:r>
        <w:rPr>
          <w:rStyle w:val="Appelnotedebasdep"/>
        </w:rPr>
        <w:footnoteRef/>
      </w:r>
      <w:r w:rsidRPr="00DA1335">
        <w:t xml:space="preserve"> Ministère de </w:t>
      </w:r>
      <w:r>
        <w:t>la Santé et des Services sociaux (2020, 21 janv.). « </w:t>
      </w:r>
      <w:hyperlink r:id="rId18" w:history="1">
        <w:r w:rsidRPr="00DA1335">
          <w:rPr>
            <w:rStyle w:val="Lienhypertexte"/>
          </w:rPr>
          <w:t>Le gouvernement du Québec se conformera au jugement rendu dans la cause Truchon et Gladu</w:t>
        </w:r>
      </w:hyperlink>
      <w:r>
        <w:t> »</w:t>
      </w:r>
    </w:p>
  </w:footnote>
  <w:footnote w:id="20">
    <w:p w14:paraId="1F50C5BF" w14:textId="506B9088" w:rsidR="00994CCA" w:rsidRDefault="00994CCA" w:rsidP="00926077">
      <w:pPr>
        <w:pStyle w:val="Notedebasdepage"/>
        <w:jc w:val="both"/>
      </w:pPr>
      <w:r>
        <w:rPr>
          <w:rStyle w:val="Appelnotedebasdep"/>
        </w:rPr>
        <w:footnoteRef/>
      </w:r>
      <w:r>
        <w:t xml:space="preserve"> </w:t>
      </w:r>
      <w:r w:rsidR="00AF2554">
        <w:t>Daoust, A. (201</w:t>
      </w:r>
      <w:r w:rsidR="002700A0">
        <w:t>8</w:t>
      </w:r>
      <w:r w:rsidR="00AF2554">
        <w:t xml:space="preserve">, </w:t>
      </w:r>
      <w:r w:rsidR="002700A0">
        <w:t>14 juillet</w:t>
      </w:r>
      <w:r w:rsidR="00AF2554">
        <w:t>).</w:t>
      </w:r>
      <w:r>
        <w:t xml:space="preserve"> </w:t>
      </w:r>
      <w:r w:rsidR="00AF2554">
        <w:t>« </w:t>
      </w:r>
      <w:hyperlink r:id="rId19" w:history="1">
        <w:r w:rsidR="002700A0" w:rsidRPr="002700A0">
          <w:rPr>
            <w:rStyle w:val="Lienhypertexte"/>
          </w:rPr>
          <w:t>Inégalités dans l'accès à un médecin de famille</w:t>
        </w:r>
      </w:hyperlink>
      <w:r w:rsidR="00AF2554">
        <w:t> »</w:t>
      </w:r>
      <w:r w:rsidR="002700A0">
        <w:t xml:space="preserve">, </w:t>
      </w:r>
      <w:r w:rsidR="002700A0" w:rsidRPr="00225F1F">
        <w:rPr>
          <w:i/>
          <w:iCs/>
        </w:rPr>
        <w:t>Le Devoir</w:t>
      </w:r>
      <w:r w:rsidR="002700A0">
        <w:t>.</w:t>
      </w:r>
    </w:p>
  </w:footnote>
  <w:footnote w:id="21">
    <w:p w14:paraId="73FF000A" w14:textId="0A300E96" w:rsidR="002700A0" w:rsidRDefault="002700A0">
      <w:pPr>
        <w:pStyle w:val="Notedebasdepage"/>
      </w:pPr>
      <w:r>
        <w:rPr>
          <w:rStyle w:val="Appelnotedebasdep"/>
        </w:rPr>
        <w:footnoteRef/>
      </w:r>
      <w:r>
        <w:t xml:space="preserve"> Plante, C. « </w:t>
      </w:r>
      <w:hyperlink r:id="rId20" w:history="1">
        <w:r w:rsidRPr="003205A9">
          <w:rPr>
            <w:rStyle w:val="Lienhypertexte"/>
          </w:rPr>
          <w:t>Presque deux fois plus de Québécois en attente depuis trois ans</w:t>
        </w:r>
      </w:hyperlink>
      <w:r>
        <w:t xml:space="preserve"> », </w:t>
      </w:r>
      <w:r w:rsidRPr="00225F1F">
        <w:rPr>
          <w:i/>
          <w:iCs/>
        </w:rPr>
        <w:t>La Presse</w:t>
      </w:r>
      <w:r>
        <w:t>.</w:t>
      </w:r>
      <w:r w:rsidRPr="002700A0">
        <w:t xml:space="preserve"> </w:t>
      </w:r>
    </w:p>
  </w:footnote>
  <w:footnote w:id="22">
    <w:p w14:paraId="19BC4331" w14:textId="16A65480" w:rsidR="00AA595D" w:rsidRDefault="00AA595D">
      <w:pPr>
        <w:pStyle w:val="Notedebasdepage"/>
      </w:pPr>
      <w:r>
        <w:rPr>
          <w:rStyle w:val="Appelnotedebasdep"/>
        </w:rPr>
        <w:footnoteRef/>
      </w:r>
      <w:r>
        <w:t xml:space="preserve"> Porter, I. (2018, 18 mai). « </w:t>
      </w:r>
      <w:hyperlink r:id="rId21" w:history="1">
        <w:r w:rsidRPr="00AA595D">
          <w:rPr>
            <w:rStyle w:val="Lienhypertexte"/>
          </w:rPr>
          <w:t>Les plus vulnérables doivent s’armer de patience pour un médecin de famillle</w:t>
        </w:r>
      </w:hyperlink>
      <w:r>
        <w:t xml:space="preserve"> », </w:t>
      </w:r>
      <w:r w:rsidRPr="00AA595D">
        <w:rPr>
          <w:i/>
          <w:iCs/>
        </w:rPr>
        <w:t>Le Devoir</w:t>
      </w:r>
      <w:r>
        <w:t>.</w:t>
      </w:r>
    </w:p>
  </w:footnote>
  <w:footnote w:id="23">
    <w:p w14:paraId="0F6402AF" w14:textId="771B9557" w:rsidR="003205A9" w:rsidRDefault="003205A9" w:rsidP="003205A9">
      <w:pPr>
        <w:pStyle w:val="Notedebasdepage"/>
      </w:pPr>
      <w:r>
        <w:rPr>
          <w:rStyle w:val="Appelnotedebasdep"/>
        </w:rPr>
        <w:footnoteRef/>
      </w:r>
      <w:r>
        <w:t xml:space="preserve"> </w:t>
      </w:r>
      <w:r w:rsidRPr="003205A9">
        <w:t>Vérificateur général du Québec</w:t>
      </w:r>
      <w:r w:rsidR="00F23C5F">
        <w:t xml:space="preserve">. (2020, octobre). </w:t>
      </w:r>
      <w:hyperlink r:id="rId22" w:history="1">
        <w:r w:rsidRPr="00225F1F">
          <w:rPr>
            <w:rStyle w:val="Lienhypertexte"/>
            <w:i/>
            <w:iCs/>
          </w:rPr>
          <w:t>Mesure de l’accès aux soins de santé et aux services sociaux: indicateurs</w:t>
        </w:r>
      </w:hyperlink>
      <w:r w:rsidRPr="00D710C5">
        <w:rPr>
          <w:noProof/>
        </w:rPr>
        <w:t xml:space="preserve"> </w:t>
      </w:r>
      <w:r w:rsidR="00F23C5F">
        <w:rPr>
          <w:noProof/>
        </w:rPr>
        <w:t>(page 10).</w:t>
      </w:r>
    </w:p>
  </w:footnote>
  <w:footnote w:id="24">
    <w:p w14:paraId="3F1D9EF9" w14:textId="77777777" w:rsidR="0083257A" w:rsidRDefault="0083257A" w:rsidP="0083257A">
      <w:pPr>
        <w:pStyle w:val="Notedebasdepage"/>
      </w:pPr>
      <w:r>
        <w:rPr>
          <w:rStyle w:val="Appelnotedebasdep"/>
        </w:rPr>
        <w:footnoteRef/>
      </w:r>
      <w:r>
        <w:t xml:space="preserve"> Ministère de la Santé et des Services sociaux. (2021, 14 juin). </w:t>
      </w:r>
      <w:hyperlink r:id="rId23" w:history="1">
        <w:r w:rsidRPr="00225F1F">
          <w:rPr>
            <w:rStyle w:val="Lienhypertexte"/>
            <w:i/>
            <w:iCs/>
          </w:rPr>
          <w:t>Orientations ministérielles pour la mise en place des mécanismes attendus pour l’</w:t>
        </w:r>
        <w:bookmarkStart w:id="22" w:name="_Hlk78883196"/>
        <w:r w:rsidRPr="00225F1F">
          <w:rPr>
            <w:rStyle w:val="Lienhypertexte"/>
            <w:i/>
            <w:iCs/>
          </w:rPr>
          <w:t>accompagnement de personnes vulnérables lors de l’application du protocole national de priorisation pour l’accès aux soins intensifs (adultes) en contexte extrême de pandémie</w:t>
        </w:r>
        <w:bookmarkEnd w:id="22"/>
        <w:r>
          <w:rPr>
            <w:rStyle w:val="Lienhypertexte"/>
          </w:rPr>
          <w:t xml:space="preserve"> (Nouvelle directive </w:t>
        </w:r>
        <w:r w:rsidRPr="00AD7934">
          <w:rPr>
            <w:rStyle w:val="Lienhypertexte"/>
          </w:rPr>
          <w:t>DGPPFC-041</w:t>
        </w:r>
        <w:r>
          <w:rPr>
            <w:rStyle w:val="Lienhypertexte"/>
          </w:rPr>
          <w:t>)</w:t>
        </w:r>
      </w:hyperlink>
    </w:p>
  </w:footnote>
  <w:footnote w:id="25">
    <w:p w14:paraId="7D0CAF64" w14:textId="77777777" w:rsidR="003F17CA" w:rsidRDefault="003F17CA" w:rsidP="003F17CA">
      <w:pPr>
        <w:pStyle w:val="Notedebasdepage"/>
        <w:jc w:val="both"/>
      </w:pPr>
      <w:r>
        <w:rPr>
          <w:rStyle w:val="Appelnotedebasdep"/>
        </w:rPr>
        <w:footnoteRef/>
      </w:r>
      <w:r>
        <w:t xml:space="preserve"> Collège des médecins du Québec. (2018, septembre). </w:t>
      </w:r>
      <w:hyperlink r:id="rId24" w:history="1">
        <w:r w:rsidRPr="00AD7934">
          <w:rPr>
            <w:rStyle w:val="Lienhypertexte"/>
            <w:i/>
            <w:iCs/>
          </w:rPr>
          <w:t>Le médecin et le consentement aux soins. Document de référence</w:t>
        </w:r>
      </w:hyperlink>
      <w:r>
        <w:t>. (page 24) (consulté le 13 juillet 2021).</w:t>
      </w:r>
    </w:p>
  </w:footnote>
  <w:footnote w:id="26">
    <w:p w14:paraId="18366398" w14:textId="046F18EC" w:rsidR="007E349E" w:rsidRDefault="007E349E" w:rsidP="00926077">
      <w:pPr>
        <w:pStyle w:val="Notedebasdepage"/>
        <w:jc w:val="both"/>
      </w:pPr>
      <w:r>
        <w:rPr>
          <w:rStyle w:val="Appelnotedebasdep"/>
        </w:rPr>
        <w:footnoteRef/>
      </w:r>
      <w:r>
        <w:t xml:space="preserve"> </w:t>
      </w:r>
      <w:r w:rsidRPr="00F30EBB">
        <w:t xml:space="preserve">Ministère de la Santé et des Services sociaux. </w:t>
      </w:r>
      <w:r w:rsidR="00671407">
        <w:t>(</w:t>
      </w:r>
      <w:r w:rsidRPr="00F30EBB">
        <w:t>2006</w:t>
      </w:r>
      <w:r w:rsidR="00671407">
        <w:t>)</w:t>
      </w:r>
      <w:r w:rsidRPr="00F30EBB">
        <w:t xml:space="preserve">. </w:t>
      </w:r>
      <w:hyperlink r:id="rId25" w:history="1">
        <w:r w:rsidRPr="00580D60">
          <w:rPr>
            <w:rStyle w:val="Lienhypertexte"/>
            <w:i/>
          </w:rPr>
          <w:t>L’accès aux documents offerts au public pour les personnes handicapées : Politique gouvernementale</w:t>
        </w:r>
      </w:hyperlink>
      <w:r>
        <w:rPr>
          <w:i/>
        </w:rPr>
        <w:t>.</w:t>
      </w:r>
    </w:p>
  </w:footnote>
  <w:footnote w:id="27">
    <w:p w14:paraId="2EC6C334" w14:textId="77777777" w:rsidR="002817EA" w:rsidRDefault="002817EA" w:rsidP="002817EA">
      <w:pPr>
        <w:pStyle w:val="Notedebasdepage"/>
      </w:pPr>
      <w:r>
        <w:rPr>
          <w:rStyle w:val="Appelnotedebasdep"/>
        </w:rPr>
        <w:footnoteRef/>
      </w:r>
      <w:r>
        <w:t xml:space="preserve"> </w:t>
      </w:r>
      <w:r w:rsidRPr="00C92EE9">
        <w:t xml:space="preserve">Curateur public du Québec (mai 2021). </w:t>
      </w:r>
      <w:hyperlink r:id="rId26" w:history="1">
        <w:r w:rsidRPr="00225F1F">
          <w:rPr>
            <w:rStyle w:val="Lienhypertexte"/>
            <w:i/>
            <w:iCs/>
          </w:rPr>
          <w:t>Mémoire à la Commission spéciale sur l’évolution de la Loi concernant les soins de fin de vie</w:t>
        </w:r>
      </w:hyperlink>
      <w:r w:rsidRPr="00225F1F">
        <w:rPr>
          <w:i/>
          <w:iCs/>
        </w:rPr>
        <w:t>.</w:t>
      </w:r>
      <w:r>
        <w:rPr>
          <w:i/>
          <w:iCs/>
        </w:rPr>
        <w:t xml:space="preserve"> </w:t>
      </w:r>
      <w:r w:rsidRPr="00225F1F">
        <w:t xml:space="preserve">(page </w:t>
      </w:r>
      <w:r>
        <w:t>6</w:t>
      </w:r>
      <w:r w:rsidRPr="00225F1F">
        <w:t>)</w:t>
      </w:r>
    </w:p>
  </w:footnote>
  <w:footnote w:id="28">
    <w:p w14:paraId="1E175689" w14:textId="46E20B8C" w:rsidR="002817EA" w:rsidRDefault="002817EA">
      <w:pPr>
        <w:pStyle w:val="Notedebasdepage"/>
      </w:pPr>
      <w:r>
        <w:rPr>
          <w:rStyle w:val="Appelnotedebasdep"/>
        </w:rPr>
        <w:footnoteRef/>
      </w:r>
      <w:r>
        <w:t xml:space="preserve"> Curateur public du Québec. « </w:t>
      </w:r>
      <w:hyperlink r:id="rId27" w:history="1">
        <w:r w:rsidRPr="002817EA">
          <w:rPr>
            <w:rStyle w:val="Lienhypertexte"/>
          </w:rPr>
          <w:t>Le Point sur... Le consentement aux soins</w:t>
        </w:r>
      </w:hyperlink>
      <w:r>
        <w:t xml:space="preserve"> », </w:t>
      </w:r>
      <w:r w:rsidRPr="00061E4D">
        <w:rPr>
          <w:i/>
          <w:iCs/>
        </w:rPr>
        <w:t>Le Point</w:t>
      </w:r>
      <w:r>
        <w:t>, vol. 9, no 2 (page 2).</w:t>
      </w:r>
    </w:p>
  </w:footnote>
  <w:footnote w:id="29">
    <w:p w14:paraId="6275FD93" w14:textId="0C5A2998" w:rsidR="00A3489E" w:rsidRDefault="00A3489E" w:rsidP="00926077">
      <w:pPr>
        <w:pStyle w:val="Notedebasdepage"/>
        <w:jc w:val="both"/>
      </w:pPr>
      <w:r>
        <w:rPr>
          <w:rStyle w:val="Appelnotedebasdep"/>
        </w:rPr>
        <w:footnoteRef/>
      </w:r>
      <w:r>
        <w:t xml:space="preserve"> </w:t>
      </w:r>
      <w:r w:rsidR="00C92EE9" w:rsidRPr="00C92EE9">
        <w:t xml:space="preserve">Curateur public du Québec (mai 2021). </w:t>
      </w:r>
      <w:hyperlink r:id="rId28" w:history="1">
        <w:r w:rsidR="00C92EE9" w:rsidRPr="00225F1F">
          <w:rPr>
            <w:rStyle w:val="Lienhypertexte"/>
            <w:i/>
            <w:iCs/>
          </w:rPr>
          <w:t>Mémoire à la Commission spéciale sur l’évolution de la Loi concernant les soins de fin de vie</w:t>
        </w:r>
      </w:hyperlink>
      <w:r w:rsidR="00C92EE9" w:rsidRPr="00225F1F">
        <w:rPr>
          <w:i/>
          <w:iCs/>
        </w:rPr>
        <w:t>.</w:t>
      </w:r>
      <w:r w:rsidR="00C92EE9">
        <w:rPr>
          <w:i/>
          <w:iCs/>
        </w:rPr>
        <w:t xml:space="preserve"> </w:t>
      </w:r>
      <w:r w:rsidR="00C92EE9" w:rsidRPr="00225F1F">
        <w:t>(page 7)</w:t>
      </w:r>
    </w:p>
  </w:footnote>
  <w:footnote w:id="30">
    <w:p w14:paraId="7ED89696" w14:textId="21665515" w:rsidR="00FE0180" w:rsidRDefault="00FE0180" w:rsidP="004F06CE">
      <w:pPr>
        <w:pStyle w:val="Notedebasdepage"/>
      </w:pPr>
      <w:r>
        <w:rPr>
          <w:rStyle w:val="Appelnotedebasdep"/>
        </w:rPr>
        <w:footnoteRef/>
      </w:r>
      <w:r>
        <w:t xml:space="preserve"> Recommandation inspirée de </w:t>
      </w:r>
      <w:r w:rsidR="004F06CE">
        <w:t>Cantin, A. (2019). « </w:t>
      </w:r>
      <w:hyperlink r:id="rId29" w:history="1">
        <w:r w:rsidR="004F06CE" w:rsidRPr="004F06CE">
          <w:rPr>
            <w:rStyle w:val="Lienhypertexte"/>
          </w:rPr>
          <w:t>Quelle est la place du soutien psychosocial dans le</w:t>
        </w:r>
        <w:r w:rsidR="00C92EE9">
          <w:rPr>
            <w:rStyle w:val="Lienhypertexte"/>
          </w:rPr>
          <w:t xml:space="preserve"> </w:t>
        </w:r>
        <w:r w:rsidR="004F06CE" w:rsidRPr="004F06CE">
          <w:rPr>
            <w:rStyle w:val="Lienhypertexte"/>
          </w:rPr>
          <w:t>processus d’aide médicale à mourir au Québec ?</w:t>
        </w:r>
      </w:hyperlink>
      <w:r w:rsidR="004F06CE">
        <w:t> », Mémoire de Maîtrise en service social, Université Laval.</w:t>
      </w:r>
    </w:p>
  </w:footnote>
  <w:footnote w:id="31">
    <w:p w14:paraId="40F14039" w14:textId="14A7044F" w:rsidR="006D3D47" w:rsidRDefault="006D3D47" w:rsidP="00061E4D">
      <w:pPr>
        <w:pStyle w:val="Notedebasdepage"/>
        <w:tabs>
          <w:tab w:val="left" w:pos="8565"/>
        </w:tabs>
      </w:pPr>
      <w:r>
        <w:rPr>
          <w:rStyle w:val="Appelnotedebasdep"/>
        </w:rPr>
        <w:footnoteRef/>
      </w:r>
      <w:r>
        <w:t xml:space="preserve"> </w:t>
      </w:r>
      <w:hyperlink r:id="rId30" w:history="1">
        <w:r w:rsidRPr="00E85498">
          <w:rPr>
            <w:rStyle w:val="Lienhypertexte"/>
          </w:rPr>
          <w:t>Cour supérieur</w:t>
        </w:r>
        <w:r w:rsidR="00815D28">
          <w:rPr>
            <w:rStyle w:val="Lienhypertexte"/>
          </w:rPr>
          <w:t>e</w:t>
        </w:r>
        <w:r w:rsidRPr="00E85498">
          <w:rPr>
            <w:rStyle w:val="Lienhypertexte"/>
          </w:rPr>
          <w:t xml:space="preserve"> du Québec (2019, 11 sept.). Truchon c.</w:t>
        </w:r>
        <w:r w:rsidR="00E85498" w:rsidRPr="00E85498">
          <w:rPr>
            <w:rStyle w:val="Lienhypertexte"/>
          </w:rPr>
          <w:t xml:space="preserve"> Procureur général du Canada</w:t>
        </w:r>
      </w:hyperlink>
    </w:p>
  </w:footnote>
  <w:footnote w:id="32">
    <w:p w14:paraId="16958F87" w14:textId="3C8F52FC" w:rsidR="00C262A4" w:rsidRDefault="00C262A4">
      <w:pPr>
        <w:pStyle w:val="Notedebasdepage"/>
      </w:pPr>
      <w:r w:rsidRPr="00C2100F">
        <w:rPr>
          <w:rStyle w:val="Appelnotedebasdep"/>
        </w:rPr>
        <w:footnoteRef/>
      </w:r>
      <w:r w:rsidRPr="00C2100F">
        <w:t xml:space="preserve"> Office des personnes handicapées du Québec (juillet 2021).</w:t>
      </w:r>
      <w:r w:rsidR="00433328" w:rsidRPr="00C2100F">
        <w:t xml:space="preserve"> </w:t>
      </w:r>
      <w:r w:rsidR="00433328" w:rsidRPr="00C2100F">
        <w:rPr>
          <w:i/>
          <w:iCs/>
        </w:rPr>
        <w:t>Mémoire à la Commission spéciale sur l’évolution de la Loi concernant les soins de fin de vie</w:t>
      </w:r>
      <w:r w:rsidRPr="00C2100F">
        <w:rPr>
          <w:i/>
          <w:iCs/>
        </w:rPr>
        <w:t xml:space="preserve">. </w:t>
      </w:r>
      <w:r w:rsidRPr="00C2100F">
        <w:t>(page 15)</w:t>
      </w:r>
    </w:p>
  </w:footnote>
  <w:footnote w:id="33">
    <w:p w14:paraId="25E45985" w14:textId="77777777" w:rsidR="00C274E7" w:rsidRDefault="00C274E7" w:rsidP="00C274E7">
      <w:pPr>
        <w:pStyle w:val="Notedebasdepage"/>
      </w:pPr>
      <w:r>
        <w:rPr>
          <w:rStyle w:val="Appelnotedebasdep"/>
        </w:rPr>
        <w:footnoteRef/>
      </w:r>
      <w:r>
        <w:t xml:space="preserve"> </w:t>
      </w:r>
      <w:r w:rsidRPr="00FE0180">
        <w:t>Office des personnes handicapées du Québec</w:t>
      </w:r>
      <w:r>
        <w:t>. (2013, 12 nov.). « </w:t>
      </w:r>
      <w:r w:rsidRPr="00FE0180">
        <w:t>De nouvelles données sur la participation sociale des personnes ayant des incapacités</w:t>
      </w:r>
      <w:r>
        <w:t xml:space="preserve"> », </w:t>
      </w:r>
      <w:r w:rsidRPr="00FE0180">
        <w:rPr>
          <w:i/>
          <w:iCs/>
        </w:rPr>
        <w:t>Express-O</w:t>
      </w:r>
      <w:r>
        <w:t>, vol.7, no.14.</w:t>
      </w:r>
    </w:p>
  </w:footnote>
  <w:footnote w:id="34">
    <w:p w14:paraId="59FDFAF6" w14:textId="77777777" w:rsidR="00C27002" w:rsidRDefault="00C27002" w:rsidP="00C27002">
      <w:pPr>
        <w:pStyle w:val="Notedebasdepage"/>
      </w:pPr>
      <w:r>
        <w:rPr>
          <w:rStyle w:val="Appelnotedebasdep"/>
        </w:rPr>
        <w:footnoteRef/>
      </w:r>
      <w:r>
        <w:t xml:space="preserve"> Ministère de la Santé et des Services sociaux. (2021, 14 juin). </w:t>
      </w:r>
      <w:hyperlink r:id="rId31" w:history="1">
        <w:r w:rsidRPr="00225F1F">
          <w:rPr>
            <w:rStyle w:val="Lienhypertexte"/>
            <w:i/>
            <w:iCs/>
          </w:rPr>
          <w:t>Orientations ministérielles pour la mise en place des mécanismes attendus pour l’accompagnement de personnes vulnérables lors de l’application du protocole national de priorisation pour l’accès aux soins intensifs (adultes) en contexte extrême de pandémie</w:t>
        </w:r>
        <w:r>
          <w:rPr>
            <w:rStyle w:val="Lienhypertexte"/>
          </w:rPr>
          <w:t xml:space="preserve"> (Nouvelle directive </w:t>
        </w:r>
        <w:r w:rsidRPr="00AD7934">
          <w:rPr>
            <w:rStyle w:val="Lienhypertexte"/>
          </w:rPr>
          <w:t>DGPPFC-041</w:t>
        </w:r>
        <w:r>
          <w:rPr>
            <w:rStyle w:val="Lienhypertexte"/>
          </w:rPr>
          <w:t>)</w:t>
        </w:r>
      </w:hyperlink>
    </w:p>
  </w:footnote>
  <w:footnote w:id="35">
    <w:p w14:paraId="2E0B79A7" w14:textId="77777777" w:rsidR="00C27002" w:rsidRDefault="00C27002" w:rsidP="00C27002">
      <w:pPr>
        <w:pStyle w:val="Notedebasdepage"/>
        <w:jc w:val="both"/>
      </w:pPr>
      <w:r>
        <w:rPr>
          <w:rStyle w:val="Appelnotedebasdep"/>
        </w:rPr>
        <w:footnoteRef/>
      </w:r>
      <w:r>
        <w:t xml:space="preserve"> </w:t>
      </w:r>
      <w:r w:rsidRPr="00F30EBB">
        <w:t xml:space="preserve">Ministère de la Santé et des Services sociaux. </w:t>
      </w:r>
      <w:r>
        <w:t>(</w:t>
      </w:r>
      <w:r w:rsidRPr="00F30EBB">
        <w:t>2006</w:t>
      </w:r>
      <w:r>
        <w:t>)</w:t>
      </w:r>
      <w:r w:rsidRPr="00F30EBB">
        <w:t xml:space="preserve">. </w:t>
      </w:r>
      <w:hyperlink r:id="rId32" w:history="1">
        <w:r w:rsidRPr="00580D60">
          <w:rPr>
            <w:rStyle w:val="Lienhypertexte"/>
            <w:i/>
          </w:rPr>
          <w:t>L’accès aux documents offerts au public pour les personnes handicapées : Politique gouvernementale</w:t>
        </w:r>
      </w:hyperlink>
      <w:r>
        <w:rPr>
          <w:i/>
        </w:rPr>
        <w:t>.</w:t>
      </w:r>
    </w:p>
  </w:footnote>
  <w:footnote w:id="36">
    <w:p w14:paraId="3C05B219" w14:textId="77777777" w:rsidR="00DD4740" w:rsidRDefault="00DD4740" w:rsidP="00DD4740">
      <w:pPr>
        <w:pStyle w:val="Notedebasdepage"/>
      </w:pPr>
      <w:r>
        <w:rPr>
          <w:rStyle w:val="Appelnotedebasdep"/>
        </w:rPr>
        <w:footnoteRef/>
      </w:r>
      <w:r>
        <w:t xml:space="preserve"> Recommandation inspirée de Cantin, A. (2019). « </w:t>
      </w:r>
      <w:hyperlink r:id="rId33" w:history="1">
        <w:r w:rsidRPr="004F06CE">
          <w:rPr>
            <w:rStyle w:val="Lienhypertexte"/>
          </w:rPr>
          <w:t>Quelle est la place du soutien psychosocial dans le</w:t>
        </w:r>
        <w:r>
          <w:rPr>
            <w:rStyle w:val="Lienhypertexte"/>
          </w:rPr>
          <w:t xml:space="preserve"> </w:t>
        </w:r>
        <w:r w:rsidRPr="004F06CE">
          <w:rPr>
            <w:rStyle w:val="Lienhypertexte"/>
          </w:rPr>
          <w:t>processus d’aide médicale à mourir au Québec ?</w:t>
        </w:r>
      </w:hyperlink>
      <w:r>
        <w:t> », Mémoire de Maîtrise en service social, Université Laval.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D207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20EBD"/>
    <w:multiLevelType w:val="hybridMultilevel"/>
    <w:tmpl w:val="17BCEAFA"/>
    <w:lvl w:ilvl="0" w:tplc="081A3BE8">
      <w:start w:val="2"/>
      <w:numFmt w:val="bullet"/>
      <w:lvlText w:val="-"/>
      <w:lvlJc w:val="left"/>
      <w:pPr>
        <w:ind w:left="1428" w:hanging="360"/>
      </w:pPr>
      <w:rPr>
        <w:rFonts w:ascii="Arial" w:eastAsia="Calibri" w:hAnsi="Arial" w:cs="Aria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2C87281"/>
    <w:multiLevelType w:val="hybridMultilevel"/>
    <w:tmpl w:val="57D4C78E"/>
    <w:lvl w:ilvl="0" w:tplc="3194845C">
      <w:start w:val="2"/>
      <w:numFmt w:val="decimal"/>
      <w:lvlText w:val="%1-"/>
      <w:lvlJc w:val="left"/>
      <w:pPr>
        <w:ind w:left="1070" w:hanging="360"/>
      </w:pPr>
      <w:rPr>
        <w:rFonts w:cs="Times New Roman" w:hint="default"/>
      </w:rPr>
    </w:lvl>
    <w:lvl w:ilvl="1" w:tplc="040C0019" w:tentative="1">
      <w:start w:val="1"/>
      <w:numFmt w:val="lowerLetter"/>
      <w:lvlText w:val="%2."/>
      <w:lvlJc w:val="left"/>
      <w:pPr>
        <w:ind w:left="1790" w:hanging="360"/>
      </w:pPr>
      <w:rPr>
        <w:rFonts w:cs="Times New Roman"/>
      </w:rPr>
    </w:lvl>
    <w:lvl w:ilvl="2" w:tplc="040C001B" w:tentative="1">
      <w:start w:val="1"/>
      <w:numFmt w:val="lowerRoman"/>
      <w:lvlText w:val="%3."/>
      <w:lvlJc w:val="right"/>
      <w:pPr>
        <w:ind w:left="2510" w:hanging="180"/>
      </w:pPr>
      <w:rPr>
        <w:rFonts w:cs="Times New Roman"/>
      </w:rPr>
    </w:lvl>
    <w:lvl w:ilvl="3" w:tplc="040C000F" w:tentative="1">
      <w:start w:val="1"/>
      <w:numFmt w:val="decimal"/>
      <w:lvlText w:val="%4."/>
      <w:lvlJc w:val="left"/>
      <w:pPr>
        <w:ind w:left="3230" w:hanging="360"/>
      </w:pPr>
      <w:rPr>
        <w:rFonts w:cs="Times New Roman"/>
      </w:rPr>
    </w:lvl>
    <w:lvl w:ilvl="4" w:tplc="040C0019" w:tentative="1">
      <w:start w:val="1"/>
      <w:numFmt w:val="lowerLetter"/>
      <w:lvlText w:val="%5."/>
      <w:lvlJc w:val="left"/>
      <w:pPr>
        <w:ind w:left="3950" w:hanging="360"/>
      </w:pPr>
      <w:rPr>
        <w:rFonts w:cs="Times New Roman"/>
      </w:rPr>
    </w:lvl>
    <w:lvl w:ilvl="5" w:tplc="040C001B" w:tentative="1">
      <w:start w:val="1"/>
      <w:numFmt w:val="lowerRoman"/>
      <w:lvlText w:val="%6."/>
      <w:lvlJc w:val="right"/>
      <w:pPr>
        <w:ind w:left="4670" w:hanging="180"/>
      </w:pPr>
      <w:rPr>
        <w:rFonts w:cs="Times New Roman"/>
      </w:rPr>
    </w:lvl>
    <w:lvl w:ilvl="6" w:tplc="040C000F" w:tentative="1">
      <w:start w:val="1"/>
      <w:numFmt w:val="decimal"/>
      <w:lvlText w:val="%7."/>
      <w:lvlJc w:val="left"/>
      <w:pPr>
        <w:ind w:left="5390" w:hanging="360"/>
      </w:pPr>
      <w:rPr>
        <w:rFonts w:cs="Times New Roman"/>
      </w:rPr>
    </w:lvl>
    <w:lvl w:ilvl="7" w:tplc="040C0019" w:tentative="1">
      <w:start w:val="1"/>
      <w:numFmt w:val="lowerLetter"/>
      <w:lvlText w:val="%8."/>
      <w:lvlJc w:val="left"/>
      <w:pPr>
        <w:ind w:left="6110" w:hanging="360"/>
      </w:pPr>
      <w:rPr>
        <w:rFonts w:cs="Times New Roman"/>
      </w:rPr>
    </w:lvl>
    <w:lvl w:ilvl="8" w:tplc="040C001B" w:tentative="1">
      <w:start w:val="1"/>
      <w:numFmt w:val="lowerRoman"/>
      <w:lvlText w:val="%9."/>
      <w:lvlJc w:val="right"/>
      <w:pPr>
        <w:ind w:left="6830" w:hanging="180"/>
      </w:pPr>
      <w:rPr>
        <w:rFonts w:cs="Times New Roman"/>
      </w:rPr>
    </w:lvl>
  </w:abstractNum>
  <w:abstractNum w:abstractNumId="3" w15:restartNumberingAfterBreak="0">
    <w:nsid w:val="03FE4F7F"/>
    <w:multiLevelType w:val="hybridMultilevel"/>
    <w:tmpl w:val="6FBC11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CC10A87"/>
    <w:multiLevelType w:val="hybridMultilevel"/>
    <w:tmpl w:val="0F2A0D88"/>
    <w:lvl w:ilvl="0" w:tplc="98BAB3CC">
      <w:start w:val="1"/>
      <w:numFmt w:val="bullet"/>
      <w:pStyle w:val="Listepuce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756C76"/>
    <w:multiLevelType w:val="hybridMultilevel"/>
    <w:tmpl w:val="00B0D01A"/>
    <w:lvl w:ilvl="0" w:tplc="C1CADFD8">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6" w15:restartNumberingAfterBreak="0">
    <w:nsid w:val="35B64341"/>
    <w:multiLevelType w:val="singleLevel"/>
    <w:tmpl w:val="0C0C000F"/>
    <w:lvl w:ilvl="0">
      <w:start w:val="1"/>
      <w:numFmt w:val="decimal"/>
      <w:lvlText w:val="%1."/>
      <w:lvlJc w:val="left"/>
      <w:pPr>
        <w:tabs>
          <w:tab w:val="num" w:pos="360"/>
        </w:tabs>
        <w:ind w:left="360" w:hanging="360"/>
      </w:pPr>
      <w:rPr>
        <w:rFonts w:cs="Times New Roman"/>
      </w:rPr>
    </w:lvl>
  </w:abstractNum>
  <w:abstractNum w:abstractNumId="7" w15:restartNumberingAfterBreak="0">
    <w:nsid w:val="381536E3"/>
    <w:multiLevelType w:val="hybridMultilevel"/>
    <w:tmpl w:val="56AA211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44954536"/>
    <w:multiLevelType w:val="hybridMultilevel"/>
    <w:tmpl w:val="CF161530"/>
    <w:lvl w:ilvl="0" w:tplc="040C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9" w15:restartNumberingAfterBreak="0">
    <w:nsid w:val="4ADE75DC"/>
    <w:multiLevelType w:val="hybridMultilevel"/>
    <w:tmpl w:val="BA8ADDC4"/>
    <w:lvl w:ilvl="0" w:tplc="040C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0" w15:restartNumberingAfterBreak="0">
    <w:nsid w:val="527A4E8C"/>
    <w:multiLevelType w:val="hybridMultilevel"/>
    <w:tmpl w:val="517C7182"/>
    <w:lvl w:ilvl="0" w:tplc="0C0C000F">
      <w:start w:val="1"/>
      <w:numFmt w:val="decimal"/>
      <w:lvlText w:val="%1."/>
      <w:lvlJc w:val="left"/>
      <w:pPr>
        <w:tabs>
          <w:tab w:val="num" w:pos="720"/>
        </w:tabs>
        <w:ind w:left="720" w:hanging="360"/>
      </w:pPr>
      <w:rPr>
        <w:rFonts w:cs="Times New Roman" w:hint="default"/>
      </w:rPr>
    </w:lvl>
    <w:lvl w:ilvl="1" w:tplc="49825ED8" w:tentative="1">
      <w:start w:val="1"/>
      <w:numFmt w:val="bullet"/>
      <w:lvlText w:val="•"/>
      <w:lvlJc w:val="left"/>
      <w:pPr>
        <w:tabs>
          <w:tab w:val="num" w:pos="1440"/>
        </w:tabs>
        <w:ind w:left="1440" w:hanging="360"/>
      </w:pPr>
      <w:rPr>
        <w:rFonts w:ascii="Times New Roman" w:hAnsi="Times New Roman" w:hint="default"/>
      </w:rPr>
    </w:lvl>
    <w:lvl w:ilvl="2" w:tplc="E23A5454" w:tentative="1">
      <w:start w:val="1"/>
      <w:numFmt w:val="bullet"/>
      <w:lvlText w:val="•"/>
      <w:lvlJc w:val="left"/>
      <w:pPr>
        <w:tabs>
          <w:tab w:val="num" w:pos="2160"/>
        </w:tabs>
        <w:ind w:left="2160" w:hanging="360"/>
      </w:pPr>
      <w:rPr>
        <w:rFonts w:ascii="Times New Roman" w:hAnsi="Times New Roman" w:hint="default"/>
      </w:rPr>
    </w:lvl>
    <w:lvl w:ilvl="3" w:tplc="A43AE3C2" w:tentative="1">
      <w:start w:val="1"/>
      <w:numFmt w:val="bullet"/>
      <w:lvlText w:val="•"/>
      <w:lvlJc w:val="left"/>
      <w:pPr>
        <w:tabs>
          <w:tab w:val="num" w:pos="2880"/>
        </w:tabs>
        <w:ind w:left="2880" w:hanging="360"/>
      </w:pPr>
      <w:rPr>
        <w:rFonts w:ascii="Times New Roman" w:hAnsi="Times New Roman" w:hint="default"/>
      </w:rPr>
    </w:lvl>
    <w:lvl w:ilvl="4" w:tplc="3ECA2612" w:tentative="1">
      <w:start w:val="1"/>
      <w:numFmt w:val="bullet"/>
      <w:lvlText w:val="•"/>
      <w:lvlJc w:val="left"/>
      <w:pPr>
        <w:tabs>
          <w:tab w:val="num" w:pos="3600"/>
        </w:tabs>
        <w:ind w:left="3600" w:hanging="360"/>
      </w:pPr>
      <w:rPr>
        <w:rFonts w:ascii="Times New Roman" w:hAnsi="Times New Roman" w:hint="default"/>
      </w:rPr>
    </w:lvl>
    <w:lvl w:ilvl="5" w:tplc="C2C82F4A" w:tentative="1">
      <w:start w:val="1"/>
      <w:numFmt w:val="bullet"/>
      <w:lvlText w:val="•"/>
      <w:lvlJc w:val="left"/>
      <w:pPr>
        <w:tabs>
          <w:tab w:val="num" w:pos="4320"/>
        </w:tabs>
        <w:ind w:left="4320" w:hanging="360"/>
      </w:pPr>
      <w:rPr>
        <w:rFonts w:ascii="Times New Roman" w:hAnsi="Times New Roman" w:hint="default"/>
      </w:rPr>
    </w:lvl>
    <w:lvl w:ilvl="6" w:tplc="744CE554" w:tentative="1">
      <w:start w:val="1"/>
      <w:numFmt w:val="bullet"/>
      <w:lvlText w:val="•"/>
      <w:lvlJc w:val="left"/>
      <w:pPr>
        <w:tabs>
          <w:tab w:val="num" w:pos="5040"/>
        </w:tabs>
        <w:ind w:left="5040" w:hanging="360"/>
      </w:pPr>
      <w:rPr>
        <w:rFonts w:ascii="Times New Roman" w:hAnsi="Times New Roman" w:hint="default"/>
      </w:rPr>
    </w:lvl>
    <w:lvl w:ilvl="7" w:tplc="848A1606" w:tentative="1">
      <w:start w:val="1"/>
      <w:numFmt w:val="bullet"/>
      <w:lvlText w:val="•"/>
      <w:lvlJc w:val="left"/>
      <w:pPr>
        <w:tabs>
          <w:tab w:val="num" w:pos="5760"/>
        </w:tabs>
        <w:ind w:left="5760" w:hanging="360"/>
      </w:pPr>
      <w:rPr>
        <w:rFonts w:ascii="Times New Roman" w:hAnsi="Times New Roman" w:hint="default"/>
      </w:rPr>
    </w:lvl>
    <w:lvl w:ilvl="8" w:tplc="4CD050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380223"/>
    <w:multiLevelType w:val="hybridMultilevel"/>
    <w:tmpl w:val="5EF2E0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63C716B"/>
    <w:multiLevelType w:val="hybridMultilevel"/>
    <w:tmpl w:val="56AA211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3" w15:restartNumberingAfterBreak="0">
    <w:nsid w:val="576A3440"/>
    <w:multiLevelType w:val="hybridMultilevel"/>
    <w:tmpl w:val="4C7A75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362096"/>
    <w:multiLevelType w:val="hybridMultilevel"/>
    <w:tmpl w:val="33D602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E735E"/>
    <w:multiLevelType w:val="hybridMultilevel"/>
    <w:tmpl w:val="3DB23B4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6" w15:restartNumberingAfterBreak="0">
    <w:nsid w:val="5E971358"/>
    <w:multiLevelType w:val="hybridMultilevel"/>
    <w:tmpl w:val="82B4A030"/>
    <w:lvl w:ilvl="0" w:tplc="081A3BE8">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5E4831"/>
    <w:multiLevelType w:val="hybridMultilevel"/>
    <w:tmpl w:val="83CE10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F53015F"/>
    <w:multiLevelType w:val="hybridMultilevel"/>
    <w:tmpl w:val="ABC4E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28107FE"/>
    <w:multiLevelType w:val="hybridMultilevel"/>
    <w:tmpl w:val="BDE6A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7"/>
  </w:num>
  <w:num w:numId="8">
    <w:abstractNumId w:val="3"/>
  </w:num>
  <w:num w:numId="9">
    <w:abstractNumId w:val="2"/>
  </w:num>
  <w:num w:numId="10">
    <w:abstractNumId w:val="5"/>
  </w:num>
  <w:num w:numId="11">
    <w:abstractNumId w:val="8"/>
  </w:num>
  <w:num w:numId="12">
    <w:abstractNumId w:val="9"/>
  </w:num>
  <w:num w:numId="13">
    <w:abstractNumId w:val="7"/>
  </w:num>
  <w:num w:numId="14">
    <w:abstractNumId w:val="12"/>
  </w:num>
  <w:num w:numId="15">
    <w:abstractNumId w:val="10"/>
  </w:num>
  <w:num w:numId="16">
    <w:abstractNumId w:val="14"/>
  </w:num>
  <w:num w:numId="17">
    <w:abstractNumId w:val="19"/>
  </w:num>
  <w:num w:numId="18">
    <w:abstractNumId w:val="6"/>
  </w:num>
  <w:num w:numId="19">
    <w:abstractNumId w:val="4"/>
  </w:num>
  <w:num w:numId="20">
    <w:abstractNumId w:val="0"/>
  </w:num>
  <w:num w:numId="21">
    <w:abstractNumId w:val="13"/>
  </w:num>
  <w:num w:numId="22">
    <w:abstractNumId w:val="16"/>
  </w:num>
  <w:num w:numId="23">
    <w:abstractNumId w:val="1"/>
  </w:num>
  <w:num w:numId="24">
    <w:abstractNumId w:val="15"/>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417A"/>
    <w:rsid w:val="00012089"/>
    <w:rsid w:val="000124EC"/>
    <w:rsid w:val="00012F5E"/>
    <w:rsid w:val="000133D8"/>
    <w:rsid w:val="000141FA"/>
    <w:rsid w:val="000148E5"/>
    <w:rsid w:val="00023505"/>
    <w:rsid w:val="0002552F"/>
    <w:rsid w:val="00027561"/>
    <w:rsid w:val="000307B0"/>
    <w:rsid w:val="000330BC"/>
    <w:rsid w:val="00034AF7"/>
    <w:rsid w:val="000372C5"/>
    <w:rsid w:val="00041AEF"/>
    <w:rsid w:val="00042CBD"/>
    <w:rsid w:val="000539F7"/>
    <w:rsid w:val="00061E4D"/>
    <w:rsid w:val="0006211C"/>
    <w:rsid w:val="000628E9"/>
    <w:rsid w:val="00065BC5"/>
    <w:rsid w:val="000662D8"/>
    <w:rsid w:val="00066855"/>
    <w:rsid w:val="00074D61"/>
    <w:rsid w:val="00076FF9"/>
    <w:rsid w:val="0007710E"/>
    <w:rsid w:val="000779A2"/>
    <w:rsid w:val="000835FC"/>
    <w:rsid w:val="00093DBC"/>
    <w:rsid w:val="00095CE6"/>
    <w:rsid w:val="000A182A"/>
    <w:rsid w:val="000A1E9E"/>
    <w:rsid w:val="000A520A"/>
    <w:rsid w:val="000A618B"/>
    <w:rsid w:val="000B6576"/>
    <w:rsid w:val="000C0719"/>
    <w:rsid w:val="000C4F0B"/>
    <w:rsid w:val="000D1D58"/>
    <w:rsid w:val="000D1F06"/>
    <w:rsid w:val="000D24F4"/>
    <w:rsid w:val="000D63D7"/>
    <w:rsid w:val="000D6C7D"/>
    <w:rsid w:val="000D774B"/>
    <w:rsid w:val="000E0159"/>
    <w:rsid w:val="000E11E9"/>
    <w:rsid w:val="000E39A3"/>
    <w:rsid w:val="000E3E66"/>
    <w:rsid w:val="000E45E3"/>
    <w:rsid w:val="000E4D70"/>
    <w:rsid w:val="000E639A"/>
    <w:rsid w:val="000F2C34"/>
    <w:rsid w:val="000F36E6"/>
    <w:rsid w:val="000F3EC6"/>
    <w:rsid w:val="000F4844"/>
    <w:rsid w:val="000F5FB2"/>
    <w:rsid w:val="001042CD"/>
    <w:rsid w:val="001042E3"/>
    <w:rsid w:val="00107F88"/>
    <w:rsid w:val="00110C48"/>
    <w:rsid w:val="00110EED"/>
    <w:rsid w:val="001126B1"/>
    <w:rsid w:val="00115C97"/>
    <w:rsid w:val="00116639"/>
    <w:rsid w:val="00116F09"/>
    <w:rsid w:val="0012404D"/>
    <w:rsid w:val="001255E2"/>
    <w:rsid w:val="00126EAC"/>
    <w:rsid w:val="001306D0"/>
    <w:rsid w:val="00131081"/>
    <w:rsid w:val="001357BE"/>
    <w:rsid w:val="00136113"/>
    <w:rsid w:val="00140125"/>
    <w:rsid w:val="001417B6"/>
    <w:rsid w:val="00141D87"/>
    <w:rsid w:val="00142B28"/>
    <w:rsid w:val="001469C6"/>
    <w:rsid w:val="001501F1"/>
    <w:rsid w:val="00153271"/>
    <w:rsid w:val="00154E1B"/>
    <w:rsid w:val="001567DA"/>
    <w:rsid w:val="001603C8"/>
    <w:rsid w:val="00162910"/>
    <w:rsid w:val="00164272"/>
    <w:rsid w:val="0016767A"/>
    <w:rsid w:val="001741DA"/>
    <w:rsid w:val="00174A05"/>
    <w:rsid w:val="00174C1F"/>
    <w:rsid w:val="00175266"/>
    <w:rsid w:val="00175F70"/>
    <w:rsid w:val="00176ECF"/>
    <w:rsid w:val="00180D6E"/>
    <w:rsid w:val="00182309"/>
    <w:rsid w:val="0018307D"/>
    <w:rsid w:val="0018310F"/>
    <w:rsid w:val="00183A1A"/>
    <w:rsid w:val="00185FE2"/>
    <w:rsid w:val="0018667C"/>
    <w:rsid w:val="00190D74"/>
    <w:rsid w:val="001914BE"/>
    <w:rsid w:val="001923E4"/>
    <w:rsid w:val="001957CE"/>
    <w:rsid w:val="00197892"/>
    <w:rsid w:val="001A22C0"/>
    <w:rsid w:val="001A7659"/>
    <w:rsid w:val="001A7C3C"/>
    <w:rsid w:val="001A7D75"/>
    <w:rsid w:val="001A7EC9"/>
    <w:rsid w:val="001B20C4"/>
    <w:rsid w:val="001C06F9"/>
    <w:rsid w:val="001C1A73"/>
    <w:rsid w:val="001C6405"/>
    <w:rsid w:val="001C667B"/>
    <w:rsid w:val="001C6C0E"/>
    <w:rsid w:val="001C7F0C"/>
    <w:rsid w:val="001D12E5"/>
    <w:rsid w:val="001D218F"/>
    <w:rsid w:val="001D22DD"/>
    <w:rsid w:val="001D5C99"/>
    <w:rsid w:val="001E182F"/>
    <w:rsid w:val="001F3F68"/>
    <w:rsid w:val="001F4804"/>
    <w:rsid w:val="001F4C0C"/>
    <w:rsid w:val="001F5E58"/>
    <w:rsid w:val="001F6404"/>
    <w:rsid w:val="001F7ECD"/>
    <w:rsid w:val="00201DDC"/>
    <w:rsid w:val="0020543A"/>
    <w:rsid w:val="002075D5"/>
    <w:rsid w:val="00207AEB"/>
    <w:rsid w:val="00215983"/>
    <w:rsid w:val="00217BEA"/>
    <w:rsid w:val="0022025B"/>
    <w:rsid w:val="00222200"/>
    <w:rsid w:val="00225F1F"/>
    <w:rsid w:val="002300DD"/>
    <w:rsid w:val="00230CD6"/>
    <w:rsid w:val="002368A9"/>
    <w:rsid w:val="00237A22"/>
    <w:rsid w:val="002411F0"/>
    <w:rsid w:val="00241A2D"/>
    <w:rsid w:val="00247C90"/>
    <w:rsid w:val="00252CB2"/>
    <w:rsid w:val="00253DBD"/>
    <w:rsid w:val="00257FB1"/>
    <w:rsid w:val="0026081C"/>
    <w:rsid w:val="00265B46"/>
    <w:rsid w:val="00266C1C"/>
    <w:rsid w:val="002700A0"/>
    <w:rsid w:val="00273314"/>
    <w:rsid w:val="00281309"/>
    <w:rsid w:val="002817EA"/>
    <w:rsid w:val="00282109"/>
    <w:rsid w:val="00282B1B"/>
    <w:rsid w:val="002844B2"/>
    <w:rsid w:val="00284663"/>
    <w:rsid w:val="00286D91"/>
    <w:rsid w:val="00287AFF"/>
    <w:rsid w:val="002902F5"/>
    <w:rsid w:val="002903E0"/>
    <w:rsid w:val="00290AED"/>
    <w:rsid w:val="00293002"/>
    <w:rsid w:val="002931CB"/>
    <w:rsid w:val="00296B51"/>
    <w:rsid w:val="00297FF1"/>
    <w:rsid w:val="002B1247"/>
    <w:rsid w:val="002B2C98"/>
    <w:rsid w:val="002C2276"/>
    <w:rsid w:val="002C5CEE"/>
    <w:rsid w:val="002C64ED"/>
    <w:rsid w:val="002C766A"/>
    <w:rsid w:val="002D4762"/>
    <w:rsid w:val="002D5790"/>
    <w:rsid w:val="002E005A"/>
    <w:rsid w:val="002E6F5F"/>
    <w:rsid w:val="00303CDB"/>
    <w:rsid w:val="00306986"/>
    <w:rsid w:val="00307326"/>
    <w:rsid w:val="00307A49"/>
    <w:rsid w:val="00307F1F"/>
    <w:rsid w:val="00316844"/>
    <w:rsid w:val="003202BC"/>
    <w:rsid w:val="003205A9"/>
    <w:rsid w:val="00322FD4"/>
    <w:rsid w:val="003250CB"/>
    <w:rsid w:val="00335F96"/>
    <w:rsid w:val="00336173"/>
    <w:rsid w:val="003363B0"/>
    <w:rsid w:val="00340265"/>
    <w:rsid w:val="003420F3"/>
    <w:rsid w:val="003438FE"/>
    <w:rsid w:val="00344CAB"/>
    <w:rsid w:val="00347BF1"/>
    <w:rsid w:val="0035055B"/>
    <w:rsid w:val="00350C02"/>
    <w:rsid w:val="0035528C"/>
    <w:rsid w:val="0036361C"/>
    <w:rsid w:val="00363FB7"/>
    <w:rsid w:val="00364046"/>
    <w:rsid w:val="003654D9"/>
    <w:rsid w:val="00372839"/>
    <w:rsid w:val="003728FF"/>
    <w:rsid w:val="003738C6"/>
    <w:rsid w:val="0037575F"/>
    <w:rsid w:val="00375B6D"/>
    <w:rsid w:val="003765D5"/>
    <w:rsid w:val="00376CFA"/>
    <w:rsid w:val="003816A3"/>
    <w:rsid w:val="00383F72"/>
    <w:rsid w:val="003853AD"/>
    <w:rsid w:val="003870BA"/>
    <w:rsid w:val="003911CA"/>
    <w:rsid w:val="0039141D"/>
    <w:rsid w:val="00394FA4"/>
    <w:rsid w:val="00396A6D"/>
    <w:rsid w:val="003A03BB"/>
    <w:rsid w:val="003A09BB"/>
    <w:rsid w:val="003A5782"/>
    <w:rsid w:val="003A7821"/>
    <w:rsid w:val="003A7E0D"/>
    <w:rsid w:val="003B5074"/>
    <w:rsid w:val="003B53D2"/>
    <w:rsid w:val="003B6EF7"/>
    <w:rsid w:val="003B774C"/>
    <w:rsid w:val="003C3AE7"/>
    <w:rsid w:val="003C4B1D"/>
    <w:rsid w:val="003C4B45"/>
    <w:rsid w:val="003C67A1"/>
    <w:rsid w:val="003C7385"/>
    <w:rsid w:val="003D2399"/>
    <w:rsid w:val="003D740B"/>
    <w:rsid w:val="003E52C7"/>
    <w:rsid w:val="003E6069"/>
    <w:rsid w:val="003F17CA"/>
    <w:rsid w:val="003F19BF"/>
    <w:rsid w:val="003F3E5A"/>
    <w:rsid w:val="00403753"/>
    <w:rsid w:val="00404124"/>
    <w:rsid w:val="004049EB"/>
    <w:rsid w:val="004056DC"/>
    <w:rsid w:val="00406EE3"/>
    <w:rsid w:val="00413680"/>
    <w:rsid w:val="00414804"/>
    <w:rsid w:val="0041492B"/>
    <w:rsid w:val="00416A17"/>
    <w:rsid w:val="00420C08"/>
    <w:rsid w:val="00423F15"/>
    <w:rsid w:val="00426029"/>
    <w:rsid w:val="004266CA"/>
    <w:rsid w:val="00430331"/>
    <w:rsid w:val="00430EEC"/>
    <w:rsid w:val="00432C5B"/>
    <w:rsid w:val="00433328"/>
    <w:rsid w:val="00433439"/>
    <w:rsid w:val="004365C4"/>
    <w:rsid w:val="004366BB"/>
    <w:rsid w:val="00436EC0"/>
    <w:rsid w:val="004404E6"/>
    <w:rsid w:val="00442C2C"/>
    <w:rsid w:val="00443655"/>
    <w:rsid w:val="00443D95"/>
    <w:rsid w:val="0044729E"/>
    <w:rsid w:val="0045430D"/>
    <w:rsid w:val="0046010A"/>
    <w:rsid w:val="00461A83"/>
    <w:rsid w:val="00463C23"/>
    <w:rsid w:val="00471090"/>
    <w:rsid w:val="00475EAD"/>
    <w:rsid w:val="00485141"/>
    <w:rsid w:val="00485DB5"/>
    <w:rsid w:val="00490BD6"/>
    <w:rsid w:val="00494E60"/>
    <w:rsid w:val="00495670"/>
    <w:rsid w:val="00495CC1"/>
    <w:rsid w:val="004968A8"/>
    <w:rsid w:val="004A0F86"/>
    <w:rsid w:val="004A13E3"/>
    <w:rsid w:val="004A5EFB"/>
    <w:rsid w:val="004A66B8"/>
    <w:rsid w:val="004A783D"/>
    <w:rsid w:val="004B0E68"/>
    <w:rsid w:val="004B153A"/>
    <w:rsid w:val="004B2DD6"/>
    <w:rsid w:val="004B340E"/>
    <w:rsid w:val="004B79F8"/>
    <w:rsid w:val="004C0001"/>
    <w:rsid w:val="004C1896"/>
    <w:rsid w:val="004C6F20"/>
    <w:rsid w:val="004D7060"/>
    <w:rsid w:val="004D72D0"/>
    <w:rsid w:val="004E5DD1"/>
    <w:rsid w:val="004E63D8"/>
    <w:rsid w:val="004E7620"/>
    <w:rsid w:val="004F06CE"/>
    <w:rsid w:val="004F582F"/>
    <w:rsid w:val="004F5D1A"/>
    <w:rsid w:val="00502221"/>
    <w:rsid w:val="005117F5"/>
    <w:rsid w:val="005118D1"/>
    <w:rsid w:val="0051255D"/>
    <w:rsid w:val="005142B0"/>
    <w:rsid w:val="00514381"/>
    <w:rsid w:val="00514B45"/>
    <w:rsid w:val="0051718D"/>
    <w:rsid w:val="00520147"/>
    <w:rsid w:val="00521440"/>
    <w:rsid w:val="00524ED3"/>
    <w:rsid w:val="005340AF"/>
    <w:rsid w:val="00535D06"/>
    <w:rsid w:val="00536C1F"/>
    <w:rsid w:val="0053729D"/>
    <w:rsid w:val="005373AA"/>
    <w:rsid w:val="00541F59"/>
    <w:rsid w:val="00543944"/>
    <w:rsid w:val="00544A5B"/>
    <w:rsid w:val="00544DD2"/>
    <w:rsid w:val="0054698D"/>
    <w:rsid w:val="00552B14"/>
    <w:rsid w:val="005639E0"/>
    <w:rsid w:val="00565AAB"/>
    <w:rsid w:val="00572C08"/>
    <w:rsid w:val="00573300"/>
    <w:rsid w:val="00573C81"/>
    <w:rsid w:val="00576BAF"/>
    <w:rsid w:val="005774DD"/>
    <w:rsid w:val="00580D60"/>
    <w:rsid w:val="005826B3"/>
    <w:rsid w:val="0058536D"/>
    <w:rsid w:val="00585B88"/>
    <w:rsid w:val="005909B6"/>
    <w:rsid w:val="00592CAE"/>
    <w:rsid w:val="0059357A"/>
    <w:rsid w:val="00593A5B"/>
    <w:rsid w:val="00595BA4"/>
    <w:rsid w:val="00595CD2"/>
    <w:rsid w:val="00595F94"/>
    <w:rsid w:val="005A0359"/>
    <w:rsid w:val="005A25CE"/>
    <w:rsid w:val="005A3A61"/>
    <w:rsid w:val="005A71F9"/>
    <w:rsid w:val="005B1418"/>
    <w:rsid w:val="005C0285"/>
    <w:rsid w:val="005C291B"/>
    <w:rsid w:val="005C3BF5"/>
    <w:rsid w:val="005C6721"/>
    <w:rsid w:val="005C7C74"/>
    <w:rsid w:val="005D2D7C"/>
    <w:rsid w:val="005D3CB9"/>
    <w:rsid w:val="005E170D"/>
    <w:rsid w:val="005E1853"/>
    <w:rsid w:val="005E40F6"/>
    <w:rsid w:val="005E4FC4"/>
    <w:rsid w:val="005E694A"/>
    <w:rsid w:val="005E75F1"/>
    <w:rsid w:val="005F011F"/>
    <w:rsid w:val="005F1C81"/>
    <w:rsid w:val="005F4BAB"/>
    <w:rsid w:val="005F52B6"/>
    <w:rsid w:val="005F597C"/>
    <w:rsid w:val="005F79C1"/>
    <w:rsid w:val="006014D0"/>
    <w:rsid w:val="0060269B"/>
    <w:rsid w:val="006056E4"/>
    <w:rsid w:val="00611241"/>
    <w:rsid w:val="00611F7D"/>
    <w:rsid w:val="00614F08"/>
    <w:rsid w:val="00623C0A"/>
    <w:rsid w:val="0062672E"/>
    <w:rsid w:val="0062775D"/>
    <w:rsid w:val="00630F65"/>
    <w:rsid w:val="00632EEC"/>
    <w:rsid w:val="006342F4"/>
    <w:rsid w:val="00635610"/>
    <w:rsid w:val="006368BA"/>
    <w:rsid w:val="0063765F"/>
    <w:rsid w:val="0064319B"/>
    <w:rsid w:val="00643BF5"/>
    <w:rsid w:val="00643EAA"/>
    <w:rsid w:val="00646051"/>
    <w:rsid w:val="006463E7"/>
    <w:rsid w:val="00653B9A"/>
    <w:rsid w:val="00653CDB"/>
    <w:rsid w:val="006540B1"/>
    <w:rsid w:val="00657103"/>
    <w:rsid w:val="00662007"/>
    <w:rsid w:val="0066408B"/>
    <w:rsid w:val="00667F4B"/>
    <w:rsid w:val="00670BC3"/>
    <w:rsid w:val="00671407"/>
    <w:rsid w:val="006726D2"/>
    <w:rsid w:val="00672E3D"/>
    <w:rsid w:val="00683FF8"/>
    <w:rsid w:val="00684147"/>
    <w:rsid w:val="00684F43"/>
    <w:rsid w:val="00685691"/>
    <w:rsid w:val="00686F30"/>
    <w:rsid w:val="0068736F"/>
    <w:rsid w:val="00692BF9"/>
    <w:rsid w:val="00696C31"/>
    <w:rsid w:val="006972FA"/>
    <w:rsid w:val="006A216B"/>
    <w:rsid w:val="006A2623"/>
    <w:rsid w:val="006A4582"/>
    <w:rsid w:val="006B2672"/>
    <w:rsid w:val="006B46C5"/>
    <w:rsid w:val="006B7F33"/>
    <w:rsid w:val="006C4D7F"/>
    <w:rsid w:val="006C4F11"/>
    <w:rsid w:val="006C754D"/>
    <w:rsid w:val="006D0C43"/>
    <w:rsid w:val="006D3D47"/>
    <w:rsid w:val="006D49F6"/>
    <w:rsid w:val="006D5852"/>
    <w:rsid w:val="006D7694"/>
    <w:rsid w:val="006E16CC"/>
    <w:rsid w:val="006E3D8B"/>
    <w:rsid w:val="006E3FEC"/>
    <w:rsid w:val="006E60FB"/>
    <w:rsid w:val="006F0581"/>
    <w:rsid w:val="006F13DF"/>
    <w:rsid w:val="006F4765"/>
    <w:rsid w:val="006F4ED9"/>
    <w:rsid w:val="007007E2"/>
    <w:rsid w:val="00700858"/>
    <w:rsid w:val="007009A1"/>
    <w:rsid w:val="00701EB9"/>
    <w:rsid w:val="00703A45"/>
    <w:rsid w:val="00705CB5"/>
    <w:rsid w:val="007079FC"/>
    <w:rsid w:val="007231DD"/>
    <w:rsid w:val="00724C5D"/>
    <w:rsid w:val="0073136D"/>
    <w:rsid w:val="00732E94"/>
    <w:rsid w:val="007359A5"/>
    <w:rsid w:val="007371CA"/>
    <w:rsid w:val="00741498"/>
    <w:rsid w:val="00745FA3"/>
    <w:rsid w:val="00756699"/>
    <w:rsid w:val="00756B0E"/>
    <w:rsid w:val="0076273A"/>
    <w:rsid w:val="00764AFE"/>
    <w:rsid w:val="0076598B"/>
    <w:rsid w:val="007665BA"/>
    <w:rsid w:val="00767345"/>
    <w:rsid w:val="00770D11"/>
    <w:rsid w:val="007714F2"/>
    <w:rsid w:val="00772EE4"/>
    <w:rsid w:val="00774C3E"/>
    <w:rsid w:val="00776BCC"/>
    <w:rsid w:val="007817B7"/>
    <w:rsid w:val="0078195F"/>
    <w:rsid w:val="007838BC"/>
    <w:rsid w:val="00783C8C"/>
    <w:rsid w:val="00785781"/>
    <w:rsid w:val="007871A6"/>
    <w:rsid w:val="0079322D"/>
    <w:rsid w:val="007969F4"/>
    <w:rsid w:val="00797376"/>
    <w:rsid w:val="007A4B7D"/>
    <w:rsid w:val="007A4E9D"/>
    <w:rsid w:val="007A77BD"/>
    <w:rsid w:val="007C1A7F"/>
    <w:rsid w:val="007C281C"/>
    <w:rsid w:val="007C4603"/>
    <w:rsid w:val="007C692E"/>
    <w:rsid w:val="007D5B2E"/>
    <w:rsid w:val="007D5B74"/>
    <w:rsid w:val="007E349E"/>
    <w:rsid w:val="007F44CA"/>
    <w:rsid w:val="00800852"/>
    <w:rsid w:val="00803F28"/>
    <w:rsid w:val="0080427C"/>
    <w:rsid w:val="00806A4C"/>
    <w:rsid w:val="00806B6F"/>
    <w:rsid w:val="0081477D"/>
    <w:rsid w:val="00815D28"/>
    <w:rsid w:val="00823268"/>
    <w:rsid w:val="00826987"/>
    <w:rsid w:val="0083257A"/>
    <w:rsid w:val="00833FBC"/>
    <w:rsid w:val="00834076"/>
    <w:rsid w:val="00835070"/>
    <w:rsid w:val="00841B9C"/>
    <w:rsid w:val="00842C3C"/>
    <w:rsid w:val="00846CB0"/>
    <w:rsid w:val="008475BB"/>
    <w:rsid w:val="00847ABD"/>
    <w:rsid w:val="0085141C"/>
    <w:rsid w:val="0086039A"/>
    <w:rsid w:val="0086343F"/>
    <w:rsid w:val="0086597D"/>
    <w:rsid w:val="0086617D"/>
    <w:rsid w:val="00870C47"/>
    <w:rsid w:val="00873A36"/>
    <w:rsid w:val="00874741"/>
    <w:rsid w:val="0087799C"/>
    <w:rsid w:val="00880B52"/>
    <w:rsid w:val="00885815"/>
    <w:rsid w:val="00885987"/>
    <w:rsid w:val="0089464D"/>
    <w:rsid w:val="0089465D"/>
    <w:rsid w:val="008957B2"/>
    <w:rsid w:val="008962CF"/>
    <w:rsid w:val="00897070"/>
    <w:rsid w:val="008A20B4"/>
    <w:rsid w:val="008A2969"/>
    <w:rsid w:val="008A4FAC"/>
    <w:rsid w:val="008A7A92"/>
    <w:rsid w:val="008B0BCD"/>
    <w:rsid w:val="008B0E0B"/>
    <w:rsid w:val="008B26D9"/>
    <w:rsid w:val="008B32E3"/>
    <w:rsid w:val="008C0272"/>
    <w:rsid w:val="008C1FF2"/>
    <w:rsid w:val="008C2330"/>
    <w:rsid w:val="008C3BEA"/>
    <w:rsid w:val="008D1362"/>
    <w:rsid w:val="008D15B9"/>
    <w:rsid w:val="008D1734"/>
    <w:rsid w:val="008D3F74"/>
    <w:rsid w:val="008D73F6"/>
    <w:rsid w:val="008E0E8D"/>
    <w:rsid w:val="008E1935"/>
    <w:rsid w:val="008E1B77"/>
    <w:rsid w:val="008E2B4A"/>
    <w:rsid w:val="008E49F8"/>
    <w:rsid w:val="008E6310"/>
    <w:rsid w:val="008E70EA"/>
    <w:rsid w:val="008F1B0B"/>
    <w:rsid w:val="008F5739"/>
    <w:rsid w:val="008F7DCE"/>
    <w:rsid w:val="00901CA8"/>
    <w:rsid w:val="00903548"/>
    <w:rsid w:val="00904261"/>
    <w:rsid w:val="00904E10"/>
    <w:rsid w:val="00910170"/>
    <w:rsid w:val="0091045E"/>
    <w:rsid w:val="0091470B"/>
    <w:rsid w:val="00915A1F"/>
    <w:rsid w:val="00917ABF"/>
    <w:rsid w:val="00920FE1"/>
    <w:rsid w:val="00921F13"/>
    <w:rsid w:val="00922653"/>
    <w:rsid w:val="00923259"/>
    <w:rsid w:val="00926077"/>
    <w:rsid w:val="009327E9"/>
    <w:rsid w:val="0093428B"/>
    <w:rsid w:val="009370DB"/>
    <w:rsid w:val="00937956"/>
    <w:rsid w:val="00941BC6"/>
    <w:rsid w:val="009421F3"/>
    <w:rsid w:val="0095301C"/>
    <w:rsid w:val="00953933"/>
    <w:rsid w:val="00954153"/>
    <w:rsid w:val="00957B75"/>
    <w:rsid w:val="009716AC"/>
    <w:rsid w:val="0097507B"/>
    <w:rsid w:val="00975BB0"/>
    <w:rsid w:val="00976887"/>
    <w:rsid w:val="009815D2"/>
    <w:rsid w:val="00982974"/>
    <w:rsid w:val="0098455F"/>
    <w:rsid w:val="00985B71"/>
    <w:rsid w:val="00987253"/>
    <w:rsid w:val="00994CCA"/>
    <w:rsid w:val="0099510C"/>
    <w:rsid w:val="009A1018"/>
    <w:rsid w:val="009A286D"/>
    <w:rsid w:val="009A419A"/>
    <w:rsid w:val="009A45ED"/>
    <w:rsid w:val="009A7982"/>
    <w:rsid w:val="009B2508"/>
    <w:rsid w:val="009B340C"/>
    <w:rsid w:val="009B4DE3"/>
    <w:rsid w:val="009C00F1"/>
    <w:rsid w:val="009C1A17"/>
    <w:rsid w:val="009C1F4B"/>
    <w:rsid w:val="009C2483"/>
    <w:rsid w:val="009C26EC"/>
    <w:rsid w:val="009C2BC8"/>
    <w:rsid w:val="009C2F23"/>
    <w:rsid w:val="009C421D"/>
    <w:rsid w:val="009C5A94"/>
    <w:rsid w:val="009C615F"/>
    <w:rsid w:val="009C7B3F"/>
    <w:rsid w:val="009D1CA1"/>
    <w:rsid w:val="009E3D71"/>
    <w:rsid w:val="009E78B0"/>
    <w:rsid w:val="009F259A"/>
    <w:rsid w:val="009F356C"/>
    <w:rsid w:val="009F3A5D"/>
    <w:rsid w:val="009F5EBF"/>
    <w:rsid w:val="009F730F"/>
    <w:rsid w:val="00A01879"/>
    <w:rsid w:val="00A05D6A"/>
    <w:rsid w:val="00A068ED"/>
    <w:rsid w:val="00A11305"/>
    <w:rsid w:val="00A22013"/>
    <w:rsid w:val="00A226DA"/>
    <w:rsid w:val="00A243D3"/>
    <w:rsid w:val="00A27604"/>
    <w:rsid w:val="00A30551"/>
    <w:rsid w:val="00A33FBC"/>
    <w:rsid w:val="00A3489E"/>
    <w:rsid w:val="00A37A96"/>
    <w:rsid w:val="00A40CBB"/>
    <w:rsid w:val="00A422F6"/>
    <w:rsid w:val="00A43C46"/>
    <w:rsid w:val="00A4502A"/>
    <w:rsid w:val="00A45E07"/>
    <w:rsid w:val="00A50EFF"/>
    <w:rsid w:val="00A528E9"/>
    <w:rsid w:val="00A55E6A"/>
    <w:rsid w:val="00A570BA"/>
    <w:rsid w:val="00A60661"/>
    <w:rsid w:val="00A60A70"/>
    <w:rsid w:val="00A61517"/>
    <w:rsid w:val="00A65097"/>
    <w:rsid w:val="00A7285A"/>
    <w:rsid w:val="00A824B6"/>
    <w:rsid w:val="00A833C5"/>
    <w:rsid w:val="00A833FA"/>
    <w:rsid w:val="00A859B3"/>
    <w:rsid w:val="00A905C3"/>
    <w:rsid w:val="00A91904"/>
    <w:rsid w:val="00A940E0"/>
    <w:rsid w:val="00A96CC9"/>
    <w:rsid w:val="00AA1270"/>
    <w:rsid w:val="00AA1472"/>
    <w:rsid w:val="00AA48C2"/>
    <w:rsid w:val="00AA4A48"/>
    <w:rsid w:val="00AA595D"/>
    <w:rsid w:val="00AB12A8"/>
    <w:rsid w:val="00AB1CA4"/>
    <w:rsid w:val="00AB2B63"/>
    <w:rsid w:val="00AB4F79"/>
    <w:rsid w:val="00AB5237"/>
    <w:rsid w:val="00AB556C"/>
    <w:rsid w:val="00AB7DEB"/>
    <w:rsid w:val="00AC0641"/>
    <w:rsid w:val="00AC2120"/>
    <w:rsid w:val="00AC3FE5"/>
    <w:rsid w:val="00AC4EB6"/>
    <w:rsid w:val="00AC6286"/>
    <w:rsid w:val="00AC6389"/>
    <w:rsid w:val="00AC6C71"/>
    <w:rsid w:val="00AD7934"/>
    <w:rsid w:val="00AE09BE"/>
    <w:rsid w:val="00AE1A50"/>
    <w:rsid w:val="00AE373F"/>
    <w:rsid w:val="00AE514B"/>
    <w:rsid w:val="00AE5D7F"/>
    <w:rsid w:val="00AE6E2D"/>
    <w:rsid w:val="00AF1030"/>
    <w:rsid w:val="00AF2554"/>
    <w:rsid w:val="00B01ACC"/>
    <w:rsid w:val="00B040AA"/>
    <w:rsid w:val="00B04E0D"/>
    <w:rsid w:val="00B1030A"/>
    <w:rsid w:val="00B111FB"/>
    <w:rsid w:val="00B15179"/>
    <w:rsid w:val="00B16D4E"/>
    <w:rsid w:val="00B2296E"/>
    <w:rsid w:val="00B22D5B"/>
    <w:rsid w:val="00B23152"/>
    <w:rsid w:val="00B23EB9"/>
    <w:rsid w:val="00B246BD"/>
    <w:rsid w:val="00B27019"/>
    <w:rsid w:val="00B27475"/>
    <w:rsid w:val="00B31A98"/>
    <w:rsid w:val="00B356C2"/>
    <w:rsid w:val="00B401D3"/>
    <w:rsid w:val="00B40F8D"/>
    <w:rsid w:val="00B41F64"/>
    <w:rsid w:val="00B46B59"/>
    <w:rsid w:val="00B5490F"/>
    <w:rsid w:val="00B63953"/>
    <w:rsid w:val="00B645FD"/>
    <w:rsid w:val="00B6594F"/>
    <w:rsid w:val="00B671C3"/>
    <w:rsid w:val="00B67B89"/>
    <w:rsid w:val="00B70518"/>
    <w:rsid w:val="00B755DE"/>
    <w:rsid w:val="00B757A6"/>
    <w:rsid w:val="00B807A4"/>
    <w:rsid w:val="00B83CCD"/>
    <w:rsid w:val="00B86045"/>
    <w:rsid w:val="00B969A5"/>
    <w:rsid w:val="00B970AD"/>
    <w:rsid w:val="00B97620"/>
    <w:rsid w:val="00BA04AB"/>
    <w:rsid w:val="00BA0C8D"/>
    <w:rsid w:val="00BA1EBA"/>
    <w:rsid w:val="00BA24BB"/>
    <w:rsid w:val="00BA3EFA"/>
    <w:rsid w:val="00BA7DC2"/>
    <w:rsid w:val="00BC1115"/>
    <w:rsid w:val="00BC1B90"/>
    <w:rsid w:val="00BC2E95"/>
    <w:rsid w:val="00BC67D2"/>
    <w:rsid w:val="00BD1189"/>
    <w:rsid w:val="00BD1DB8"/>
    <w:rsid w:val="00BD4115"/>
    <w:rsid w:val="00BD48F6"/>
    <w:rsid w:val="00BD681B"/>
    <w:rsid w:val="00BD6955"/>
    <w:rsid w:val="00BE12BB"/>
    <w:rsid w:val="00BE14BD"/>
    <w:rsid w:val="00BF21EF"/>
    <w:rsid w:val="00BF4A70"/>
    <w:rsid w:val="00BF5B07"/>
    <w:rsid w:val="00BF718D"/>
    <w:rsid w:val="00C0117C"/>
    <w:rsid w:val="00C0213B"/>
    <w:rsid w:val="00C02276"/>
    <w:rsid w:val="00C058E4"/>
    <w:rsid w:val="00C11933"/>
    <w:rsid w:val="00C12F45"/>
    <w:rsid w:val="00C16337"/>
    <w:rsid w:val="00C16597"/>
    <w:rsid w:val="00C16F0F"/>
    <w:rsid w:val="00C17467"/>
    <w:rsid w:val="00C17669"/>
    <w:rsid w:val="00C20C1D"/>
    <w:rsid w:val="00C2100F"/>
    <w:rsid w:val="00C23585"/>
    <w:rsid w:val="00C23B9E"/>
    <w:rsid w:val="00C26220"/>
    <w:rsid w:val="00C262A4"/>
    <w:rsid w:val="00C27002"/>
    <w:rsid w:val="00C274E7"/>
    <w:rsid w:val="00C312FF"/>
    <w:rsid w:val="00C35E63"/>
    <w:rsid w:val="00C3621F"/>
    <w:rsid w:val="00C4080E"/>
    <w:rsid w:val="00C45D66"/>
    <w:rsid w:val="00C46E03"/>
    <w:rsid w:val="00C500DA"/>
    <w:rsid w:val="00C51660"/>
    <w:rsid w:val="00C53835"/>
    <w:rsid w:val="00C61839"/>
    <w:rsid w:val="00C73C84"/>
    <w:rsid w:val="00C77810"/>
    <w:rsid w:val="00C822A1"/>
    <w:rsid w:val="00C86FEE"/>
    <w:rsid w:val="00C9159B"/>
    <w:rsid w:val="00C92EE9"/>
    <w:rsid w:val="00C92F55"/>
    <w:rsid w:val="00C93108"/>
    <w:rsid w:val="00C94939"/>
    <w:rsid w:val="00C9722F"/>
    <w:rsid w:val="00CB25CC"/>
    <w:rsid w:val="00CB36E6"/>
    <w:rsid w:val="00CB530D"/>
    <w:rsid w:val="00CC025F"/>
    <w:rsid w:val="00CC16A3"/>
    <w:rsid w:val="00CC491A"/>
    <w:rsid w:val="00CC5CBA"/>
    <w:rsid w:val="00CC71DC"/>
    <w:rsid w:val="00CC74D4"/>
    <w:rsid w:val="00CC7C36"/>
    <w:rsid w:val="00CD39F0"/>
    <w:rsid w:val="00CD3BC3"/>
    <w:rsid w:val="00CD5F7D"/>
    <w:rsid w:val="00CD7678"/>
    <w:rsid w:val="00CE1A65"/>
    <w:rsid w:val="00CE7206"/>
    <w:rsid w:val="00CE75EA"/>
    <w:rsid w:val="00CF5724"/>
    <w:rsid w:val="00D00307"/>
    <w:rsid w:val="00D02B15"/>
    <w:rsid w:val="00D035AB"/>
    <w:rsid w:val="00D05B8B"/>
    <w:rsid w:val="00D074D9"/>
    <w:rsid w:val="00D164BF"/>
    <w:rsid w:val="00D165F2"/>
    <w:rsid w:val="00D16E67"/>
    <w:rsid w:val="00D23269"/>
    <w:rsid w:val="00D2334B"/>
    <w:rsid w:val="00D24ED5"/>
    <w:rsid w:val="00D26F0A"/>
    <w:rsid w:val="00D2751F"/>
    <w:rsid w:val="00D30760"/>
    <w:rsid w:val="00D30FD0"/>
    <w:rsid w:val="00D33DB8"/>
    <w:rsid w:val="00D35B49"/>
    <w:rsid w:val="00D3704A"/>
    <w:rsid w:val="00D40328"/>
    <w:rsid w:val="00D41449"/>
    <w:rsid w:val="00D417AD"/>
    <w:rsid w:val="00D438EE"/>
    <w:rsid w:val="00D548EE"/>
    <w:rsid w:val="00D5513E"/>
    <w:rsid w:val="00D56511"/>
    <w:rsid w:val="00D65ADB"/>
    <w:rsid w:val="00D66A58"/>
    <w:rsid w:val="00D6718F"/>
    <w:rsid w:val="00D67E4A"/>
    <w:rsid w:val="00D70919"/>
    <w:rsid w:val="00D710C5"/>
    <w:rsid w:val="00D758A2"/>
    <w:rsid w:val="00D76CA9"/>
    <w:rsid w:val="00D81E5B"/>
    <w:rsid w:val="00D83840"/>
    <w:rsid w:val="00D912B5"/>
    <w:rsid w:val="00D9276E"/>
    <w:rsid w:val="00D96461"/>
    <w:rsid w:val="00D979A9"/>
    <w:rsid w:val="00DA0D69"/>
    <w:rsid w:val="00DA1335"/>
    <w:rsid w:val="00DA706D"/>
    <w:rsid w:val="00DB1868"/>
    <w:rsid w:val="00DB1D72"/>
    <w:rsid w:val="00DB5AA4"/>
    <w:rsid w:val="00DC4B13"/>
    <w:rsid w:val="00DC4BE5"/>
    <w:rsid w:val="00DD1D83"/>
    <w:rsid w:val="00DD4740"/>
    <w:rsid w:val="00DD5AD8"/>
    <w:rsid w:val="00DE07AF"/>
    <w:rsid w:val="00DE383F"/>
    <w:rsid w:val="00DE7F1A"/>
    <w:rsid w:val="00DF1024"/>
    <w:rsid w:val="00DF239A"/>
    <w:rsid w:val="00DF4DFD"/>
    <w:rsid w:val="00DF607F"/>
    <w:rsid w:val="00DF61C0"/>
    <w:rsid w:val="00E00007"/>
    <w:rsid w:val="00E02D5C"/>
    <w:rsid w:val="00E04BEB"/>
    <w:rsid w:val="00E0741D"/>
    <w:rsid w:val="00E07C60"/>
    <w:rsid w:val="00E108F2"/>
    <w:rsid w:val="00E216DD"/>
    <w:rsid w:val="00E21B8D"/>
    <w:rsid w:val="00E22D53"/>
    <w:rsid w:val="00E22FCE"/>
    <w:rsid w:val="00E2505B"/>
    <w:rsid w:val="00E26ABE"/>
    <w:rsid w:val="00E31317"/>
    <w:rsid w:val="00E345B8"/>
    <w:rsid w:val="00E4161C"/>
    <w:rsid w:val="00E42196"/>
    <w:rsid w:val="00E51228"/>
    <w:rsid w:val="00E528F3"/>
    <w:rsid w:val="00E56413"/>
    <w:rsid w:val="00E727D5"/>
    <w:rsid w:val="00E732EE"/>
    <w:rsid w:val="00E803F4"/>
    <w:rsid w:val="00E82015"/>
    <w:rsid w:val="00E8325C"/>
    <w:rsid w:val="00E84AD4"/>
    <w:rsid w:val="00E85498"/>
    <w:rsid w:val="00E87240"/>
    <w:rsid w:val="00E87799"/>
    <w:rsid w:val="00E9386A"/>
    <w:rsid w:val="00E93A7E"/>
    <w:rsid w:val="00E9546F"/>
    <w:rsid w:val="00E95782"/>
    <w:rsid w:val="00EA16B0"/>
    <w:rsid w:val="00EA2779"/>
    <w:rsid w:val="00EA31A2"/>
    <w:rsid w:val="00EA36D4"/>
    <w:rsid w:val="00EA6A60"/>
    <w:rsid w:val="00EB4556"/>
    <w:rsid w:val="00EB5796"/>
    <w:rsid w:val="00EB6C64"/>
    <w:rsid w:val="00EC0185"/>
    <w:rsid w:val="00EC209F"/>
    <w:rsid w:val="00EC2E3A"/>
    <w:rsid w:val="00EC451C"/>
    <w:rsid w:val="00ED2DD7"/>
    <w:rsid w:val="00EE1654"/>
    <w:rsid w:val="00EE3AD0"/>
    <w:rsid w:val="00EE6B08"/>
    <w:rsid w:val="00EF2D9D"/>
    <w:rsid w:val="00EF3228"/>
    <w:rsid w:val="00EF3E26"/>
    <w:rsid w:val="00EF7981"/>
    <w:rsid w:val="00F027B0"/>
    <w:rsid w:val="00F05847"/>
    <w:rsid w:val="00F05EBA"/>
    <w:rsid w:val="00F07345"/>
    <w:rsid w:val="00F07AED"/>
    <w:rsid w:val="00F109C2"/>
    <w:rsid w:val="00F1147C"/>
    <w:rsid w:val="00F12182"/>
    <w:rsid w:val="00F14398"/>
    <w:rsid w:val="00F15F69"/>
    <w:rsid w:val="00F222E0"/>
    <w:rsid w:val="00F22775"/>
    <w:rsid w:val="00F23C5F"/>
    <w:rsid w:val="00F2606F"/>
    <w:rsid w:val="00F265A1"/>
    <w:rsid w:val="00F26CD7"/>
    <w:rsid w:val="00F3025E"/>
    <w:rsid w:val="00F30EBB"/>
    <w:rsid w:val="00F328FF"/>
    <w:rsid w:val="00F32929"/>
    <w:rsid w:val="00F34947"/>
    <w:rsid w:val="00F51803"/>
    <w:rsid w:val="00F51AC3"/>
    <w:rsid w:val="00F52217"/>
    <w:rsid w:val="00F5281C"/>
    <w:rsid w:val="00F52FAD"/>
    <w:rsid w:val="00F54C6B"/>
    <w:rsid w:val="00F55380"/>
    <w:rsid w:val="00F55834"/>
    <w:rsid w:val="00F55AAB"/>
    <w:rsid w:val="00F55E8C"/>
    <w:rsid w:val="00F66DB3"/>
    <w:rsid w:val="00F708A5"/>
    <w:rsid w:val="00F719A2"/>
    <w:rsid w:val="00F721BE"/>
    <w:rsid w:val="00F72B4A"/>
    <w:rsid w:val="00F72D28"/>
    <w:rsid w:val="00F73034"/>
    <w:rsid w:val="00F7485E"/>
    <w:rsid w:val="00F76BE2"/>
    <w:rsid w:val="00F83DF1"/>
    <w:rsid w:val="00F84AC9"/>
    <w:rsid w:val="00F858DF"/>
    <w:rsid w:val="00F864C3"/>
    <w:rsid w:val="00F91723"/>
    <w:rsid w:val="00F92C82"/>
    <w:rsid w:val="00F92CEE"/>
    <w:rsid w:val="00F9351D"/>
    <w:rsid w:val="00FA2212"/>
    <w:rsid w:val="00FA37DC"/>
    <w:rsid w:val="00FA5233"/>
    <w:rsid w:val="00FB4748"/>
    <w:rsid w:val="00FB57DB"/>
    <w:rsid w:val="00FB6A68"/>
    <w:rsid w:val="00FC10CE"/>
    <w:rsid w:val="00FC197F"/>
    <w:rsid w:val="00FC295A"/>
    <w:rsid w:val="00FC54E7"/>
    <w:rsid w:val="00FC5844"/>
    <w:rsid w:val="00FD66B8"/>
    <w:rsid w:val="00FD7432"/>
    <w:rsid w:val="00FD770C"/>
    <w:rsid w:val="00FD7CBD"/>
    <w:rsid w:val="00FE0180"/>
    <w:rsid w:val="00FE1A32"/>
    <w:rsid w:val="00FE4C9B"/>
    <w:rsid w:val="00FE73C1"/>
    <w:rsid w:val="00FF2EAB"/>
    <w:rsid w:val="00FF40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ACE1C"/>
  <w15:docId w15:val="{B7C1E07A-A9A0-4922-87E4-ABC0BF0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10"/>
    <w:rPr>
      <w:rFonts w:ascii="Arial" w:hAnsi="Arial"/>
      <w:color w:val="000000"/>
      <w:sz w:val="24"/>
      <w:szCs w:val="24"/>
    </w:rPr>
  </w:style>
  <w:style w:type="paragraph" w:styleId="Titre1">
    <w:name w:val="heading 1"/>
    <w:basedOn w:val="Normal"/>
    <w:next w:val="Normal"/>
    <w:link w:val="Titre1Car"/>
    <w:autoRedefine/>
    <w:uiPriority w:val="99"/>
    <w:qFormat/>
    <w:rsid w:val="00595F94"/>
    <w:pPr>
      <w:keepNext/>
      <w:keepLines/>
      <w:spacing w:before="480"/>
      <w:outlineLvl w:val="0"/>
    </w:pPr>
    <w:rPr>
      <w:rFonts w:eastAsia="Times New Roman"/>
      <w:b/>
      <w:bCs/>
      <w:color w:val="244061"/>
      <w:sz w:val="36"/>
      <w:szCs w:val="28"/>
    </w:rPr>
  </w:style>
  <w:style w:type="paragraph" w:styleId="Titre2">
    <w:name w:val="heading 2"/>
    <w:basedOn w:val="Normal"/>
    <w:next w:val="Normal"/>
    <w:link w:val="Titre2Car"/>
    <w:autoRedefine/>
    <w:uiPriority w:val="99"/>
    <w:qFormat/>
    <w:rsid w:val="00E95782"/>
    <w:pPr>
      <w:jc w:val="both"/>
      <w:outlineLvl w:val="1"/>
    </w:pPr>
    <w:rPr>
      <w:rFonts w:eastAsia="Times New Roman"/>
      <w:b/>
      <w:bCs/>
      <w:color w:val="auto"/>
      <w:lang w:val="fr-FR"/>
    </w:rPr>
  </w:style>
  <w:style w:type="paragraph" w:styleId="Titre3">
    <w:name w:val="heading 3"/>
    <w:basedOn w:val="Normal"/>
    <w:next w:val="Normal"/>
    <w:link w:val="Titre3Car"/>
    <w:autoRedefine/>
    <w:uiPriority w:val="99"/>
    <w:qFormat/>
    <w:rsid w:val="0046010A"/>
    <w:pPr>
      <w:keepNext/>
      <w:keepLines/>
      <w:spacing w:before="200"/>
      <w:outlineLvl w:val="2"/>
    </w:pPr>
    <w:rPr>
      <w:rFonts w:eastAsia="Times New Roman"/>
      <w:b/>
      <w:bCs/>
      <w:color w:val="auto"/>
      <w:lang w:val="fr-FR"/>
    </w:rPr>
  </w:style>
  <w:style w:type="paragraph" w:styleId="Titre4">
    <w:name w:val="heading 4"/>
    <w:basedOn w:val="Normal"/>
    <w:next w:val="Normal"/>
    <w:link w:val="Titre4Car"/>
    <w:uiPriority w:val="99"/>
    <w:qFormat/>
    <w:rsid w:val="00CC74D4"/>
    <w:pPr>
      <w:keepNext/>
      <w:keepLines/>
      <w:spacing w:before="200"/>
      <w:ind w:left="708"/>
      <w:outlineLvl w:val="3"/>
    </w:pPr>
    <w:rPr>
      <w:rFonts w:eastAsia="MS Mincho"/>
      <w: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95F94"/>
    <w:rPr>
      <w:rFonts w:ascii="Arial" w:hAnsi="Arial" w:cs="Times New Roman"/>
      <w:b/>
      <w:bCs/>
      <w:color w:val="244061"/>
      <w:sz w:val="28"/>
      <w:szCs w:val="28"/>
    </w:rPr>
  </w:style>
  <w:style w:type="character" w:customStyle="1" w:styleId="Titre2Car">
    <w:name w:val="Titre 2 Car"/>
    <w:basedOn w:val="Policepardfaut"/>
    <w:link w:val="Titre2"/>
    <w:uiPriority w:val="99"/>
    <w:locked/>
    <w:rsid w:val="00E95782"/>
    <w:rPr>
      <w:rFonts w:ascii="Arial" w:eastAsia="Times New Roman" w:hAnsi="Arial"/>
      <w:b/>
      <w:bCs/>
      <w:sz w:val="24"/>
      <w:szCs w:val="24"/>
      <w:lang w:val="fr-FR"/>
    </w:rPr>
  </w:style>
  <w:style w:type="character" w:customStyle="1" w:styleId="Titre3Car">
    <w:name w:val="Titre 3 Car"/>
    <w:basedOn w:val="Policepardfaut"/>
    <w:link w:val="Titre3"/>
    <w:uiPriority w:val="99"/>
    <w:locked/>
    <w:rsid w:val="0046010A"/>
    <w:rPr>
      <w:rFonts w:ascii="Arial" w:hAnsi="Arial" w:cs="Times New Roman"/>
      <w:b/>
      <w:bCs/>
      <w:sz w:val="24"/>
      <w:szCs w:val="24"/>
      <w:lang w:val="fr-FR" w:eastAsia="fr-CA"/>
    </w:rPr>
  </w:style>
  <w:style w:type="character" w:customStyle="1" w:styleId="Titre4Car">
    <w:name w:val="Titre 4 Car"/>
    <w:basedOn w:val="Policepardfaut"/>
    <w:link w:val="Titre4"/>
    <w:uiPriority w:val="99"/>
    <w:locked/>
    <w:rsid w:val="00CC74D4"/>
    <w:rPr>
      <w:rFonts w:ascii="Arial" w:eastAsia="MS Mincho" w:hAnsi="Arial"/>
      <w:i/>
      <w:sz w:val="24"/>
      <w:szCs w:val="24"/>
    </w:rPr>
  </w:style>
  <w:style w:type="paragraph" w:styleId="Textedebulles">
    <w:name w:val="Balloon Text"/>
    <w:basedOn w:val="Normal"/>
    <w:link w:val="TextedebullesCar"/>
    <w:uiPriority w:val="99"/>
    <w:semiHidden/>
    <w:rsid w:val="00904E1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04E10"/>
    <w:rPr>
      <w:rFonts w:ascii="Tahoma" w:hAnsi="Tahoma" w:cs="Tahoma"/>
      <w:color w:val="000000"/>
      <w:sz w:val="16"/>
      <w:szCs w:val="16"/>
      <w:lang w:eastAsia="fr-CA"/>
    </w:rPr>
  </w:style>
  <w:style w:type="paragraph" w:styleId="En-ttedetabledesmatires">
    <w:name w:val="TOC Heading"/>
    <w:basedOn w:val="Titre1"/>
    <w:next w:val="Normal"/>
    <w:autoRedefine/>
    <w:uiPriority w:val="99"/>
    <w:qFormat/>
    <w:rsid w:val="00DB1D72"/>
    <w:pPr>
      <w:spacing w:line="276" w:lineRule="auto"/>
      <w:outlineLvl w:val="9"/>
    </w:pPr>
    <w:rPr>
      <w:color w:val="auto"/>
      <w:szCs w:val="36"/>
      <w:lang w:val="fr-FR" w:eastAsia="en-US"/>
    </w:rPr>
  </w:style>
  <w:style w:type="paragraph" w:styleId="Normalcentr">
    <w:name w:val="Block Text"/>
    <w:basedOn w:val="Normal"/>
    <w:uiPriority w:val="99"/>
    <w:semiHidden/>
    <w:rsid w:val="00904E10"/>
    <w:pPr>
      <w:ind w:left="1440" w:right="1440" w:firstLine="706"/>
      <w:jc w:val="both"/>
    </w:pPr>
    <w:rPr>
      <w:rFonts w:eastAsia="Times New Roman"/>
      <w:color w:val="auto"/>
      <w:lang w:eastAsia="fr-FR"/>
    </w:rPr>
  </w:style>
  <w:style w:type="paragraph" w:styleId="Paragraphedeliste">
    <w:name w:val="List Paragraph"/>
    <w:basedOn w:val="Normal"/>
    <w:uiPriority w:val="34"/>
    <w:qFormat/>
    <w:rsid w:val="00C822A1"/>
    <w:pPr>
      <w:spacing w:after="200" w:line="276" w:lineRule="auto"/>
      <w:ind w:left="720"/>
      <w:contextualSpacing/>
    </w:pPr>
    <w:rPr>
      <w:rFonts w:ascii="Calibri" w:hAnsi="Calibri"/>
      <w:color w:val="auto"/>
      <w:sz w:val="22"/>
      <w:szCs w:val="22"/>
      <w:lang w:eastAsia="en-US"/>
    </w:rPr>
  </w:style>
  <w:style w:type="paragraph" w:styleId="Notedebasdepage">
    <w:name w:val="footnote text"/>
    <w:basedOn w:val="Normal"/>
    <w:link w:val="NotedebasdepageCar"/>
    <w:uiPriority w:val="99"/>
    <w:semiHidden/>
    <w:rsid w:val="00C16F0F"/>
    <w:rPr>
      <w:sz w:val="20"/>
      <w:szCs w:val="20"/>
    </w:rPr>
  </w:style>
  <w:style w:type="character" w:customStyle="1" w:styleId="NotedebasdepageCar">
    <w:name w:val="Note de bas de page Car"/>
    <w:basedOn w:val="Policepardfaut"/>
    <w:link w:val="Notedebasdepage"/>
    <w:uiPriority w:val="99"/>
    <w:semiHidden/>
    <w:locked/>
    <w:rsid w:val="00C16F0F"/>
    <w:rPr>
      <w:rFonts w:ascii="Arial" w:hAnsi="Arial" w:cs="Times New Roman"/>
      <w:color w:val="000000"/>
      <w:sz w:val="20"/>
      <w:szCs w:val="20"/>
      <w:lang w:eastAsia="fr-CA"/>
    </w:rPr>
  </w:style>
  <w:style w:type="character" w:styleId="Appelnotedebasdep">
    <w:name w:val="footnote reference"/>
    <w:basedOn w:val="Policepardfaut"/>
    <w:uiPriority w:val="99"/>
    <w:semiHidden/>
    <w:rsid w:val="00C16F0F"/>
    <w:rPr>
      <w:rFonts w:cs="Times New Roman"/>
      <w:vertAlign w:val="superscript"/>
    </w:rPr>
  </w:style>
  <w:style w:type="character" w:styleId="Lienhypertexte">
    <w:name w:val="Hyperlink"/>
    <w:basedOn w:val="Policepardfaut"/>
    <w:uiPriority w:val="99"/>
    <w:rsid w:val="00C16F0F"/>
    <w:rPr>
      <w:rFonts w:cs="Times New Roman"/>
      <w:color w:val="0000FF"/>
      <w:u w:val="single"/>
    </w:rPr>
  </w:style>
  <w:style w:type="paragraph" w:styleId="TM2">
    <w:name w:val="toc 2"/>
    <w:basedOn w:val="Normal"/>
    <w:next w:val="Normal"/>
    <w:autoRedefine/>
    <w:uiPriority w:val="39"/>
    <w:rsid w:val="00756B0E"/>
    <w:pPr>
      <w:spacing w:after="100"/>
      <w:ind w:left="240"/>
    </w:pPr>
  </w:style>
  <w:style w:type="paragraph" w:styleId="TM1">
    <w:name w:val="toc 1"/>
    <w:basedOn w:val="Normal"/>
    <w:next w:val="Normal"/>
    <w:autoRedefine/>
    <w:uiPriority w:val="39"/>
    <w:rsid w:val="00443D95"/>
    <w:pPr>
      <w:tabs>
        <w:tab w:val="right" w:leader="dot" w:pos="8630"/>
      </w:tabs>
      <w:spacing w:after="100" w:line="360" w:lineRule="auto"/>
    </w:pPr>
    <w:rPr>
      <w:caps/>
    </w:rPr>
  </w:style>
  <w:style w:type="paragraph" w:styleId="TM3">
    <w:name w:val="toc 3"/>
    <w:basedOn w:val="Normal"/>
    <w:next w:val="Normal"/>
    <w:autoRedefine/>
    <w:uiPriority w:val="99"/>
    <w:rsid w:val="00A01879"/>
    <w:pPr>
      <w:spacing w:after="100"/>
      <w:ind w:left="480"/>
    </w:pPr>
  </w:style>
  <w:style w:type="paragraph" w:styleId="Citation">
    <w:name w:val="Quote"/>
    <w:basedOn w:val="Titre4"/>
    <w:next w:val="Normal"/>
    <w:link w:val="CitationCar"/>
    <w:uiPriority w:val="99"/>
    <w:qFormat/>
    <w:rsid w:val="000F2C34"/>
    <w:pPr>
      <w:keepNext w:val="0"/>
      <w:keepLines w:val="0"/>
      <w:spacing w:line="276" w:lineRule="auto"/>
      <w:ind w:left="709"/>
      <w:jc w:val="both"/>
    </w:pPr>
  </w:style>
  <w:style w:type="character" w:customStyle="1" w:styleId="CitationCar">
    <w:name w:val="Citation Car"/>
    <w:basedOn w:val="Policepardfaut"/>
    <w:link w:val="Citation"/>
    <w:uiPriority w:val="99"/>
    <w:locked/>
    <w:rsid w:val="000F2C34"/>
    <w:rPr>
      <w:rFonts w:ascii="Arial" w:eastAsia="MS Mincho" w:hAnsi="Arial"/>
      <w:i/>
      <w:sz w:val="24"/>
      <w:szCs w:val="24"/>
    </w:rPr>
  </w:style>
  <w:style w:type="character" w:customStyle="1" w:styleId="nobold">
    <w:name w:val="nobold"/>
    <w:basedOn w:val="Policepardfaut"/>
    <w:uiPriority w:val="99"/>
    <w:rsid w:val="00DC4B13"/>
    <w:rPr>
      <w:rFonts w:cs="Times New Roman"/>
    </w:rPr>
  </w:style>
  <w:style w:type="paragraph" w:styleId="En-tte">
    <w:name w:val="header"/>
    <w:basedOn w:val="Normal"/>
    <w:link w:val="En-tteCar"/>
    <w:uiPriority w:val="99"/>
    <w:rsid w:val="00FC10CE"/>
    <w:pPr>
      <w:tabs>
        <w:tab w:val="center" w:pos="4320"/>
        <w:tab w:val="right" w:pos="8640"/>
      </w:tabs>
    </w:pPr>
  </w:style>
  <w:style w:type="character" w:customStyle="1" w:styleId="En-tteCar">
    <w:name w:val="En-tête Car"/>
    <w:basedOn w:val="Policepardfaut"/>
    <w:link w:val="En-tte"/>
    <w:uiPriority w:val="99"/>
    <w:locked/>
    <w:rsid w:val="00FC10CE"/>
    <w:rPr>
      <w:rFonts w:ascii="Arial" w:hAnsi="Arial" w:cs="Times New Roman"/>
      <w:color w:val="000000"/>
      <w:sz w:val="24"/>
      <w:szCs w:val="24"/>
      <w:lang w:eastAsia="fr-CA"/>
    </w:rPr>
  </w:style>
  <w:style w:type="paragraph" w:styleId="Pieddepage">
    <w:name w:val="footer"/>
    <w:basedOn w:val="Normal"/>
    <w:link w:val="PieddepageCar"/>
    <w:uiPriority w:val="99"/>
    <w:rsid w:val="00FC10CE"/>
    <w:pPr>
      <w:tabs>
        <w:tab w:val="center" w:pos="4320"/>
        <w:tab w:val="right" w:pos="8640"/>
      </w:tabs>
    </w:pPr>
  </w:style>
  <w:style w:type="character" w:customStyle="1" w:styleId="PieddepageCar">
    <w:name w:val="Pied de page Car"/>
    <w:basedOn w:val="Policepardfaut"/>
    <w:link w:val="Pieddepage"/>
    <w:uiPriority w:val="99"/>
    <w:locked/>
    <w:rsid w:val="00FC10CE"/>
    <w:rPr>
      <w:rFonts w:ascii="Arial" w:hAnsi="Arial" w:cs="Times New Roman"/>
      <w:color w:val="000000"/>
      <w:sz w:val="24"/>
      <w:szCs w:val="24"/>
      <w:lang w:eastAsia="fr-CA"/>
    </w:rPr>
  </w:style>
  <w:style w:type="character" w:styleId="Marquedecommentaire">
    <w:name w:val="annotation reference"/>
    <w:basedOn w:val="Policepardfaut"/>
    <w:uiPriority w:val="99"/>
    <w:semiHidden/>
    <w:rsid w:val="00846CB0"/>
    <w:rPr>
      <w:rFonts w:cs="Times New Roman"/>
      <w:sz w:val="16"/>
      <w:szCs w:val="16"/>
    </w:rPr>
  </w:style>
  <w:style w:type="paragraph" w:styleId="Commentaire">
    <w:name w:val="annotation text"/>
    <w:basedOn w:val="Normal"/>
    <w:link w:val="CommentaireCar"/>
    <w:uiPriority w:val="99"/>
    <w:semiHidden/>
    <w:rsid w:val="00846CB0"/>
    <w:rPr>
      <w:sz w:val="20"/>
      <w:szCs w:val="20"/>
    </w:rPr>
  </w:style>
  <w:style w:type="character" w:customStyle="1" w:styleId="CommentaireCar">
    <w:name w:val="Commentaire Car"/>
    <w:basedOn w:val="Policepardfaut"/>
    <w:link w:val="Commentaire"/>
    <w:uiPriority w:val="99"/>
    <w:semiHidden/>
    <w:locked/>
    <w:rsid w:val="00846CB0"/>
    <w:rPr>
      <w:rFonts w:ascii="Arial" w:hAnsi="Arial" w:cs="Times New Roman"/>
      <w:color w:val="000000"/>
      <w:sz w:val="20"/>
      <w:szCs w:val="20"/>
      <w:lang w:eastAsia="fr-CA"/>
    </w:rPr>
  </w:style>
  <w:style w:type="paragraph" w:styleId="Objetducommentaire">
    <w:name w:val="annotation subject"/>
    <w:basedOn w:val="Commentaire"/>
    <w:next w:val="Commentaire"/>
    <w:link w:val="ObjetducommentaireCar"/>
    <w:uiPriority w:val="99"/>
    <w:semiHidden/>
    <w:rsid w:val="00846CB0"/>
    <w:rPr>
      <w:b/>
      <w:bCs/>
    </w:rPr>
  </w:style>
  <w:style w:type="character" w:customStyle="1" w:styleId="ObjetducommentaireCar">
    <w:name w:val="Objet du commentaire Car"/>
    <w:basedOn w:val="CommentaireCar"/>
    <w:link w:val="Objetducommentaire"/>
    <w:uiPriority w:val="99"/>
    <w:semiHidden/>
    <w:locked/>
    <w:rsid w:val="00846CB0"/>
    <w:rPr>
      <w:rFonts w:ascii="Arial" w:hAnsi="Arial" w:cs="Times New Roman"/>
      <w:b/>
      <w:bCs/>
      <w:color w:val="000000"/>
      <w:sz w:val="20"/>
      <w:szCs w:val="20"/>
      <w:lang w:eastAsia="fr-CA"/>
    </w:rPr>
  </w:style>
  <w:style w:type="paragraph" w:styleId="Listepuces">
    <w:name w:val="List Bullet"/>
    <w:basedOn w:val="Normal"/>
    <w:uiPriority w:val="99"/>
    <w:rsid w:val="0018310F"/>
    <w:pPr>
      <w:numPr>
        <w:numId w:val="19"/>
      </w:numPr>
      <w:tabs>
        <w:tab w:val="num" w:pos="360"/>
      </w:tabs>
      <w:ind w:left="360"/>
      <w:contextualSpacing/>
    </w:pPr>
  </w:style>
  <w:style w:type="character" w:styleId="Lienhypertextesuivivisit">
    <w:name w:val="FollowedHyperlink"/>
    <w:basedOn w:val="Policepardfaut"/>
    <w:uiPriority w:val="99"/>
    <w:semiHidden/>
    <w:rsid w:val="00EA31A2"/>
    <w:rPr>
      <w:rFonts w:cs="Times New Roman"/>
      <w:color w:val="800080"/>
      <w:u w:val="single"/>
    </w:rPr>
  </w:style>
  <w:style w:type="paragraph" w:styleId="TM4">
    <w:name w:val="toc 4"/>
    <w:basedOn w:val="Normal"/>
    <w:next w:val="Normal"/>
    <w:autoRedefine/>
    <w:uiPriority w:val="99"/>
    <w:rsid w:val="00593A5B"/>
    <w:pPr>
      <w:spacing w:after="100"/>
      <w:ind w:left="720"/>
    </w:pPr>
  </w:style>
  <w:style w:type="paragraph" w:customStyle="1" w:styleId="PALFs">
    <w:name w:val="PALFs"/>
    <w:basedOn w:val="Normal"/>
    <w:link w:val="PALFsCar"/>
    <w:uiPriority w:val="99"/>
    <w:rsid w:val="00756B0E"/>
    <w:rPr>
      <w:rFonts w:eastAsia="Times New Roman"/>
      <w:color w:val="auto"/>
      <w:lang w:val="fr-FR"/>
    </w:rPr>
  </w:style>
  <w:style w:type="character" w:customStyle="1" w:styleId="PALFsCar">
    <w:name w:val="PALFs Car"/>
    <w:basedOn w:val="Policepardfaut"/>
    <w:link w:val="PALFs"/>
    <w:uiPriority w:val="99"/>
    <w:locked/>
    <w:rsid w:val="00756B0E"/>
    <w:rPr>
      <w:rFonts w:ascii="Arial" w:hAnsi="Arial" w:cs="Times New Roman"/>
      <w:sz w:val="24"/>
      <w:szCs w:val="24"/>
      <w:lang w:val="fr-FR"/>
    </w:rPr>
  </w:style>
  <w:style w:type="paragraph" w:styleId="Titre">
    <w:name w:val="Title"/>
    <w:basedOn w:val="Normal"/>
    <w:next w:val="Normal"/>
    <w:link w:val="TitreCar"/>
    <w:uiPriority w:val="99"/>
    <w:qFormat/>
    <w:locked/>
    <w:rsid w:val="00756B0E"/>
    <w:pPr>
      <w:pBdr>
        <w:bottom w:val="single" w:sz="8" w:space="4" w:color="DDDDDD"/>
      </w:pBdr>
      <w:spacing w:after="300"/>
      <w:contextualSpacing/>
    </w:pPr>
    <w:rPr>
      <w:rFonts w:eastAsia="Times New Roman"/>
      <w:spacing w:val="5"/>
      <w:kern w:val="28"/>
      <w:sz w:val="52"/>
      <w:szCs w:val="52"/>
    </w:rPr>
  </w:style>
  <w:style w:type="character" w:customStyle="1" w:styleId="TitreCar">
    <w:name w:val="Titre Car"/>
    <w:basedOn w:val="Policepardfaut"/>
    <w:link w:val="Titre"/>
    <w:uiPriority w:val="99"/>
    <w:locked/>
    <w:rsid w:val="00756B0E"/>
    <w:rPr>
      <w:rFonts w:ascii="Arial" w:hAnsi="Arial" w:cs="Times New Roman"/>
      <w:color w:val="000000"/>
      <w:spacing w:val="5"/>
      <w:kern w:val="28"/>
      <w:sz w:val="52"/>
      <w:szCs w:val="52"/>
    </w:rPr>
  </w:style>
  <w:style w:type="paragraph" w:styleId="Rvision">
    <w:name w:val="Revision"/>
    <w:hidden/>
    <w:uiPriority w:val="99"/>
    <w:semiHidden/>
    <w:rsid w:val="00BC1115"/>
    <w:rPr>
      <w:rFonts w:ascii="Arial" w:hAnsi="Arial"/>
      <w:color w:val="000000"/>
      <w:sz w:val="24"/>
      <w:szCs w:val="24"/>
    </w:rPr>
  </w:style>
  <w:style w:type="character" w:styleId="Mentionnonrsolue">
    <w:name w:val="Unresolved Mention"/>
    <w:basedOn w:val="Policepardfaut"/>
    <w:uiPriority w:val="99"/>
    <w:semiHidden/>
    <w:unhideWhenUsed/>
    <w:rsid w:val="00BA04AB"/>
    <w:rPr>
      <w:color w:val="605E5C"/>
      <w:shd w:val="clear" w:color="auto" w:fill="E1DFDD"/>
    </w:rPr>
  </w:style>
  <w:style w:type="character" w:styleId="Accentuation">
    <w:name w:val="Emphasis"/>
    <w:basedOn w:val="Policepardfaut"/>
    <w:uiPriority w:val="20"/>
    <w:qFormat/>
    <w:locked/>
    <w:rsid w:val="00577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013">
      <w:bodyDiv w:val="1"/>
      <w:marLeft w:val="0"/>
      <w:marRight w:val="0"/>
      <w:marTop w:val="0"/>
      <w:marBottom w:val="0"/>
      <w:divBdr>
        <w:top w:val="none" w:sz="0" w:space="0" w:color="auto"/>
        <w:left w:val="none" w:sz="0" w:space="0" w:color="auto"/>
        <w:bottom w:val="none" w:sz="0" w:space="0" w:color="auto"/>
        <w:right w:val="none" w:sz="0" w:space="0" w:color="auto"/>
      </w:divBdr>
    </w:div>
    <w:div w:id="575407736">
      <w:bodyDiv w:val="1"/>
      <w:marLeft w:val="0"/>
      <w:marRight w:val="0"/>
      <w:marTop w:val="0"/>
      <w:marBottom w:val="0"/>
      <w:divBdr>
        <w:top w:val="none" w:sz="0" w:space="0" w:color="auto"/>
        <w:left w:val="none" w:sz="0" w:space="0" w:color="auto"/>
        <w:bottom w:val="none" w:sz="0" w:space="0" w:color="auto"/>
        <w:right w:val="none" w:sz="0" w:space="0" w:color="auto"/>
      </w:divBdr>
    </w:div>
    <w:div w:id="1153109612">
      <w:bodyDiv w:val="1"/>
      <w:marLeft w:val="0"/>
      <w:marRight w:val="0"/>
      <w:marTop w:val="0"/>
      <w:marBottom w:val="0"/>
      <w:divBdr>
        <w:top w:val="none" w:sz="0" w:space="0" w:color="auto"/>
        <w:left w:val="none" w:sz="0" w:space="0" w:color="auto"/>
        <w:bottom w:val="none" w:sz="0" w:space="0" w:color="auto"/>
        <w:right w:val="none" w:sz="0" w:space="0" w:color="auto"/>
      </w:divBdr>
    </w:div>
    <w:div w:id="1656101940">
      <w:marLeft w:val="0"/>
      <w:marRight w:val="0"/>
      <w:marTop w:val="0"/>
      <w:marBottom w:val="0"/>
      <w:divBdr>
        <w:top w:val="none" w:sz="0" w:space="0" w:color="auto"/>
        <w:left w:val="none" w:sz="0" w:space="0" w:color="auto"/>
        <w:bottom w:val="none" w:sz="0" w:space="0" w:color="auto"/>
        <w:right w:val="none" w:sz="0" w:space="0" w:color="auto"/>
      </w:divBdr>
      <w:divsChild>
        <w:div w:id="1656101942">
          <w:marLeft w:val="0"/>
          <w:marRight w:val="0"/>
          <w:marTop w:val="0"/>
          <w:marBottom w:val="0"/>
          <w:divBdr>
            <w:top w:val="none" w:sz="0" w:space="0" w:color="auto"/>
            <w:left w:val="none" w:sz="0" w:space="0" w:color="auto"/>
            <w:bottom w:val="none" w:sz="0" w:space="0" w:color="auto"/>
            <w:right w:val="none" w:sz="0" w:space="0" w:color="auto"/>
          </w:divBdr>
          <w:divsChild>
            <w:div w:id="1656101941">
              <w:marLeft w:val="0"/>
              <w:marRight w:val="0"/>
              <w:marTop w:val="0"/>
              <w:marBottom w:val="0"/>
              <w:divBdr>
                <w:top w:val="none" w:sz="0" w:space="0" w:color="auto"/>
                <w:left w:val="none" w:sz="0" w:space="0" w:color="auto"/>
                <w:bottom w:val="none" w:sz="0" w:space="0" w:color="auto"/>
                <w:right w:val="none" w:sz="0" w:space="0" w:color="auto"/>
              </w:divBdr>
            </w:div>
            <w:div w:id="1656102097">
              <w:marLeft w:val="0"/>
              <w:marRight w:val="0"/>
              <w:marTop w:val="0"/>
              <w:marBottom w:val="0"/>
              <w:divBdr>
                <w:top w:val="none" w:sz="0" w:space="0" w:color="auto"/>
                <w:left w:val="none" w:sz="0" w:space="0" w:color="auto"/>
                <w:bottom w:val="none" w:sz="0" w:space="0" w:color="auto"/>
                <w:right w:val="none" w:sz="0" w:space="0" w:color="auto"/>
              </w:divBdr>
            </w:div>
            <w:div w:id="1656102098">
              <w:marLeft w:val="0"/>
              <w:marRight w:val="0"/>
              <w:marTop w:val="0"/>
              <w:marBottom w:val="0"/>
              <w:divBdr>
                <w:top w:val="none" w:sz="0" w:space="0" w:color="auto"/>
                <w:left w:val="none" w:sz="0" w:space="0" w:color="auto"/>
                <w:bottom w:val="none" w:sz="0" w:space="0" w:color="auto"/>
                <w:right w:val="none" w:sz="0" w:space="0" w:color="auto"/>
              </w:divBdr>
            </w:div>
            <w:div w:id="16561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1979">
      <w:marLeft w:val="0"/>
      <w:marRight w:val="0"/>
      <w:marTop w:val="0"/>
      <w:marBottom w:val="0"/>
      <w:divBdr>
        <w:top w:val="none" w:sz="0" w:space="0" w:color="auto"/>
        <w:left w:val="none" w:sz="0" w:space="0" w:color="auto"/>
        <w:bottom w:val="none" w:sz="0" w:space="0" w:color="auto"/>
        <w:right w:val="none" w:sz="0" w:space="0" w:color="auto"/>
      </w:divBdr>
      <w:divsChild>
        <w:div w:id="1656102006">
          <w:marLeft w:val="0"/>
          <w:marRight w:val="0"/>
          <w:marTop w:val="0"/>
          <w:marBottom w:val="0"/>
          <w:divBdr>
            <w:top w:val="none" w:sz="0" w:space="0" w:color="auto"/>
            <w:left w:val="none" w:sz="0" w:space="0" w:color="auto"/>
            <w:bottom w:val="none" w:sz="0" w:space="0" w:color="auto"/>
            <w:right w:val="none" w:sz="0" w:space="0" w:color="auto"/>
          </w:divBdr>
        </w:div>
        <w:div w:id="1656102056">
          <w:marLeft w:val="0"/>
          <w:marRight w:val="0"/>
          <w:marTop w:val="0"/>
          <w:marBottom w:val="0"/>
          <w:divBdr>
            <w:top w:val="none" w:sz="0" w:space="0" w:color="auto"/>
            <w:left w:val="none" w:sz="0" w:space="0" w:color="auto"/>
            <w:bottom w:val="none" w:sz="0" w:space="0" w:color="auto"/>
            <w:right w:val="none" w:sz="0" w:space="0" w:color="auto"/>
          </w:divBdr>
        </w:div>
        <w:div w:id="1656102066">
          <w:marLeft w:val="0"/>
          <w:marRight w:val="0"/>
          <w:marTop w:val="0"/>
          <w:marBottom w:val="0"/>
          <w:divBdr>
            <w:top w:val="none" w:sz="0" w:space="0" w:color="auto"/>
            <w:left w:val="none" w:sz="0" w:space="0" w:color="auto"/>
            <w:bottom w:val="none" w:sz="0" w:space="0" w:color="auto"/>
            <w:right w:val="none" w:sz="0" w:space="0" w:color="auto"/>
          </w:divBdr>
        </w:div>
        <w:div w:id="1656102088">
          <w:marLeft w:val="0"/>
          <w:marRight w:val="0"/>
          <w:marTop w:val="0"/>
          <w:marBottom w:val="0"/>
          <w:divBdr>
            <w:top w:val="none" w:sz="0" w:space="0" w:color="auto"/>
            <w:left w:val="none" w:sz="0" w:space="0" w:color="auto"/>
            <w:bottom w:val="none" w:sz="0" w:space="0" w:color="auto"/>
            <w:right w:val="none" w:sz="0" w:space="0" w:color="auto"/>
          </w:divBdr>
        </w:div>
      </w:divsChild>
    </w:div>
    <w:div w:id="1656102013">
      <w:marLeft w:val="0"/>
      <w:marRight w:val="0"/>
      <w:marTop w:val="0"/>
      <w:marBottom w:val="0"/>
      <w:divBdr>
        <w:top w:val="none" w:sz="0" w:space="0" w:color="auto"/>
        <w:left w:val="none" w:sz="0" w:space="0" w:color="auto"/>
        <w:bottom w:val="none" w:sz="0" w:space="0" w:color="auto"/>
        <w:right w:val="none" w:sz="0" w:space="0" w:color="auto"/>
      </w:divBdr>
      <w:divsChild>
        <w:div w:id="1656101943">
          <w:marLeft w:val="0"/>
          <w:marRight w:val="0"/>
          <w:marTop w:val="0"/>
          <w:marBottom w:val="0"/>
          <w:divBdr>
            <w:top w:val="none" w:sz="0" w:space="0" w:color="auto"/>
            <w:left w:val="none" w:sz="0" w:space="0" w:color="auto"/>
            <w:bottom w:val="none" w:sz="0" w:space="0" w:color="auto"/>
            <w:right w:val="none" w:sz="0" w:space="0" w:color="auto"/>
          </w:divBdr>
        </w:div>
        <w:div w:id="1656101948">
          <w:marLeft w:val="0"/>
          <w:marRight w:val="0"/>
          <w:marTop w:val="0"/>
          <w:marBottom w:val="0"/>
          <w:divBdr>
            <w:top w:val="none" w:sz="0" w:space="0" w:color="auto"/>
            <w:left w:val="none" w:sz="0" w:space="0" w:color="auto"/>
            <w:bottom w:val="none" w:sz="0" w:space="0" w:color="auto"/>
            <w:right w:val="none" w:sz="0" w:space="0" w:color="auto"/>
          </w:divBdr>
        </w:div>
        <w:div w:id="1656101950">
          <w:marLeft w:val="0"/>
          <w:marRight w:val="0"/>
          <w:marTop w:val="0"/>
          <w:marBottom w:val="0"/>
          <w:divBdr>
            <w:top w:val="none" w:sz="0" w:space="0" w:color="auto"/>
            <w:left w:val="none" w:sz="0" w:space="0" w:color="auto"/>
            <w:bottom w:val="none" w:sz="0" w:space="0" w:color="auto"/>
            <w:right w:val="none" w:sz="0" w:space="0" w:color="auto"/>
          </w:divBdr>
        </w:div>
        <w:div w:id="1656101951">
          <w:marLeft w:val="0"/>
          <w:marRight w:val="0"/>
          <w:marTop w:val="0"/>
          <w:marBottom w:val="0"/>
          <w:divBdr>
            <w:top w:val="none" w:sz="0" w:space="0" w:color="auto"/>
            <w:left w:val="none" w:sz="0" w:space="0" w:color="auto"/>
            <w:bottom w:val="none" w:sz="0" w:space="0" w:color="auto"/>
            <w:right w:val="none" w:sz="0" w:space="0" w:color="auto"/>
          </w:divBdr>
        </w:div>
        <w:div w:id="1656101952">
          <w:marLeft w:val="0"/>
          <w:marRight w:val="0"/>
          <w:marTop w:val="0"/>
          <w:marBottom w:val="0"/>
          <w:divBdr>
            <w:top w:val="none" w:sz="0" w:space="0" w:color="auto"/>
            <w:left w:val="none" w:sz="0" w:space="0" w:color="auto"/>
            <w:bottom w:val="none" w:sz="0" w:space="0" w:color="auto"/>
            <w:right w:val="none" w:sz="0" w:space="0" w:color="auto"/>
          </w:divBdr>
        </w:div>
        <w:div w:id="1656101953">
          <w:marLeft w:val="0"/>
          <w:marRight w:val="0"/>
          <w:marTop w:val="0"/>
          <w:marBottom w:val="0"/>
          <w:divBdr>
            <w:top w:val="none" w:sz="0" w:space="0" w:color="auto"/>
            <w:left w:val="none" w:sz="0" w:space="0" w:color="auto"/>
            <w:bottom w:val="none" w:sz="0" w:space="0" w:color="auto"/>
            <w:right w:val="none" w:sz="0" w:space="0" w:color="auto"/>
          </w:divBdr>
        </w:div>
        <w:div w:id="1656101954">
          <w:marLeft w:val="0"/>
          <w:marRight w:val="0"/>
          <w:marTop w:val="0"/>
          <w:marBottom w:val="0"/>
          <w:divBdr>
            <w:top w:val="none" w:sz="0" w:space="0" w:color="auto"/>
            <w:left w:val="none" w:sz="0" w:space="0" w:color="auto"/>
            <w:bottom w:val="none" w:sz="0" w:space="0" w:color="auto"/>
            <w:right w:val="none" w:sz="0" w:space="0" w:color="auto"/>
          </w:divBdr>
        </w:div>
        <w:div w:id="1656101956">
          <w:marLeft w:val="0"/>
          <w:marRight w:val="0"/>
          <w:marTop w:val="0"/>
          <w:marBottom w:val="0"/>
          <w:divBdr>
            <w:top w:val="none" w:sz="0" w:space="0" w:color="auto"/>
            <w:left w:val="none" w:sz="0" w:space="0" w:color="auto"/>
            <w:bottom w:val="none" w:sz="0" w:space="0" w:color="auto"/>
            <w:right w:val="none" w:sz="0" w:space="0" w:color="auto"/>
          </w:divBdr>
        </w:div>
        <w:div w:id="1656101958">
          <w:marLeft w:val="0"/>
          <w:marRight w:val="0"/>
          <w:marTop w:val="0"/>
          <w:marBottom w:val="0"/>
          <w:divBdr>
            <w:top w:val="none" w:sz="0" w:space="0" w:color="auto"/>
            <w:left w:val="none" w:sz="0" w:space="0" w:color="auto"/>
            <w:bottom w:val="none" w:sz="0" w:space="0" w:color="auto"/>
            <w:right w:val="none" w:sz="0" w:space="0" w:color="auto"/>
          </w:divBdr>
        </w:div>
        <w:div w:id="1656101961">
          <w:marLeft w:val="0"/>
          <w:marRight w:val="0"/>
          <w:marTop w:val="0"/>
          <w:marBottom w:val="0"/>
          <w:divBdr>
            <w:top w:val="none" w:sz="0" w:space="0" w:color="auto"/>
            <w:left w:val="none" w:sz="0" w:space="0" w:color="auto"/>
            <w:bottom w:val="none" w:sz="0" w:space="0" w:color="auto"/>
            <w:right w:val="none" w:sz="0" w:space="0" w:color="auto"/>
          </w:divBdr>
        </w:div>
        <w:div w:id="1656101962">
          <w:marLeft w:val="0"/>
          <w:marRight w:val="0"/>
          <w:marTop w:val="0"/>
          <w:marBottom w:val="0"/>
          <w:divBdr>
            <w:top w:val="none" w:sz="0" w:space="0" w:color="auto"/>
            <w:left w:val="none" w:sz="0" w:space="0" w:color="auto"/>
            <w:bottom w:val="none" w:sz="0" w:space="0" w:color="auto"/>
            <w:right w:val="none" w:sz="0" w:space="0" w:color="auto"/>
          </w:divBdr>
        </w:div>
        <w:div w:id="1656101963">
          <w:marLeft w:val="0"/>
          <w:marRight w:val="0"/>
          <w:marTop w:val="0"/>
          <w:marBottom w:val="0"/>
          <w:divBdr>
            <w:top w:val="none" w:sz="0" w:space="0" w:color="auto"/>
            <w:left w:val="none" w:sz="0" w:space="0" w:color="auto"/>
            <w:bottom w:val="none" w:sz="0" w:space="0" w:color="auto"/>
            <w:right w:val="none" w:sz="0" w:space="0" w:color="auto"/>
          </w:divBdr>
        </w:div>
        <w:div w:id="1656101965">
          <w:marLeft w:val="0"/>
          <w:marRight w:val="0"/>
          <w:marTop w:val="0"/>
          <w:marBottom w:val="0"/>
          <w:divBdr>
            <w:top w:val="none" w:sz="0" w:space="0" w:color="auto"/>
            <w:left w:val="none" w:sz="0" w:space="0" w:color="auto"/>
            <w:bottom w:val="none" w:sz="0" w:space="0" w:color="auto"/>
            <w:right w:val="none" w:sz="0" w:space="0" w:color="auto"/>
          </w:divBdr>
        </w:div>
        <w:div w:id="1656101974">
          <w:marLeft w:val="0"/>
          <w:marRight w:val="0"/>
          <w:marTop w:val="0"/>
          <w:marBottom w:val="0"/>
          <w:divBdr>
            <w:top w:val="none" w:sz="0" w:space="0" w:color="auto"/>
            <w:left w:val="none" w:sz="0" w:space="0" w:color="auto"/>
            <w:bottom w:val="none" w:sz="0" w:space="0" w:color="auto"/>
            <w:right w:val="none" w:sz="0" w:space="0" w:color="auto"/>
          </w:divBdr>
        </w:div>
        <w:div w:id="1656101985">
          <w:marLeft w:val="0"/>
          <w:marRight w:val="0"/>
          <w:marTop w:val="0"/>
          <w:marBottom w:val="0"/>
          <w:divBdr>
            <w:top w:val="none" w:sz="0" w:space="0" w:color="auto"/>
            <w:left w:val="none" w:sz="0" w:space="0" w:color="auto"/>
            <w:bottom w:val="none" w:sz="0" w:space="0" w:color="auto"/>
            <w:right w:val="none" w:sz="0" w:space="0" w:color="auto"/>
          </w:divBdr>
        </w:div>
        <w:div w:id="1656101986">
          <w:marLeft w:val="0"/>
          <w:marRight w:val="0"/>
          <w:marTop w:val="0"/>
          <w:marBottom w:val="0"/>
          <w:divBdr>
            <w:top w:val="none" w:sz="0" w:space="0" w:color="auto"/>
            <w:left w:val="none" w:sz="0" w:space="0" w:color="auto"/>
            <w:bottom w:val="none" w:sz="0" w:space="0" w:color="auto"/>
            <w:right w:val="none" w:sz="0" w:space="0" w:color="auto"/>
          </w:divBdr>
        </w:div>
        <w:div w:id="1656101994">
          <w:marLeft w:val="0"/>
          <w:marRight w:val="0"/>
          <w:marTop w:val="0"/>
          <w:marBottom w:val="0"/>
          <w:divBdr>
            <w:top w:val="none" w:sz="0" w:space="0" w:color="auto"/>
            <w:left w:val="none" w:sz="0" w:space="0" w:color="auto"/>
            <w:bottom w:val="none" w:sz="0" w:space="0" w:color="auto"/>
            <w:right w:val="none" w:sz="0" w:space="0" w:color="auto"/>
          </w:divBdr>
        </w:div>
        <w:div w:id="1656101997">
          <w:marLeft w:val="0"/>
          <w:marRight w:val="0"/>
          <w:marTop w:val="0"/>
          <w:marBottom w:val="0"/>
          <w:divBdr>
            <w:top w:val="none" w:sz="0" w:space="0" w:color="auto"/>
            <w:left w:val="none" w:sz="0" w:space="0" w:color="auto"/>
            <w:bottom w:val="none" w:sz="0" w:space="0" w:color="auto"/>
            <w:right w:val="none" w:sz="0" w:space="0" w:color="auto"/>
          </w:divBdr>
        </w:div>
        <w:div w:id="1656102001">
          <w:marLeft w:val="0"/>
          <w:marRight w:val="0"/>
          <w:marTop w:val="0"/>
          <w:marBottom w:val="0"/>
          <w:divBdr>
            <w:top w:val="none" w:sz="0" w:space="0" w:color="auto"/>
            <w:left w:val="none" w:sz="0" w:space="0" w:color="auto"/>
            <w:bottom w:val="none" w:sz="0" w:space="0" w:color="auto"/>
            <w:right w:val="none" w:sz="0" w:space="0" w:color="auto"/>
          </w:divBdr>
        </w:div>
        <w:div w:id="1656102003">
          <w:marLeft w:val="0"/>
          <w:marRight w:val="0"/>
          <w:marTop w:val="0"/>
          <w:marBottom w:val="0"/>
          <w:divBdr>
            <w:top w:val="none" w:sz="0" w:space="0" w:color="auto"/>
            <w:left w:val="none" w:sz="0" w:space="0" w:color="auto"/>
            <w:bottom w:val="none" w:sz="0" w:space="0" w:color="auto"/>
            <w:right w:val="none" w:sz="0" w:space="0" w:color="auto"/>
          </w:divBdr>
        </w:div>
        <w:div w:id="1656102005">
          <w:marLeft w:val="0"/>
          <w:marRight w:val="0"/>
          <w:marTop w:val="0"/>
          <w:marBottom w:val="0"/>
          <w:divBdr>
            <w:top w:val="none" w:sz="0" w:space="0" w:color="auto"/>
            <w:left w:val="none" w:sz="0" w:space="0" w:color="auto"/>
            <w:bottom w:val="none" w:sz="0" w:space="0" w:color="auto"/>
            <w:right w:val="none" w:sz="0" w:space="0" w:color="auto"/>
          </w:divBdr>
        </w:div>
        <w:div w:id="1656102009">
          <w:marLeft w:val="0"/>
          <w:marRight w:val="0"/>
          <w:marTop w:val="0"/>
          <w:marBottom w:val="0"/>
          <w:divBdr>
            <w:top w:val="none" w:sz="0" w:space="0" w:color="auto"/>
            <w:left w:val="none" w:sz="0" w:space="0" w:color="auto"/>
            <w:bottom w:val="none" w:sz="0" w:space="0" w:color="auto"/>
            <w:right w:val="none" w:sz="0" w:space="0" w:color="auto"/>
          </w:divBdr>
        </w:div>
        <w:div w:id="1656102010">
          <w:marLeft w:val="0"/>
          <w:marRight w:val="0"/>
          <w:marTop w:val="0"/>
          <w:marBottom w:val="0"/>
          <w:divBdr>
            <w:top w:val="none" w:sz="0" w:space="0" w:color="auto"/>
            <w:left w:val="none" w:sz="0" w:space="0" w:color="auto"/>
            <w:bottom w:val="none" w:sz="0" w:space="0" w:color="auto"/>
            <w:right w:val="none" w:sz="0" w:space="0" w:color="auto"/>
          </w:divBdr>
        </w:div>
        <w:div w:id="1656102012">
          <w:marLeft w:val="0"/>
          <w:marRight w:val="0"/>
          <w:marTop w:val="0"/>
          <w:marBottom w:val="0"/>
          <w:divBdr>
            <w:top w:val="none" w:sz="0" w:space="0" w:color="auto"/>
            <w:left w:val="none" w:sz="0" w:space="0" w:color="auto"/>
            <w:bottom w:val="none" w:sz="0" w:space="0" w:color="auto"/>
            <w:right w:val="none" w:sz="0" w:space="0" w:color="auto"/>
          </w:divBdr>
        </w:div>
        <w:div w:id="1656102016">
          <w:marLeft w:val="0"/>
          <w:marRight w:val="0"/>
          <w:marTop w:val="0"/>
          <w:marBottom w:val="0"/>
          <w:divBdr>
            <w:top w:val="none" w:sz="0" w:space="0" w:color="auto"/>
            <w:left w:val="none" w:sz="0" w:space="0" w:color="auto"/>
            <w:bottom w:val="none" w:sz="0" w:space="0" w:color="auto"/>
            <w:right w:val="none" w:sz="0" w:space="0" w:color="auto"/>
          </w:divBdr>
        </w:div>
        <w:div w:id="1656102018">
          <w:marLeft w:val="0"/>
          <w:marRight w:val="0"/>
          <w:marTop w:val="0"/>
          <w:marBottom w:val="0"/>
          <w:divBdr>
            <w:top w:val="none" w:sz="0" w:space="0" w:color="auto"/>
            <w:left w:val="none" w:sz="0" w:space="0" w:color="auto"/>
            <w:bottom w:val="none" w:sz="0" w:space="0" w:color="auto"/>
            <w:right w:val="none" w:sz="0" w:space="0" w:color="auto"/>
          </w:divBdr>
        </w:div>
        <w:div w:id="1656102024">
          <w:marLeft w:val="0"/>
          <w:marRight w:val="0"/>
          <w:marTop w:val="0"/>
          <w:marBottom w:val="0"/>
          <w:divBdr>
            <w:top w:val="none" w:sz="0" w:space="0" w:color="auto"/>
            <w:left w:val="none" w:sz="0" w:space="0" w:color="auto"/>
            <w:bottom w:val="none" w:sz="0" w:space="0" w:color="auto"/>
            <w:right w:val="none" w:sz="0" w:space="0" w:color="auto"/>
          </w:divBdr>
        </w:div>
        <w:div w:id="1656102025">
          <w:marLeft w:val="0"/>
          <w:marRight w:val="0"/>
          <w:marTop w:val="0"/>
          <w:marBottom w:val="0"/>
          <w:divBdr>
            <w:top w:val="none" w:sz="0" w:space="0" w:color="auto"/>
            <w:left w:val="none" w:sz="0" w:space="0" w:color="auto"/>
            <w:bottom w:val="none" w:sz="0" w:space="0" w:color="auto"/>
            <w:right w:val="none" w:sz="0" w:space="0" w:color="auto"/>
          </w:divBdr>
        </w:div>
        <w:div w:id="1656102029">
          <w:marLeft w:val="0"/>
          <w:marRight w:val="0"/>
          <w:marTop w:val="0"/>
          <w:marBottom w:val="0"/>
          <w:divBdr>
            <w:top w:val="none" w:sz="0" w:space="0" w:color="auto"/>
            <w:left w:val="none" w:sz="0" w:space="0" w:color="auto"/>
            <w:bottom w:val="none" w:sz="0" w:space="0" w:color="auto"/>
            <w:right w:val="none" w:sz="0" w:space="0" w:color="auto"/>
          </w:divBdr>
        </w:div>
        <w:div w:id="1656102030">
          <w:marLeft w:val="0"/>
          <w:marRight w:val="0"/>
          <w:marTop w:val="0"/>
          <w:marBottom w:val="0"/>
          <w:divBdr>
            <w:top w:val="none" w:sz="0" w:space="0" w:color="auto"/>
            <w:left w:val="none" w:sz="0" w:space="0" w:color="auto"/>
            <w:bottom w:val="none" w:sz="0" w:space="0" w:color="auto"/>
            <w:right w:val="none" w:sz="0" w:space="0" w:color="auto"/>
          </w:divBdr>
        </w:div>
        <w:div w:id="1656102031">
          <w:marLeft w:val="0"/>
          <w:marRight w:val="0"/>
          <w:marTop w:val="0"/>
          <w:marBottom w:val="0"/>
          <w:divBdr>
            <w:top w:val="none" w:sz="0" w:space="0" w:color="auto"/>
            <w:left w:val="none" w:sz="0" w:space="0" w:color="auto"/>
            <w:bottom w:val="none" w:sz="0" w:space="0" w:color="auto"/>
            <w:right w:val="none" w:sz="0" w:space="0" w:color="auto"/>
          </w:divBdr>
        </w:div>
        <w:div w:id="1656102036">
          <w:marLeft w:val="0"/>
          <w:marRight w:val="0"/>
          <w:marTop w:val="0"/>
          <w:marBottom w:val="0"/>
          <w:divBdr>
            <w:top w:val="none" w:sz="0" w:space="0" w:color="auto"/>
            <w:left w:val="none" w:sz="0" w:space="0" w:color="auto"/>
            <w:bottom w:val="none" w:sz="0" w:space="0" w:color="auto"/>
            <w:right w:val="none" w:sz="0" w:space="0" w:color="auto"/>
          </w:divBdr>
        </w:div>
        <w:div w:id="1656102048">
          <w:marLeft w:val="0"/>
          <w:marRight w:val="0"/>
          <w:marTop w:val="0"/>
          <w:marBottom w:val="0"/>
          <w:divBdr>
            <w:top w:val="none" w:sz="0" w:space="0" w:color="auto"/>
            <w:left w:val="none" w:sz="0" w:space="0" w:color="auto"/>
            <w:bottom w:val="none" w:sz="0" w:space="0" w:color="auto"/>
            <w:right w:val="none" w:sz="0" w:space="0" w:color="auto"/>
          </w:divBdr>
        </w:div>
        <w:div w:id="1656102050">
          <w:marLeft w:val="0"/>
          <w:marRight w:val="0"/>
          <w:marTop w:val="0"/>
          <w:marBottom w:val="0"/>
          <w:divBdr>
            <w:top w:val="none" w:sz="0" w:space="0" w:color="auto"/>
            <w:left w:val="none" w:sz="0" w:space="0" w:color="auto"/>
            <w:bottom w:val="none" w:sz="0" w:space="0" w:color="auto"/>
            <w:right w:val="none" w:sz="0" w:space="0" w:color="auto"/>
          </w:divBdr>
        </w:div>
        <w:div w:id="1656102052">
          <w:marLeft w:val="0"/>
          <w:marRight w:val="0"/>
          <w:marTop w:val="0"/>
          <w:marBottom w:val="0"/>
          <w:divBdr>
            <w:top w:val="none" w:sz="0" w:space="0" w:color="auto"/>
            <w:left w:val="none" w:sz="0" w:space="0" w:color="auto"/>
            <w:bottom w:val="none" w:sz="0" w:space="0" w:color="auto"/>
            <w:right w:val="none" w:sz="0" w:space="0" w:color="auto"/>
          </w:divBdr>
        </w:div>
        <w:div w:id="1656102053">
          <w:marLeft w:val="0"/>
          <w:marRight w:val="0"/>
          <w:marTop w:val="0"/>
          <w:marBottom w:val="0"/>
          <w:divBdr>
            <w:top w:val="none" w:sz="0" w:space="0" w:color="auto"/>
            <w:left w:val="none" w:sz="0" w:space="0" w:color="auto"/>
            <w:bottom w:val="none" w:sz="0" w:space="0" w:color="auto"/>
            <w:right w:val="none" w:sz="0" w:space="0" w:color="auto"/>
          </w:divBdr>
        </w:div>
        <w:div w:id="1656102054">
          <w:marLeft w:val="0"/>
          <w:marRight w:val="0"/>
          <w:marTop w:val="0"/>
          <w:marBottom w:val="0"/>
          <w:divBdr>
            <w:top w:val="none" w:sz="0" w:space="0" w:color="auto"/>
            <w:left w:val="none" w:sz="0" w:space="0" w:color="auto"/>
            <w:bottom w:val="none" w:sz="0" w:space="0" w:color="auto"/>
            <w:right w:val="none" w:sz="0" w:space="0" w:color="auto"/>
          </w:divBdr>
        </w:div>
        <w:div w:id="1656102055">
          <w:marLeft w:val="0"/>
          <w:marRight w:val="0"/>
          <w:marTop w:val="0"/>
          <w:marBottom w:val="0"/>
          <w:divBdr>
            <w:top w:val="none" w:sz="0" w:space="0" w:color="auto"/>
            <w:left w:val="none" w:sz="0" w:space="0" w:color="auto"/>
            <w:bottom w:val="none" w:sz="0" w:space="0" w:color="auto"/>
            <w:right w:val="none" w:sz="0" w:space="0" w:color="auto"/>
          </w:divBdr>
        </w:div>
        <w:div w:id="1656102059">
          <w:marLeft w:val="0"/>
          <w:marRight w:val="0"/>
          <w:marTop w:val="0"/>
          <w:marBottom w:val="0"/>
          <w:divBdr>
            <w:top w:val="none" w:sz="0" w:space="0" w:color="auto"/>
            <w:left w:val="none" w:sz="0" w:space="0" w:color="auto"/>
            <w:bottom w:val="none" w:sz="0" w:space="0" w:color="auto"/>
            <w:right w:val="none" w:sz="0" w:space="0" w:color="auto"/>
          </w:divBdr>
        </w:div>
        <w:div w:id="1656102060">
          <w:marLeft w:val="0"/>
          <w:marRight w:val="0"/>
          <w:marTop w:val="0"/>
          <w:marBottom w:val="0"/>
          <w:divBdr>
            <w:top w:val="none" w:sz="0" w:space="0" w:color="auto"/>
            <w:left w:val="none" w:sz="0" w:space="0" w:color="auto"/>
            <w:bottom w:val="none" w:sz="0" w:space="0" w:color="auto"/>
            <w:right w:val="none" w:sz="0" w:space="0" w:color="auto"/>
          </w:divBdr>
        </w:div>
        <w:div w:id="1656102062">
          <w:marLeft w:val="0"/>
          <w:marRight w:val="0"/>
          <w:marTop w:val="0"/>
          <w:marBottom w:val="0"/>
          <w:divBdr>
            <w:top w:val="none" w:sz="0" w:space="0" w:color="auto"/>
            <w:left w:val="none" w:sz="0" w:space="0" w:color="auto"/>
            <w:bottom w:val="none" w:sz="0" w:space="0" w:color="auto"/>
            <w:right w:val="none" w:sz="0" w:space="0" w:color="auto"/>
          </w:divBdr>
        </w:div>
        <w:div w:id="1656102069">
          <w:marLeft w:val="0"/>
          <w:marRight w:val="0"/>
          <w:marTop w:val="0"/>
          <w:marBottom w:val="0"/>
          <w:divBdr>
            <w:top w:val="none" w:sz="0" w:space="0" w:color="auto"/>
            <w:left w:val="none" w:sz="0" w:space="0" w:color="auto"/>
            <w:bottom w:val="none" w:sz="0" w:space="0" w:color="auto"/>
            <w:right w:val="none" w:sz="0" w:space="0" w:color="auto"/>
          </w:divBdr>
        </w:div>
        <w:div w:id="1656102071">
          <w:marLeft w:val="0"/>
          <w:marRight w:val="0"/>
          <w:marTop w:val="0"/>
          <w:marBottom w:val="0"/>
          <w:divBdr>
            <w:top w:val="none" w:sz="0" w:space="0" w:color="auto"/>
            <w:left w:val="none" w:sz="0" w:space="0" w:color="auto"/>
            <w:bottom w:val="none" w:sz="0" w:space="0" w:color="auto"/>
            <w:right w:val="none" w:sz="0" w:space="0" w:color="auto"/>
          </w:divBdr>
        </w:div>
        <w:div w:id="1656102073">
          <w:marLeft w:val="0"/>
          <w:marRight w:val="0"/>
          <w:marTop w:val="0"/>
          <w:marBottom w:val="0"/>
          <w:divBdr>
            <w:top w:val="none" w:sz="0" w:space="0" w:color="auto"/>
            <w:left w:val="none" w:sz="0" w:space="0" w:color="auto"/>
            <w:bottom w:val="none" w:sz="0" w:space="0" w:color="auto"/>
            <w:right w:val="none" w:sz="0" w:space="0" w:color="auto"/>
          </w:divBdr>
        </w:div>
        <w:div w:id="1656102081">
          <w:marLeft w:val="0"/>
          <w:marRight w:val="0"/>
          <w:marTop w:val="0"/>
          <w:marBottom w:val="0"/>
          <w:divBdr>
            <w:top w:val="none" w:sz="0" w:space="0" w:color="auto"/>
            <w:left w:val="none" w:sz="0" w:space="0" w:color="auto"/>
            <w:bottom w:val="none" w:sz="0" w:space="0" w:color="auto"/>
            <w:right w:val="none" w:sz="0" w:space="0" w:color="auto"/>
          </w:divBdr>
        </w:div>
        <w:div w:id="1656102082">
          <w:marLeft w:val="0"/>
          <w:marRight w:val="0"/>
          <w:marTop w:val="0"/>
          <w:marBottom w:val="0"/>
          <w:divBdr>
            <w:top w:val="none" w:sz="0" w:space="0" w:color="auto"/>
            <w:left w:val="none" w:sz="0" w:space="0" w:color="auto"/>
            <w:bottom w:val="none" w:sz="0" w:space="0" w:color="auto"/>
            <w:right w:val="none" w:sz="0" w:space="0" w:color="auto"/>
          </w:divBdr>
        </w:div>
        <w:div w:id="1656102089">
          <w:marLeft w:val="0"/>
          <w:marRight w:val="0"/>
          <w:marTop w:val="0"/>
          <w:marBottom w:val="0"/>
          <w:divBdr>
            <w:top w:val="none" w:sz="0" w:space="0" w:color="auto"/>
            <w:left w:val="none" w:sz="0" w:space="0" w:color="auto"/>
            <w:bottom w:val="none" w:sz="0" w:space="0" w:color="auto"/>
            <w:right w:val="none" w:sz="0" w:space="0" w:color="auto"/>
          </w:divBdr>
        </w:div>
        <w:div w:id="1656102092">
          <w:marLeft w:val="0"/>
          <w:marRight w:val="0"/>
          <w:marTop w:val="0"/>
          <w:marBottom w:val="0"/>
          <w:divBdr>
            <w:top w:val="none" w:sz="0" w:space="0" w:color="auto"/>
            <w:left w:val="none" w:sz="0" w:space="0" w:color="auto"/>
            <w:bottom w:val="none" w:sz="0" w:space="0" w:color="auto"/>
            <w:right w:val="none" w:sz="0" w:space="0" w:color="auto"/>
          </w:divBdr>
        </w:div>
        <w:div w:id="1656102093">
          <w:marLeft w:val="0"/>
          <w:marRight w:val="0"/>
          <w:marTop w:val="0"/>
          <w:marBottom w:val="0"/>
          <w:divBdr>
            <w:top w:val="none" w:sz="0" w:space="0" w:color="auto"/>
            <w:left w:val="none" w:sz="0" w:space="0" w:color="auto"/>
            <w:bottom w:val="none" w:sz="0" w:space="0" w:color="auto"/>
            <w:right w:val="none" w:sz="0" w:space="0" w:color="auto"/>
          </w:divBdr>
        </w:div>
      </w:divsChild>
    </w:div>
    <w:div w:id="1656102042">
      <w:marLeft w:val="0"/>
      <w:marRight w:val="0"/>
      <w:marTop w:val="0"/>
      <w:marBottom w:val="0"/>
      <w:divBdr>
        <w:top w:val="none" w:sz="0" w:space="0" w:color="auto"/>
        <w:left w:val="none" w:sz="0" w:space="0" w:color="auto"/>
        <w:bottom w:val="none" w:sz="0" w:space="0" w:color="auto"/>
        <w:right w:val="none" w:sz="0" w:space="0" w:color="auto"/>
      </w:divBdr>
      <w:divsChild>
        <w:div w:id="1656102076">
          <w:marLeft w:val="0"/>
          <w:marRight w:val="0"/>
          <w:marTop w:val="0"/>
          <w:marBottom w:val="0"/>
          <w:divBdr>
            <w:top w:val="none" w:sz="0" w:space="0" w:color="auto"/>
            <w:left w:val="none" w:sz="0" w:space="0" w:color="auto"/>
            <w:bottom w:val="none" w:sz="0" w:space="0" w:color="auto"/>
            <w:right w:val="none" w:sz="0" w:space="0" w:color="auto"/>
          </w:divBdr>
        </w:div>
        <w:div w:id="1656102079">
          <w:marLeft w:val="0"/>
          <w:marRight w:val="0"/>
          <w:marTop w:val="0"/>
          <w:marBottom w:val="0"/>
          <w:divBdr>
            <w:top w:val="none" w:sz="0" w:space="0" w:color="auto"/>
            <w:left w:val="none" w:sz="0" w:space="0" w:color="auto"/>
            <w:bottom w:val="none" w:sz="0" w:space="0" w:color="auto"/>
            <w:right w:val="none" w:sz="0" w:space="0" w:color="auto"/>
          </w:divBdr>
        </w:div>
      </w:divsChild>
    </w:div>
    <w:div w:id="1656102051">
      <w:marLeft w:val="0"/>
      <w:marRight w:val="0"/>
      <w:marTop w:val="0"/>
      <w:marBottom w:val="0"/>
      <w:divBdr>
        <w:top w:val="none" w:sz="0" w:space="0" w:color="auto"/>
        <w:left w:val="none" w:sz="0" w:space="0" w:color="auto"/>
        <w:bottom w:val="none" w:sz="0" w:space="0" w:color="auto"/>
        <w:right w:val="none" w:sz="0" w:space="0" w:color="auto"/>
      </w:divBdr>
      <w:divsChild>
        <w:div w:id="1656101949">
          <w:marLeft w:val="0"/>
          <w:marRight w:val="0"/>
          <w:marTop w:val="0"/>
          <w:marBottom w:val="0"/>
          <w:divBdr>
            <w:top w:val="none" w:sz="0" w:space="0" w:color="auto"/>
            <w:left w:val="none" w:sz="0" w:space="0" w:color="auto"/>
            <w:bottom w:val="none" w:sz="0" w:space="0" w:color="auto"/>
            <w:right w:val="none" w:sz="0" w:space="0" w:color="auto"/>
          </w:divBdr>
        </w:div>
        <w:div w:id="1656101960">
          <w:marLeft w:val="0"/>
          <w:marRight w:val="0"/>
          <w:marTop w:val="0"/>
          <w:marBottom w:val="0"/>
          <w:divBdr>
            <w:top w:val="none" w:sz="0" w:space="0" w:color="auto"/>
            <w:left w:val="none" w:sz="0" w:space="0" w:color="auto"/>
            <w:bottom w:val="none" w:sz="0" w:space="0" w:color="auto"/>
            <w:right w:val="none" w:sz="0" w:space="0" w:color="auto"/>
          </w:divBdr>
        </w:div>
        <w:div w:id="1656101964">
          <w:marLeft w:val="0"/>
          <w:marRight w:val="0"/>
          <w:marTop w:val="0"/>
          <w:marBottom w:val="0"/>
          <w:divBdr>
            <w:top w:val="none" w:sz="0" w:space="0" w:color="auto"/>
            <w:left w:val="none" w:sz="0" w:space="0" w:color="auto"/>
            <w:bottom w:val="none" w:sz="0" w:space="0" w:color="auto"/>
            <w:right w:val="none" w:sz="0" w:space="0" w:color="auto"/>
          </w:divBdr>
        </w:div>
        <w:div w:id="1656101967">
          <w:marLeft w:val="0"/>
          <w:marRight w:val="0"/>
          <w:marTop w:val="0"/>
          <w:marBottom w:val="0"/>
          <w:divBdr>
            <w:top w:val="none" w:sz="0" w:space="0" w:color="auto"/>
            <w:left w:val="none" w:sz="0" w:space="0" w:color="auto"/>
            <w:bottom w:val="none" w:sz="0" w:space="0" w:color="auto"/>
            <w:right w:val="none" w:sz="0" w:space="0" w:color="auto"/>
          </w:divBdr>
        </w:div>
        <w:div w:id="1656101975">
          <w:marLeft w:val="0"/>
          <w:marRight w:val="0"/>
          <w:marTop w:val="0"/>
          <w:marBottom w:val="0"/>
          <w:divBdr>
            <w:top w:val="none" w:sz="0" w:space="0" w:color="auto"/>
            <w:left w:val="none" w:sz="0" w:space="0" w:color="auto"/>
            <w:bottom w:val="none" w:sz="0" w:space="0" w:color="auto"/>
            <w:right w:val="none" w:sz="0" w:space="0" w:color="auto"/>
          </w:divBdr>
        </w:div>
        <w:div w:id="1656101976">
          <w:marLeft w:val="0"/>
          <w:marRight w:val="0"/>
          <w:marTop w:val="0"/>
          <w:marBottom w:val="0"/>
          <w:divBdr>
            <w:top w:val="none" w:sz="0" w:space="0" w:color="auto"/>
            <w:left w:val="none" w:sz="0" w:space="0" w:color="auto"/>
            <w:bottom w:val="none" w:sz="0" w:space="0" w:color="auto"/>
            <w:right w:val="none" w:sz="0" w:space="0" w:color="auto"/>
          </w:divBdr>
        </w:div>
        <w:div w:id="1656101978">
          <w:marLeft w:val="0"/>
          <w:marRight w:val="0"/>
          <w:marTop w:val="0"/>
          <w:marBottom w:val="0"/>
          <w:divBdr>
            <w:top w:val="none" w:sz="0" w:space="0" w:color="auto"/>
            <w:left w:val="none" w:sz="0" w:space="0" w:color="auto"/>
            <w:bottom w:val="none" w:sz="0" w:space="0" w:color="auto"/>
            <w:right w:val="none" w:sz="0" w:space="0" w:color="auto"/>
          </w:divBdr>
        </w:div>
        <w:div w:id="1656101981">
          <w:marLeft w:val="0"/>
          <w:marRight w:val="0"/>
          <w:marTop w:val="0"/>
          <w:marBottom w:val="0"/>
          <w:divBdr>
            <w:top w:val="none" w:sz="0" w:space="0" w:color="auto"/>
            <w:left w:val="none" w:sz="0" w:space="0" w:color="auto"/>
            <w:bottom w:val="none" w:sz="0" w:space="0" w:color="auto"/>
            <w:right w:val="none" w:sz="0" w:space="0" w:color="auto"/>
          </w:divBdr>
        </w:div>
        <w:div w:id="1656101987">
          <w:marLeft w:val="0"/>
          <w:marRight w:val="0"/>
          <w:marTop w:val="0"/>
          <w:marBottom w:val="0"/>
          <w:divBdr>
            <w:top w:val="none" w:sz="0" w:space="0" w:color="auto"/>
            <w:left w:val="none" w:sz="0" w:space="0" w:color="auto"/>
            <w:bottom w:val="none" w:sz="0" w:space="0" w:color="auto"/>
            <w:right w:val="none" w:sz="0" w:space="0" w:color="auto"/>
          </w:divBdr>
        </w:div>
        <w:div w:id="1656102002">
          <w:marLeft w:val="0"/>
          <w:marRight w:val="0"/>
          <w:marTop w:val="0"/>
          <w:marBottom w:val="0"/>
          <w:divBdr>
            <w:top w:val="none" w:sz="0" w:space="0" w:color="auto"/>
            <w:left w:val="none" w:sz="0" w:space="0" w:color="auto"/>
            <w:bottom w:val="none" w:sz="0" w:space="0" w:color="auto"/>
            <w:right w:val="none" w:sz="0" w:space="0" w:color="auto"/>
          </w:divBdr>
        </w:div>
        <w:div w:id="1656102004">
          <w:marLeft w:val="0"/>
          <w:marRight w:val="0"/>
          <w:marTop w:val="0"/>
          <w:marBottom w:val="0"/>
          <w:divBdr>
            <w:top w:val="none" w:sz="0" w:space="0" w:color="auto"/>
            <w:left w:val="none" w:sz="0" w:space="0" w:color="auto"/>
            <w:bottom w:val="none" w:sz="0" w:space="0" w:color="auto"/>
            <w:right w:val="none" w:sz="0" w:space="0" w:color="auto"/>
          </w:divBdr>
        </w:div>
        <w:div w:id="1656102007">
          <w:marLeft w:val="0"/>
          <w:marRight w:val="0"/>
          <w:marTop w:val="0"/>
          <w:marBottom w:val="0"/>
          <w:divBdr>
            <w:top w:val="none" w:sz="0" w:space="0" w:color="auto"/>
            <w:left w:val="none" w:sz="0" w:space="0" w:color="auto"/>
            <w:bottom w:val="none" w:sz="0" w:space="0" w:color="auto"/>
            <w:right w:val="none" w:sz="0" w:space="0" w:color="auto"/>
          </w:divBdr>
        </w:div>
        <w:div w:id="1656102008">
          <w:marLeft w:val="0"/>
          <w:marRight w:val="0"/>
          <w:marTop w:val="0"/>
          <w:marBottom w:val="0"/>
          <w:divBdr>
            <w:top w:val="none" w:sz="0" w:space="0" w:color="auto"/>
            <w:left w:val="none" w:sz="0" w:space="0" w:color="auto"/>
            <w:bottom w:val="none" w:sz="0" w:space="0" w:color="auto"/>
            <w:right w:val="none" w:sz="0" w:space="0" w:color="auto"/>
          </w:divBdr>
        </w:div>
        <w:div w:id="1656102017">
          <w:marLeft w:val="0"/>
          <w:marRight w:val="0"/>
          <w:marTop w:val="0"/>
          <w:marBottom w:val="0"/>
          <w:divBdr>
            <w:top w:val="none" w:sz="0" w:space="0" w:color="auto"/>
            <w:left w:val="none" w:sz="0" w:space="0" w:color="auto"/>
            <w:bottom w:val="none" w:sz="0" w:space="0" w:color="auto"/>
            <w:right w:val="none" w:sz="0" w:space="0" w:color="auto"/>
          </w:divBdr>
        </w:div>
        <w:div w:id="1656102020">
          <w:marLeft w:val="0"/>
          <w:marRight w:val="0"/>
          <w:marTop w:val="0"/>
          <w:marBottom w:val="0"/>
          <w:divBdr>
            <w:top w:val="none" w:sz="0" w:space="0" w:color="auto"/>
            <w:left w:val="none" w:sz="0" w:space="0" w:color="auto"/>
            <w:bottom w:val="none" w:sz="0" w:space="0" w:color="auto"/>
            <w:right w:val="none" w:sz="0" w:space="0" w:color="auto"/>
          </w:divBdr>
        </w:div>
        <w:div w:id="1656102021">
          <w:marLeft w:val="0"/>
          <w:marRight w:val="0"/>
          <w:marTop w:val="0"/>
          <w:marBottom w:val="0"/>
          <w:divBdr>
            <w:top w:val="none" w:sz="0" w:space="0" w:color="auto"/>
            <w:left w:val="none" w:sz="0" w:space="0" w:color="auto"/>
            <w:bottom w:val="none" w:sz="0" w:space="0" w:color="auto"/>
            <w:right w:val="none" w:sz="0" w:space="0" w:color="auto"/>
          </w:divBdr>
        </w:div>
        <w:div w:id="1656102022">
          <w:marLeft w:val="0"/>
          <w:marRight w:val="0"/>
          <w:marTop w:val="0"/>
          <w:marBottom w:val="0"/>
          <w:divBdr>
            <w:top w:val="none" w:sz="0" w:space="0" w:color="auto"/>
            <w:left w:val="none" w:sz="0" w:space="0" w:color="auto"/>
            <w:bottom w:val="none" w:sz="0" w:space="0" w:color="auto"/>
            <w:right w:val="none" w:sz="0" w:space="0" w:color="auto"/>
          </w:divBdr>
        </w:div>
        <w:div w:id="1656102026">
          <w:marLeft w:val="0"/>
          <w:marRight w:val="0"/>
          <w:marTop w:val="0"/>
          <w:marBottom w:val="0"/>
          <w:divBdr>
            <w:top w:val="none" w:sz="0" w:space="0" w:color="auto"/>
            <w:left w:val="none" w:sz="0" w:space="0" w:color="auto"/>
            <w:bottom w:val="none" w:sz="0" w:space="0" w:color="auto"/>
            <w:right w:val="none" w:sz="0" w:space="0" w:color="auto"/>
          </w:divBdr>
        </w:div>
        <w:div w:id="1656102032">
          <w:marLeft w:val="0"/>
          <w:marRight w:val="0"/>
          <w:marTop w:val="0"/>
          <w:marBottom w:val="0"/>
          <w:divBdr>
            <w:top w:val="none" w:sz="0" w:space="0" w:color="auto"/>
            <w:left w:val="none" w:sz="0" w:space="0" w:color="auto"/>
            <w:bottom w:val="none" w:sz="0" w:space="0" w:color="auto"/>
            <w:right w:val="none" w:sz="0" w:space="0" w:color="auto"/>
          </w:divBdr>
        </w:div>
        <w:div w:id="1656102033">
          <w:marLeft w:val="0"/>
          <w:marRight w:val="0"/>
          <w:marTop w:val="0"/>
          <w:marBottom w:val="0"/>
          <w:divBdr>
            <w:top w:val="none" w:sz="0" w:space="0" w:color="auto"/>
            <w:left w:val="none" w:sz="0" w:space="0" w:color="auto"/>
            <w:bottom w:val="none" w:sz="0" w:space="0" w:color="auto"/>
            <w:right w:val="none" w:sz="0" w:space="0" w:color="auto"/>
          </w:divBdr>
        </w:div>
        <w:div w:id="1656102035">
          <w:marLeft w:val="0"/>
          <w:marRight w:val="0"/>
          <w:marTop w:val="0"/>
          <w:marBottom w:val="0"/>
          <w:divBdr>
            <w:top w:val="none" w:sz="0" w:space="0" w:color="auto"/>
            <w:left w:val="none" w:sz="0" w:space="0" w:color="auto"/>
            <w:bottom w:val="none" w:sz="0" w:space="0" w:color="auto"/>
            <w:right w:val="none" w:sz="0" w:space="0" w:color="auto"/>
          </w:divBdr>
        </w:div>
        <w:div w:id="1656102037">
          <w:marLeft w:val="0"/>
          <w:marRight w:val="0"/>
          <w:marTop w:val="0"/>
          <w:marBottom w:val="0"/>
          <w:divBdr>
            <w:top w:val="none" w:sz="0" w:space="0" w:color="auto"/>
            <w:left w:val="none" w:sz="0" w:space="0" w:color="auto"/>
            <w:bottom w:val="none" w:sz="0" w:space="0" w:color="auto"/>
            <w:right w:val="none" w:sz="0" w:space="0" w:color="auto"/>
          </w:divBdr>
        </w:div>
        <w:div w:id="1656102038">
          <w:marLeft w:val="0"/>
          <w:marRight w:val="0"/>
          <w:marTop w:val="0"/>
          <w:marBottom w:val="0"/>
          <w:divBdr>
            <w:top w:val="none" w:sz="0" w:space="0" w:color="auto"/>
            <w:left w:val="none" w:sz="0" w:space="0" w:color="auto"/>
            <w:bottom w:val="none" w:sz="0" w:space="0" w:color="auto"/>
            <w:right w:val="none" w:sz="0" w:space="0" w:color="auto"/>
          </w:divBdr>
        </w:div>
        <w:div w:id="1656102041">
          <w:marLeft w:val="0"/>
          <w:marRight w:val="0"/>
          <w:marTop w:val="0"/>
          <w:marBottom w:val="0"/>
          <w:divBdr>
            <w:top w:val="none" w:sz="0" w:space="0" w:color="auto"/>
            <w:left w:val="none" w:sz="0" w:space="0" w:color="auto"/>
            <w:bottom w:val="none" w:sz="0" w:space="0" w:color="auto"/>
            <w:right w:val="none" w:sz="0" w:space="0" w:color="auto"/>
          </w:divBdr>
        </w:div>
        <w:div w:id="1656102063">
          <w:marLeft w:val="0"/>
          <w:marRight w:val="0"/>
          <w:marTop w:val="0"/>
          <w:marBottom w:val="0"/>
          <w:divBdr>
            <w:top w:val="none" w:sz="0" w:space="0" w:color="auto"/>
            <w:left w:val="none" w:sz="0" w:space="0" w:color="auto"/>
            <w:bottom w:val="none" w:sz="0" w:space="0" w:color="auto"/>
            <w:right w:val="none" w:sz="0" w:space="0" w:color="auto"/>
          </w:divBdr>
        </w:div>
        <w:div w:id="1656102075">
          <w:marLeft w:val="0"/>
          <w:marRight w:val="0"/>
          <w:marTop w:val="0"/>
          <w:marBottom w:val="0"/>
          <w:divBdr>
            <w:top w:val="none" w:sz="0" w:space="0" w:color="auto"/>
            <w:left w:val="none" w:sz="0" w:space="0" w:color="auto"/>
            <w:bottom w:val="none" w:sz="0" w:space="0" w:color="auto"/>
            <w:right w:val="none" w:sz="0" w:space="0" w:color="auto"/>
          </w:divBdr>
        </w:div>
        <w:div w:id="1656102077">
          <w:marLeft w:val="0"/>
          <w:marRight w:val="0"/>
          <w:marTop w:val="0"/>
          <w:marBottom w:val="0"/>
          <w:divBdr>
            <w:top w:val="none" w:sz="0" w:space="0" w:color="auto"/>
            <w:left w:val="none" w:sz="0" w:space="0" w:color="auto"/>
            <w:bottom w:val="none" w:sz="0" w:space="0" w:color="auto"/>
            <w:right w:val="none" w:sz="0" w:space="0" w:color="auto"/>
          </w:divBdr>
        </w:div>
        <w:div w:id="1656102084">
          <w:marLeft w:val="0"/>
          <w:marRight w:val="0"/>
          <w:marTop w:val="0"/>
          <w:marBottom w:val="0"/>
          <w:divBdr>
            <w:top w:val="none" w:sz="0" w:space="0" w:color="auto"/>
            <w:left w:val="none" w:sz="0" w:space="0" w:color="auto"/>
            <w:bottom w:val="none" w:sz="0" w:space="0" w:color="auto"/>
            <w:right w:val="none" w:sz="0" w:space="0" w:color="auto"/>
          </w:divBdr>
        </w:div>
        <w:div w:id="1656102086">
          <w:marLeft w:val="0"/>
          <w:marRight w:val="0"/>
          <w:marTop w:val="0"/>
          <w:marBottom w:val="0"/>
          <w:divBdr>
            <w:top w:val="none" w:sz="0" w:space="0" w:color="auto"/>
            <w:left w:val="none" w:sz="0" w:space="0" w:color="auto"/>
            <w:bottom w:val="none" w:sz="0" w:space="0" w:color="auto"/>
            <w:right w:val="none" w:sz="0" w:space="0" w:color="auto"/>
          </w:divBdr>
        </w:div>
        <w:div w:id="1656102090">
          <w:marLeft w:val="0"/>
          <w:marRight w:val="0"/>
          <w:marTop w:val="0"/>
          <w:marBottom w:val="0"/>
          <w:divBdr>
            <w:top w:val="none" w:sz="0" w:space="0" w:color="auto"/>
            <w:left w:val="none" w:sz="0" w:space="0" w:color="auto"/>
            <w:bottom w:val="none" w:sz="0" w:space="0" w:color="auto"/>
            <w:right w:val="none" w:sz="0" w:space="0" w:color="auto"/>
          </w:divBdr>
        </w:div>
        <w:div w:id="1656102091">
          <w:marLeft w:val="0"/>
          <w:marRight w:val="0"/>
          <w:marTop w:val="0"/>
          <w:marBottom w:val="0"/>
          <w:divBdr>
            <w:top w:val="none" w:sz="0" w:space="0" w:color="auto"/>
            <w:left w:val="none" w:sz="0" w:space="0" w:color="auto"/>
            <w:bottom w:val="none" w:sz="0" w:space="0" w:color="auto"/>
            <w:right w:val="none" w:sz="0" w:space="0" w:color="auto"/>
          </w:divBdr>
        </w:div>
      </w:divsChild>
    </w:div>
    <w:div w:id="1656102061">
      <w:marLeft w:val="0"/>
      <w:marRight w:val="0"/>
      <w:marTop w:val="0"/>
      <w:marBottom w:val="0"/>
      <w:divBdr>
        <w:top w:val="none" w:sz="0" w:space="0" w:color="auto"/>
        <w:left w:val="none" w:sz="0" w:space="0" w:color="auto"/>
        <w:bottom w:val="none" w:sz="0" w:space="0" w:color="auto"/>
        <w:right w:val="none" w:sz="0" w:space="0" w:color="auto"/>
      </w:divBdr>
      <w:divsChild>
        <w:div w:id="1656101991">
          <w:marLeft w:val="0"/>
          <w:marRight w:val="0"/>
          <w:marTop w:val="0"/>
          <w:marBottom w:val="0"/>
          <w:divBdr>
            <w:top w:val="none" w:sz="0" w:space="0" w:color="auto"/>
            <w:left w:val="none" w:sz="0" w:space="0" w:color="auto"/>
            <w:bottom w:val="none" w:sz="0" w:space="0" w:color="auto"/>
            <w:right w:val="none" w:sz="0" w:space="0" w:color="auto"/>
          </w:divBdr>
        </w:div>
        <w:div w:id="1656102039">
          <w:marLeft w:val="0"/>
          <w:marRight w:val="0"/>
          <w:marTop w:val="0"/>
          <w:marBottom w:val="0"/>
          <w:divBdr>
            <w:top w:val="none" w:sz="0" w:space="0" w:color="auto"/>
            <w:left w:val="none" w:sz="0" w:space="0" w:color="auto"/>
            <w:bottom w:val="none" w:sz="0" w:space="0" w:color="auto"/>
            <w:right w:val="none" w:sz="0" w:space="0" w:color="auto"/>
          </w:divBdr>
        </w:div>
      </w:divsChild>
    </w:div>
    <w:div w:id="1656102064">
      <w:marLeft w:val="0"/>
      <w:marRight w:val="0"/>
      <w:marTop w:val="0"/>
      <w:marBottom w:val="0"/>
      <w:divBdr>
        <w:top w:val="none" w:sz="0" w:space="0" w:color="auto"/>
        <w:left w:val="none" w:sz="0" w:space="0" w:color="auto"/>
        <w:bottom w:val="none" w:sz="0" w:space="0" w:color="auto"/>
        <w:right w:val="none" w:sz="0" w:space="0" w:color="auto"/>
      </w:divBdr>
      <w:divsChild>
        <w:div w:id="1656101973">
          <w:marLeft w:val="0"/>
          <w:marRight w:val="0"/>
          <w:marTop w:val="0"/>
          <w:marBottom w:val="0"/>
          <w:divBdr>
            <w:top w:val="none" w:sz="0" w:space="0" w:color="auto"/>
            <w:left w:val="none" w:sz="0" w:space="0" w:color="auto"/>
            <w:bottom w:val="none" w:sz="0" w:space="0" w:color="auto"/>
            <w:right w:val="none" w:sz="0" w:space="0" w:color="auto"/>
          </w:divBdr>
        </w:div>
        <w:div w:id="1656101990">
          <w:marLeft w:val="0"/>
          <w:marRight w:val="0"/>
          <w:marTop w:val="0"/>
          <w:marBottom w:val="0"/>
          <w:divBdr>
            <w:top w:val="none" w:sz="0" w:space="0" w:color="auto"/>
            <w:left w:val="none" w:sz="0" w:space="0" w:color="auto"/>
            <w:bottom w:val="none" w:sz="0" w:space="0" w:color="auto"/>
            <w:right w:val="none" w:sz="0" w:space="0" w:color="auto"/>
          </w:divBdr>
        </w:div>
        <w:div w:id="1656101998">
          <w:marLeft w:val="0"/>
          <w:marRight w:val="0"/>
          <w:marTop w:val="0"/>
          <w:marBottom w:val="0"/>
          <w:divBdr>
            <w:top w:val="none" w:sz="0" w:space="0" w:color="auto"/>
            <w:left w:val="none" w:sz="0" w:space="0" w:color="auto"/>
            <w:bottom w:val="none" w:sz="0" w:space="0" w:color="auto"/>
            <w:right w:val="none" w:sz="0" w:space="0" w:color="auto"/>
          </w:divBdr>
        </w:div>
        <w:div w:id="1656101999">
          <w:marLeft w:val="0"/>
          <w:marRight w:val="0"/>
          <w:marTop w:val="0"/>
          <w:marBottom w:val="0"/>
          <w:divBdr>
            <w:top w:val="none" w:sz="0" w:space="0" w:color="auto"/>
            <w:left w:val="none" w:sz="0" w:space="0" w:color="auto"/>
            <w:bottom w:val="none" w:sz="0" w:space="0" w:color="auto"/>
            <w:right w:val="none" w:sz="0" w:space="0" w:color="auto"/>
          </w:divBdr>
        </w:div>
        <w:div w:id="1656102011">
          <w:marLeft w:val="0"/>
          <w:marRight w:val="0"/>
          <w:marTop w:val="0"/>
          <w:marBottom w:val="0"/>
          <w:divBdr>
            <w:top w:val="none" w:sz="0" w:space="0" w:color="auto"/>
            <w:left w:val="none" w:sz="0" w:space="0" w:color="auto"/>
            <w:bottom w:val="none" w:sz="0" w:space="0" w:color="auto"/>
            <w:right w:val="none" w:sz="0" w:space="0" w:color="auto"/>
          </w:divBdr>
        </w:div>
      </w:divsChild>
    </w:div>
    <w:div w:id="1656102067">
      <w:marLeft w:val="0"/>
      <w:marRight w:val="0"/>
      <w:marTop w:val="0"/>
      <w:marBottom w:val="0"/>
      <w:divBdr>
        <w:top w:val="none" w:sz="0" w:space="0" w:color="auto"/>
        <w:left w:val="none" w:sz="0" w:space="0" w:color="auto"/>
        <w:bottom w:val="none" w:sz="0" w:space="0" w:color="auto"/>
        <w:right w:val="none" w:sz="0" w:space="0" w:color="auto"/>
      </w:divBdr>
      <w:divsChild>
        <w:div w:id="1656101944">
          <w:marLeft w:val="0"/>
          <w:marRight w:val="0"/>
          <w:marTop w:val="0"/>
          <w:marBottom w:val="0"/>
          <w:divBdr>
            <w:top w:val="none" w:sz="0" w:space="0" w:color="auto"/>
            <w:left w:val="none" w:sz="0" w:space="0" w:color="auto"/>
            <w:bottom w:val="none" w:sz="0" w:space="0" w:color="auto"/>
            <w:right w:val="none" w:sz="0" w:space="0" w:color="auto"/>
          </w:divBdr>
        </w:div>
        <w:div w:id="1656101945">
          <w:marLeft w:val="0"/>
          <w:marRight w:val="0"/>
          <w:marTop w:val="0"/>
          <w:marBottom w:val="0"/>
          <w:divBdr>
            <w:top w:val="none" w:sz="0" w:space="0" w:color="auto"/>
            <w:left w:val="none" w:sz="0" w:space="0" w:color="auto"/>
            <w:bottom w:val="none" w:sz="0" w:space="0" w:color="auto"/>
            <w:right w:val="none" w:sz="0" w:space="0" w:color="auto"/>
          </w:divBdr>
        </w:div>
        <w:div w:id="1656101946">
          <w:marLeft w:val="0"/>
          <w:marRight w:val="0"/>
          <w:marTop w:val="0"/>
          <w:marBottom w:val="0"/>
          <w:divBdr>
            <w:top w:val="none" w:sz="0" w:space="0" w:color="auto"/>
            <w:left w:val="none" w:sz="0" w:space="0" w:color="auto"/>
            <w:bottom w:val="none" w:sz="0" w:space="0" w:color="auto"/>
            <w:right w:val="none" w:sz="0" w:space="0" w:color="auto"/>
          </w:divBdr>
        </w:div>
        <w:div w:id="1656101947">
          <w:marLeft w:val="0"/>
          <w:marRight w:val="0"/>
          <w:marTop w:val="0"/>
          <w:marBottom w:val="0"/>
          <w:divBdr>
            <w:top w:val="none" w:sz="0" w:space="0" w:color="auto"/>
            <w:left w:val="none" w:sz="0" w:space="0" w:color="auto"/>
            <w:bottom w:val="none" w:sz="0" w:space="0" w:color="auto"/>
            <w:right w:val="none" w:sz="0" w:space="0" w:color="auto"/>
          </w:divBdr>
        </w:div>
        <w:div w:id="1656101955">
          <w:marLeft w:val="0"/>
          <w:marRight w:val="0"/>
          <w:marTop w:val="0"/>
          <w:marBottom w:val="0"/>
          <w:divBdr>
            <w:top w:val="none" w:sz="0" w:space="0" w:color="auto"/>
            <w:left w:val="none" w:sz="0" w:space="0" w:color="auto"/>
            <w:bottom w:val="none" w:sz="0" w:space="0" w:color="auto"/>
            <w:right w:val="none" w:sz="0" w:space="0" w:color="auto"/>
          </w:divBdr>
        </w:div>
        <w:div w:id="1656101957">
          <w:marLeft w:val="0"/>
          <w:marRight w:val="0"/>
          <w:marTop w:val="0"/>
          <w:marBottom w:val="0"/>
          <w:divBdr>
            <w:top w:val="none" w:sz="0" w:space="0" w:color="auto"/>
            <w:left w:val="none" w:sz="0" w:space="0" w:color="auto"/>
            <w:bottom w:val="none" w:sz="0" w:space="0" w:color="auto"/>
            <w:right w:val="none" w:sz="0" w:space="0" w:color="auto"/>
          </w:divBdr>
        </w:div>
        <w:div w:id="1656101959">
          <w:marLeft w:val="0"/>
          <w:marRight w:val="0"/>
          <w:marTop w:val="0"/>
          <w:marBottom w:val="0"/>
          <w:divBdr>
            <w:top w:val="none" w:sz="0" w:space="0" w:color="auto"/>
            <w:left w:val="none" w:sz="0" w:space="0" w:color="auto"/>
            <w:bottom w:val="none" w:sz="0" w:space="0" w:color="auto"/>
            <w:right w:val="none" w:sz="0" w:space="0" w:color="auto"/>
          </w:divBdr>
        </w:div>
        <w:div w:id="1656101966">
          <w:marLeft w:val="0"/>
          <w:marRight w:val="0"/>
          <w:marTop w:val="0"/>
          <w:marBottom w:val="0"/>
          <w:divBdr>
            <w:top w:val="none" w:sz="0" w:space="0" w:color="auto"/>
            <w:left w:val="none" w:sz="0" w:space="0" w:color="auto"/>
            <w:bottom w:val="none" w:sz="0" w:space="0" w:color="auto"/>
            <w:right w:val="none" w:sz="0" w:space="0" w:color="auto"/>
          </w:divBdr>
        </w:div>
        <w:div w:id="1656101968">
          <w:marLeft w:val="0"/>
          <w:marRight w:val="0"/>
          <w:marTop w:val="0"/>
          <w:marBottom w:val="0"/>
          <w:divBdr>
            <w:top w:val="none" w:sz="0" w:space="0" w:color="auto"/>
            <w:left w:val="none" w:sz="0" w:space="0" w:color="auto"/>
            <w:bottom w:val="none" w:sz="0" w:space="0" w:color="auto"/>
            <w:right w:val="none" w:sz="0" w:space="0" w:color="auto"/>
          </w:divBdr>
        </w:div>
        <w:div w:id="1656101969">
          <w:marLeft w:val="0"/>
          <w:marRight w:val="0"/>
          <w:marTop w:val="0"/>
          <w:marBottom w:val="0"/>
          <w:divBdr>
            <w:top w:val="none" w:sz="0" w:space="0" w:color="auto"/>
            <w:left w:val="none" w:sz="0" w:space="0" w:color="auto"/>
            <w:bottom w:val="none" w:sz="0" w:space="0" w:color="auto"/>
            <w:right w:val="none" w:sz="0" w:space="0" w:color="auto"/>
          </w:divBdr>
        </w:div>
        <w:div w:id="1656101970">
          <w:marLeft w:val="0"/>
          <w:marRight w:val="0"/>
          <w:marTop w:val="0"/>
          <w:marBottom w:val="0"/>
          <w:divBdr>
            <w:top w:val="none" w:sz="0" w:space="0" w:color="auto"/>
            <w:left w:val="none" w:sz="0" w:space="0" w:color="auto"/>
            <w:bottom w:val="none" w:sz="0" w:space="0" w:color="auto"/>
            <w:right w:val="none" w:sz="0" w:space="0" w:color="auto"/>
          </w:divBdr>
        </w:div>
        <w:div w:id="1656101971">
          <w:marLeft w:val="0"/>
          <w:marRight w:val="0"/>
          <w:marTop w:val="0"/>
          <w:marBottom w:val="0"/>
          <w:divBdr>
            <w:top w:val="none" w:sz="0" w:space="0" w:color="auto"/>
            <w:left w:val="none" w:sz="0" w:space="0" w:color="auto"/>
            <w:bottom w:val="none" w:sz="0" w:space="0" w:color="auto"/>
            <w:right w:val="none" w:sz="0" w:space="0" w:color="auto"/>
          </w:divBdr>
        </w:div>
        <w:div w:id="1656101972">
          <w:marLeft w:val="0"/>
          <w:marRight w:val="0"/>
          <w:marTop w:val="0"/>
          <w:marBottom w:val="0"/>
          <w:divBdr>
            <w:top w:val="none" w:sz="0" w:space="0" w:color="auto"/>
            <w:left w:val="none" w:sz="0" w:space="0" w:color="auto"/>
            <w:bottom w:val="none" w:sz="0" w:space="0" w:color="auto"/>
            <w:right w:val="none" w:sz="0" w:space="0" w:color="auto"/>
          </w:divBdr>
        </w:div>
        <w:div w:id="1656101977">
          <w:marLeft w:val="0"/>
          <w:marRight w:val="0"/>
          <w:marTop w:val="0"/>
          <w:marBottom w:val="0"/>
          <w:divBdr>
            <w:top w:val="none" w:sz="0" w:space="0" w:color="auto"/>
            <w:left w:val="none" w:sz="0" w:space="0" w:color="auto"/>
            <w:bottom w:val="none" w:sz="0" w:space="0" w:color="auto"/>
            <w:right w:val="none" w:sz="0" w:space="0" w:color="auto"/>
          </w:divBdr>
        </w:div>
        <w:div w:id="1656101980">
          <w:marLeft w:val="0"/>
          <w:marRight w:val="0"/>
          <w:marTop w:val="0"/>
          <w:marBottom w:val="0"/>
          <w:divBdr>
            <w:top w:val="none" w:sz="0" w:space="0" w:color="auto"/>
            <w:left w:val="none" w:sz="0" w:space="0" w:color="auto"/>
            <w:bottom w:val="none" w:sz="0" w:space="0" w:color="auto"/>
            <w:right w:val="none" w:sz="0" w:space="0" w:color="auto"/>
          </w:divBdr>
        </w:div>
        <w:div w:id="1656101982">
          <w:marLeft w:val="0"/>
          <w:marRight w:val="0"/>
          <w:marTop w:val="0"/>
          <w:marBottom w:val="0"/>
          <w:divBdr>
            <w:top w:val="none" w:sz="0" w:space="0" w:color="auto"/>
            <w:left w:val="none" w:sz="0" w:space="0" w:color="auto"/>
            <w:bottom w:val="none" w:sz="0" w:space="0" w:color="auto"/>
            <w:right w:val="none" w:sz="0" w:space="0" w:color="auto"/>
          </w:divBdr>
        </w:div>
        <w:div w:id="1656101983">
          <w:marLeft w:val="0"/>
          <w:marRight w:val="0"/>
          <w:marTop w:val="0"/>
          <w:marBottom w:val="0"/>
          <w:divBdr>
            <w:top w:val="none" w:sz="0" w:space="0" w:color="auto"/>
            <w:left w:val="none" w:sz="0" w:space="0" w:color="auto"/>
            <w:bottom w:val="none" w:sz="0" w:space="0" w:color="auto"/>
            <w:right w:val="none" w:sz="0" w:space="0" w:color="auto"/>
          </w:divBdr>
        </w:div>
        <w:div w:id="1656101984">
          <w:marLeft w:val="0"/>
          <w:marRight w:val="0"/>
          <w:marTop w:val="0"/>
          <w:marBottom w:val="0"/>
          <w:divBdr>
            <w:top w:val="none" w:sz="0" w:space="0" w:color="auto"/>
            <w:left w:val="none" w:sz="0" w:space="0" w:color="auto"/>
            <w:bottom w:val="none" w:sz="0" w:space="0" w:color="auto"/>
            <w:right w:val="none" w:sz="0" w:space="0" w:color="auto"/>
          </w:divBdr>
        </w:div>
        <w:div w:id="1656101988">
          <w:marLeft w:val="0"/>
          <w:marRight w:val="0"/>
          <w:marTop w:val="0"/>
          <w:marBottom w:val="0"/>
          <w:divBdr>
            <w:top w:val="none" w:sz="0" w:space="0" w:color="auto"/>
            <w:left w:val="none" w:sz="0" w:space="0" w:color="auto"/>
            <w:bottom w:val="none" w:sz="0" w:space="0" w:color="auto"/>
            <w:right w:val="none" w:sz="0" w:space="0" w:color="auto"/>
          </w:divBdr>
        </w:div>
        <w:div w:id="1656101989">
          <w:marLeft w:val="0"/>
          <w:marRight w:val="0"/>
          <w:marTop w:val="0"/>
          <w:marBottom w:val="0"/>
          <w:divBdr>
            <w:top w:val="none" w:sz="0" w:space="0" w:color="auto"/>
            <w:left w:val="none" w:sz="0" w:space="0" w:color="auto"/>
            <w:bottom w:val="none" w:sz="0" w:space="0" w:color="auto"/>
            <w:right w:val="none" w:sz="0" w:space="0" w:color="auto"/>
          </w:divBdr>
        </w:div>
        <w:div w:id="1656101992">
          <w:marLeft w:val="0"/>
          <w:marRight w:val="0"/>
          <w:marTop w:val="0"/>
          <w:marBottom w:val="0"/>
          <w:divBdr>
            <w:top w:val="none" w:sz="0" w:space="0" w:color="auto"/>
            <w:left w:val="none" w:sz="0" w:space="0" w:color="auto"/>
            <w:bottom w:val="none" w:sz="0" w:space="0" w:color="auto"/>
            <w:right w:val="none" w:sz="0" w:space="0" w:color="auto"/>
          </w:divBdr>
        </w:div>
        <w:div w:id="1656101993">
          <w:marLeft w:val="0"/>
          <w:marRight w:val="0"/>
          <w:marTop w:val="0"/>
          <w:marBottom w:val="0"/>
          <w:divBdr>
            <w:top w:val="none" w:sz="0" w:space="0" w:color="auto"/>
            <w:left w:val="none" w:sz="0" w:space="0" w:color="auto"/>
            <w:bottom w:val="none" w:sz="0" w:space="0" w:color="auto"/>
            <w:right w:val="none" w:sz="0" w:space="0" w:color="auto"/>
          </w:divBdr>
        </w:div>
        <w:div w:id="1656101995">
          <w:marLeft w:val="0"/>
          <w:marRight w:val="0"/>
          <w:marTop w:val="0"/>
          <w:marBottom w:val="0"/>
          <w:divBdr>
            <w:top w:val="none" w:sz="0" w:space="0" w:color="auto"/>
            <w:left w:val="none" w:sz="0" w:space="0" w:color="auto"/>
            <w:bottom w:val="none" w:sz="0" w:space="0" w:color="auto"/>
            <w:right w:val="none" w:sz="0" w:space="0" w:color="auto"/>
          </w:divBdr>
        </w:div>
        <w:div w:id="1656101996">
          <w:marLeft w:val="0"/>
          <w:marRight w:val="0"/>
          <w:marTop w:val="0"/>
          <w:marBottom w:val="0"/>
          <w:divBdr>
            <w:top w:val="none" w:sz="0" w:space="0" w:color="auto"/>
            <w:left w:val="none" w:sz="0" w:space="0" w:color="auto"/>
            <w:bottom w:val="none" w:sz="0" w:space="0" w:color="auto"/>
            <w:right w:val="none" w:sz="0" w:space="0" w:color="auto"/>
          </w:divBdr>
        </w:div>
        <w:div w:id="1656102000">
          <w:marLeft w:val="0"/>
          <w:marRight w:val="0"/>
          <w:marTop w:val="0"/>
          <w:marBottom w:val="0"/>
          <w:divBdr>
            <w:top w:val="none" w:sz="0" w:space="0" w:color="auto"/>
            <w:left w:val="none" w:sz="0" w:space="0" w:color="auto"/>
            <w:bottom w:val="none" w:sz="0" w:space="0" w:color="auto"/>
            <w:right w:val="none" w:sz="0" w:space="0" w:color="auto"/>
          </w:divBdr>
        </w:div>
        <w:div w:id="1656102014">
          <w:marLeft w:val="0"/>
          <w:marRight w:val="0"/>
          <w:marTop w:val="0"/>
          <w:marBottom w:val="0"/>
          <w:divBdr>
            <w:top w:val="none" w:sz="0" w:space="0" w:color="auto"/>
            <w:left w:val="none" w:sz="0" w:space="0" w:color="auto"/>
            <w:bottom w:val="none" w:sz="0" w:space="0" w:color="auto"/>
            <w:right w:val="none" w:sz="0" w:space="0" w:color="auto"/>
          </w:divBdr>
        </w:div>
        <w:div w:id="1656102015">
          <w:marLeft w:val="0"/>
          <w:marRight w:val="0"/>
          <w:marTop w:val="0"/>
          <w:marBottom w:val="0"/>
          <w:divBdr>
            <w:top w:val="none" w:sz="0" w:space="0" w:color="auto"/>
            <w:left w:val="none" w:sz="0" w:space="0" w:color="auto"/>
            <w:bottom w:val="none" w:sz="0" w:space="0" w:color="auto"/>
            <w:right w:val="none" w:sz="0" w:space="0" w:color="auto"/>
          </w:divBdr>
        </w:div>
        <w:div w:id="1656102019">
          <w:marLeft w:val="0"/>
          <w:marRight w:val="0"/>
          <w:marTop w:val="0"/>
          <w:marBottom w:val="0"/>
          <w:divBdr>
            <w:top w:val="none" w:sz="0" w:space="0" w:color="auto"/>
            <w:left w:val="none" w:sz="0" w:space="0" w:color="auto"/>
            <w:bottom w:val="none" w:sz="0" w:space="0" w:color="auto"/>
            <w:right w:val="none" w:sz="0" w:space="0" w:color="auto"/>
          </w:divBdr>
        </w:div>
        <w:div w:id="1656102023">
          <w:marLeft w:val="0"/>
          <w:marRight w:val="0"/>
          <w:marTop w:val="0"/>
          <w:marBottom w:val="0"/>
          <w:divBdr>
            <w:top w:val="none" w:sz="0" w:space="0" w:color="auto"/>
            <w:left w:val="none" w:sz="0" w:space="0" w:color="auto"/>
            <w:bottom w:val="none" w:sz="0" w:space="0" w:color="auto"/>
            <w:right w:val="none" w:sz="0" w:space="0" w:color="auto"/>
          </w:divBdr>
        </w:div>
        <w:div w:id="1656102027">
          <w:marLeft w:val="0"/>
          <w:marRight w:val="0"/>
          <w:marTop w:val="0"/>
          <w:marBottom w:val="0"/>
          <w:divBdr>
            <w:top w:val="none" w:sz="0" w:space="0" w:color="auto"/>
            <w:left w:val="none" w:sz="0" w:space="0" w:color="auto"/>
            <w:bottom w:val="none" w:sz="0" w:space="0" w:color="auto"/>
            <w:right w:val="none" w:sz="0" w:space="0" w:color="auto"/>
          </w:divBdr>
        </w:div>
        <w:div w:id="1656102028">
          <w:marLeft w:val="0"/>
          <w:marRight w:val="0"/>
          <w:marTop w:val="0"/>
          <w:marBottom w:val="0"/>
          <w:divBdr>
            <w:top w:val="none" w:sz="0" w:space="0" w:color="auto"/>
            <w:left w:val="none" w:sz="0" w:space="0" w:color="auto"/>
            <w:bottom w:val="none" w:sz="0" w:space="0" w:color="auto"/>
            <w:right w:val="none" w:sz="0" w:space="0" w:color="auto"/>
          </w:divBdr>
        </w:div>
        <w:div w:id="1656102034">
          <w:marLeft w:val="0"/>
          <w:marRight w:val="0"/>
          <w:marTop w:val="0"/>
          <w:marBottom w:val="0"/>
          <w:divBdr>
            <w:top w:val="none" w:sz="0" w:space="0" w:color="auto"/>
            <w:left w:val="none" w:sz="0" w:space="0" w:color="auto"/>
            <w:bottom w:val="none" w:sz="0" w:space="0" w:color="auto"/>
            <w:right w:val="none" w:sz="0" w:space="0" w:color="auto"/>
          </w:divBdr>
        </w:div>
        <w:div w:id="1656102040">
          <w:marLeft w:val="0"/>
          <w:marRight w:val="0"/>
          <w:marTop w:val="0"/>
          <w:marBottom w:val="0"/>
          <w:divBdr>
            <w:top w:val="none" w:sz="0" w:space="0" w:color="auto"/>
            <w:left w:val="none" w:sz="0" w:space="0" w:color="auto"/>
            <w:bottom w:val="none" w:sz="0" w:space="0" w:color="auto"/>
            <w:right w:val="none" w:sz="0" w:space="0" w:color="auto"/>
          </w:divBdr>
        </w:div>
        <w:div w:id="1656102043">
          <w:marLeft w:val="0"/>
          <w:marRight w:val="0"/>
          <w:marTop w:val="0"/>
          <w:marBottom w:val="0"/>
          <w:divBdr>
            <w:top w:val="none" w:sz="0" w:space="0" w:color="auto"/>
            <w:left w:val="none" w:sz="0" w:space="0" w:color="auto"/>
            <w:bottom w:val="none" w:sz="0" w:space="0" w:color="auto"/>
            <w:right w:val="none" w:sz="0" w:space="0" w:color="auto"/>
          </w:divBdr>
        </w:div>
        <w:div w:id="1656102044">
          <w:marLeft w:val="0"/>
          <w:marRight w:val="0"/>
          <w:marTop w:val="0"/>
          <w:marBottom w:val="0"/>
          <w:divBdr>
            <w:top w:val="none" w:sz="0" w:space="0" w:color="auto"/>
            <w:left w:val="none" w:sz="0" w:space="0" w:color="auto"/>
            <w:bottom w:val="none" w:sz="0" w:space="0" w:color="auto"/>
            <w:right w:val="none" w:sz="0" w:space="0" w:color="auto"/>
          </w:divBdr>
        </w:div>
        <w:div w:id="1656102045">
          <w:marLeft w:val="0"/>
          <w:marRight w:val="0"/>
          <w:marTop w:val="0"/>
          <w:marBottom w:val="0"/>
          <w:divBdr>
            <w:top w:val="none" w:sz="0" w:space="0" w:color="auto"/>
            <w:left w:val="none" w:sz="0" w:space="0" w:color="auto"/>
            <w:bottom w:val="none" w:sz="0" w:space="0" w:color="auto"/>
            <w:right w:val="none" w:sz="0" w:space="0" w:color="auto"/>
          </w:divBdr>
        </w:div>
        <w:div w:id="1656102046">
          <w:marLeft w:val="0"/>
          <w:marRight w:val="0"/>
          <w:marTop w:val="0"/>
          <w:marBottom w:val="0"/>
          <w:divBdr>
            <w:top w:val="none" w:sz="0" w:space="0" w:color="auto"/>
            <w:left w:val="none" w:sz="0" w:space="0" w:color="auto"/>
            <w:bottom w:val="none" w:sz="0" w:space="0" w:color="auto"/>
            <w:right w:val="none" w:sz="0" w:space="0" w:color="auto"/>
          </w:divBdr>
        </w:div>
        <w:div w:id="1656102047">
          <w:marLeft w:val="0"/>
          <w:marRight w:val="0"/>
          <w:marTop w:val="0"/>
          <w:marBottom w:val="0"/>
          <w:divBdr>
            <w:top w:val="none" w:sz="0" w:space="0" w:color="auto"/>
            <w:left w:val="none" w:sz="0" w:space="0" w:color="auto"/>
            <w:bottom w:val="none" w:sz="0" w:space="0" w:color="auto"/>
            <w:right w:val="none" w:sz="0" w:space="0" w:color="auto"/>
          </w:divBdr>
        </w:div>
        <w:div w:id="1656102049">
          <w:marLeft w:val="0"/>
          <w:marRight w:val="0"/>
          <w:marTop w:val="0"/>
          <w:marBottom w:val="0"/>
          <w:divBdr>
            <w:top w:val="none" w:sz="0" w:space="0" w:color="auto"/>
            <w:left w:val="none" w:sz="0" w:space="0" w:color="auto"/>
            <w:bottom w:val="none" w:sz="0" w:space="0" w:color="auto"/>
            <w:right w:val="none" w:sz="0" w:space="0" w:color="auto"/>
          </w:divBdr>
        </w:div>
        <w:div w:id="1656102057">
          <w:marLeft w:val="0"/>
          <w:marRight w:val="0"/>
          <w:marTop w:val="0"/>
          <w:marBottom w:val="0"/>
          <w:divBdr>
            <w:top w:val="none" w:sz="0" w:space="0" w:color="auto"/>
            <w:left w:val="none" w:sz="0" w:space="0" w:color="auto"/>
            <w:bottom w:val="none" w:sz="0" w:space="0" w:color="auto"/>
            <w:right w:val="none" w:sz="0" w:space="0" w:color="auto"/>
          </w:divBdr>
        </w:div>
        <w:div w:id="1656102058">
          <w:marLeft w:val="0"/>
          <w:marRight w:val="0"/>
          <w:marTop w:val="0"/>
          <w:marBottom w:val="0"/>
          <w:divBdr>
            <w:top w:val="none" w:sz="0" w:space="0" w:color="auto"/>
            <w:left w:val="none" w:sz="0" w:space="0" w:color="auto"/>
            <w:bottom w:val="none" w:sz="0" w:space="0" w:color="auto"/>
            <w:right w:val="none" w:sz="0" w:space="0" w:color="auto"/>
          </w:divBdr>
        </w:div>
        <w:div w:id="1656102065">
          <w:marLeft w:val="0"/>
          <w:marRight w:val="0"/>
          <w:marTop w:val="0"/>
          <w:marBottom w:val="0"/>
          <w:divBdr>
            <w:top w:val="none" w:sz="0" w:space="0" w:color="auto"/>
            <w:left w:val="none" w:sz="0" w:space="0" w:color="auto"/>
            <w:bottom w:val="none" w:sz="0" w:space="0" w:color="auto"/>
            <w:right w:val="none" w:sz="0" w:space="0" w:color="auto"/>
          </w:divBdr>
        </w:div>
        <w:div w:id="1656102068">
          <w:marLeft w:val="0"/>
          <w:marRight w:val="0"/>
          <w:marTop w:val="0"/>
          <w:marBottom w:val="0"/>
          <w:divBdr>
            <w:top w:val="none" w:sz="0" w:space="0" w:color="auto"/>
            <w:left w:val="none" w:sz="0" w:space="0" w:color="auto"/>
            <w:bottom w:val="none" w:sz="0" w:space="0" w:color="auto"/>
            <w:right w:val="none" w:sz="0" w:space="0" w:color="auto"/>
          </w:divBdr>
        </w:div>
        <w:div w:id="1656102070">
          <w:marLeft w:val="0"/>
          <w:marRight w:val="0"/>
          <w:marTop w:val="0"/>
          <w:marBottom w:val="0"/>
          <w:divBdr>
            <w:top w:val="none" w:sz="0" w:space="0" w:color="auto"/>
            <w:left w:val="none" w:sz="0" w:space="0" w:color="auto"/>
            <w:bottom w:val="none" w:sz="0" w:space="0" w:color="auto"/>
            <w:right w:val="none" w:sz="0" w:space="0" w:color="auto"/>
          </w:divBdr>
        </w:div>
        <w:div w:id="1656102072">
          <w:marLeft w:val="0"/>
          <w:marRight w:val="0"/>
          <w:marTop w:val="0"/>
          <w:marBottom w:val="0"/>
          <w:divBdr>
            <w:top w:val="none" w:sz="0" w:space="0" w:color="auto"/>
            <w:left w:val="none" w:sz="0" w:space="0" w:color="auto"/>
            <w:bottom w:val="none" w:sz="0" w:space="0" w:color="auto"/>
            <w:right w:val="none" w:sz="0" w:space="0" w:color="auto"/>
          </w:divBdr>
        </w:div>
        <w:div w:id="1656102074">
          <w:marLeft w:val="0"/>
          <w:marRight w:val="0"/>
          <w:marTop w:val="0"/>
          <w:marBottom w:val="0"/>
          <w:divBdr>
            <w:top w:val="none" w:sz="0" w:space="0" w:color="auto"/>
            <w:left w:val="none" w:sz="0" w:space="0" w:color="auto"/>
            <w:bottom w:val="none" w:sz="0" w:space="0" w:color="auto"/>
            <w:right w:val="none" w:sz="0" w:space="0" w:color="auto"/>
          </w:divBdr>
        </w:div>
        <w:div w:id="1656102078">
          <w:marLeft w:val="0"/>
          <w:marRight w:val="0"/>
          <w:marTop w:val="0"/>
          <w:marBottom w:val="0"/>
          <w:divBdr>
            <w:top w:val="none" w:sz="0" w:space="0" w:color="auto"/>
            <w:left w:val="none" w:sz="0" w:space="0" w:color="auto"/>
            <w:bottom w:val="none" w:sz="0" w:space="0" w:color="auto"/>
            <w:right w:val="none" w:sz="0" w:space="0" w:color="auto"/>
          </w:divBdr>
        </w:div>
        <w:div w:id="1656102080">
          <w:marLeft w:val="0"/>
          <w:marRight w:val="0"/>
          <w:marTop w:val="0"/>
          <w:marBottom w:val="0"/>
          <w:divBdr>
            <w:top w:val="none" w:sz="0" w:space="0" w:color="auto"/>
            <w:left w:val="none" w:sz="0" w:space="0" w:color="auto"/>
            <w:bottom w:val="none" w:sz="0" w:space="0" w:color="auto"/>
            <w:right w:val="none" w:sz="0" w:space="0" w:color="auto"/>
          </w:divBdr>
        </w:div>
        <w:div w:id="1656102083">
          <w:marLeft w:val="0"/>
          <w:marRight w:val="0"/>
          <w:marTop w:val="0"/>
          <w:marBottom w:val="0"/>
          <w:divBdr>
            <w:top w:val="none" w:sz="0" w:space="0" w:color="auto"/>
            <w:left w:val="none" w:sz="0" w:space="0" w:color="auto"/>
            <w:bottom w:val="none" w:sz="0" w:space="0" w:color="auto"/>
            <w:right w:val="none" w:sz="0" w:space="0" w:color="auto"/>
          </w:divBdr>
        </w:div>
        <w:div w:id="1656102085">
          <w:marLeft w:val="0"/>
          <w:marRight w:val="0"/>
          <w:marTop w:val="0"/>
          <w:marBottom w:val="0"/>
          <w:divBdr>
            <w:top w:val="none" w:sz="0" w:space="0" w:color="auto"/>
            <w:left w:val="none" w:sz="0" w:space="0" w:color="auto"/>
            <w:bottom w:val="none" w:sz="0" w:space="0" w:color="auto"/>
            <w:right w:val="none" w:sz="0" w:space="0" w:color="auto"/>
          </w:divBdr>
        </w:div>
        <w:div w:id="1656102087">
          <w:marLeft w:val="0"/>
          <w:marRight w:val="0"/>
          <w:marTop w:val="0"/>
          <w:marBottom w:val="0"/>
          <w:divBdr>
            <w:top w:val="none" w:sz="0" w:space="0" w:color="auto"/>
            <w:left w:val="none" w:sz="0" w:space="0" w:color="auto"/>
            <w:bottom w:val="none" w:sz="0" w:space="0" w:color="auto"/>
            <w:right w:val="none" w:sz="0" w:space="0" w:color="auto"/>
          </w:divBdr>
        </w:div>
        <w:div w:id="1656102094">
          <w:marLeft w:val="0"/>
          <w:marRight w:val="0"/>
          <w:marTop w:val="0"/>
          <w:marBottom w:val="0"/>
          <w:divBdr>
            <w:top w:val="none" w:sz="0" w:space="0" w:color="auto"/>
            <w:left w:val="none" w:sz="0" w:space="0" w:color="auto"/>
            <w:bottom w:val="none" w:sz="0" w:space="0" w:color="auto"/>
            <w:right w:val="none" w:sz="0" w:space="0" w:color="auto"/>
          </w:divBdr>
        </w:div>
        <w:div w:id="1656102095">
          <w:marLeft w:val="0"/>
          <w:marRight w:val="0"/>
          <w:marTop w:val="0"/>
          <w:marBottom w:val="0"/>
          <w:divBdr>
            <w:top w:val="none" w:sz="0" w:space="0" w:color="auto"/>
            <w:left w:val="none" w:sz="0" w:space="0" w:color="auto"/>
            <w:bottom w:val="none" w:sz="0" w:space="0" w:color="auto"/>
            <w:right w:val="none" w:sz="0" w:space="0" w:color="auto"/>
          </w:divBdr>
        </w:div>
        <w:div w:id="1656102096">
          <w:marLeft w:val="0"/>
          <w:marRight w:val="0"/>
          <w:marTop w:val="0"/>
          <w:marBottom w:val="0"/>
          <w:divBdr>
            <w:top w:val="none" w:sz="0" w:space="0" w:color="auto"/>
            <w:left w:val="none" w:sz="0" w:space="0" w:color="auto"/>
            <w:bottom w:val="none" w:sz="0" w:space="0" w:color="auto"/>
            <w:right w:val="none" w:sz="0" w:space="0" w:color="auto"/>
          </w:divBdr>
        </w:div>
      </w:divsChild>
    </w:div>
    <w:div w:id="1737891896">
      <w:bodyDiv w:val="1"/>
      <w:marLeft w:val="0"/>
      <w:marRight w:val="0"/>
      <w:marTop w:val="0"/>
      <w:marBottom w:val="0"/>
      <w:divBdr>
        <w:top w:val="none" w:sz="0" w:space="0" w:color="auto"/>
        <w:left w:val="none" w:sz="0" w:space="0" w:color="auto"/>
        <w:bottom w:val="none" w:sz="0" w:space="0" w:color="auto"/>
        <w:right w:val="none" w:sz="0" w:space="0" w:color="auto"/>
      </w:divBdr>
    </w:div>
    <w:div w:id="1919829865">
      <w:bodyDiv w:val="1"/>
      <w:marLeft w:val="0"/>
      <w:marRight w:val="0"/>
      <w:marTop w:val="0"/>
      <w:marBottom w:val="0"/>
      <w:divBdr>
        <w:top w:val="none" w:sz="0" w:space="0" w:color="auto"/>
        <w:left w:val="none" w:sz="0" w:space="0" w:color="auto"/>
        <w:bottom w:val="none" w:sz="0" w:space="0" w:color="auto"/>
        <w:right w:val="none" w:sz="0" w:space="0" w:color="auto"/>
      </w:divBdr>
    </w:div>
    <w:div w:id="20129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squebec.gouv.qc.ca/fr/showdoc/cs/ccq-1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phan.org/wp-content/uploads/2017/02/M%C3%A9moire-COPHAN-Cadre-de-r%C3%A9f%C3%A9rence-gouvernemental-participation-publiqu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ici.radio-canada.ca/nouvelle/1104152/aide-medicale-mourir-soins-palliatifs-college-medecins-penurie" TargetMode="External"/><Relationship Id="rId18" Type="http://schemas.openxmlformats.org/officeDocument/2006/relationships/hyperlink" Target="https://www.newswire.ca/fr/news-releases/le-gouvernement-du-quebec-se-conformera-au-jugement-rendu-dans-la-cause-truchon-et-gladu-838581952.html" TargetMode="External"/><Relationship Id="rId26" Type="http://schemas.openxmlformats.org/officeDocument/2006/relationships/hyperlink" Target="https://www.curateur.gouv.qc.ca/cura/publications/mem_20210527.pdf" TargetMode="External"/><Relationship Id="rId3" Type="http://schemas.openxmlformats.org/officeDocument/2006/relationships/hyperlink" Target="http://www.santecom.qc.ca/Bibliothequevirtuelle/Quebec/9782896161645.pdf" TargetMode="External"/><Relationship Id="rId21" Type="http://schemas.openxmlformats.org/officeDocument/2006/relationships/hyperlink" Target="https://www.ledevoir.com/societe/528072/les-orphelins-du-systeme-de-sante" TargetMode="External"/><Relationship Id="rId7" Type="http://schemas.openxmlformats.org/officeDocument/2006/relationships/hyperlink" Target="https://publications.msss.gouv.qc.ca/msss/fichiers/2020/20-814-01W.pdf" TargetMode="External"/><Relationship Id="rId12" Type="http://schemas.openxmlformats.org/officeDocument/2006/relationships/hyperlink" Target="http://di.uqo.ca/id/eprint/981/" TargetMode="External"/><Relationship Id="rId17" Type="http://schemas.openxmlformats.org/officeDocument/2006/relationships/hyperlink" Target="https://www.cfp.ca/content/64/4/e199.short" TargetMode="External"/><Relationship Id="rId25" Type="http://schemas.openxmlformats.org/officeDocument/2006/relationships/hyperlink" Target="https://publications.msss.gouv.qc.ca/msss/document-001156/" TargetMode="External"/><Relationship Id="rId33" Type="http://schemas.openxmlformats.org/officeDocument/2006/relationships/hyperlink" Target="https://corpus.ulaval.ca/jspui/bitstream/20.500.11794/34545/1/35237.pdf" TargetMode="External"/><Relationship Id="rId2" Type="http://schemas.openxmlformats.org/officeDocument/2006/relationships/hyperlink" Target="https://www.inspq.qc.ca/pdf/publications/1822_Avenues_Politiques_Reduire_ISS.pdf" TargetMode="External"/><Relationship Id="rId16" Type="http://schemas.openxmlformats.org/officeDocument/2006/relationships/hyperlink" Target="https://ici.radio-canada.ca/recit-numerique/2189/covid-19-appel-aide-sante-mentale" TargetMode="External"/><Relationship Id="rId20" Type="http://schemas.openxmlformats.org/officeDocument/2006/relationships/hyperlink" Target="https://www.lapresse.ca/actualites/sante/2021-05-05/medecins-de-famille/presque-deux-fois-plus-de-quebecois-en-attente-depuis-trois-ans.php" TargetMode="External"/><Relationship Id="rId29" Type="http://schemas.openxmlformats.org/officeDocument/2006/relationships/hyperlink" Target="https://corpus.ulaval.ca/jspui/bitstream/20.500.11794/34545/1/35237.pdf" TargetMode="External"/><Relationship Id="rId1" Type="http://schemas.openxmlformats.org/officeDocument/2006/relationships/hyperlink" Target="https://publications.msss.gouv.qc.ca/msss/document-002437/" TargetMode="External"/><Relationship Id="rId6" Type="http://schemas.openxmlformats.org/officeDocument/2006/relationships/hyperlink" Target="http://oriiq.oiiq.org/volume-09-numero-02/cliniquement-votre" TargetMode="External"/><Relationship Id="rId11" Type="http://schemas.openxmlformats.org/officeDocument/2006/relationships/hyperlink" Target="https://www.ophq.gouv.qc.ca/fileadmin/centre_documentaire/Etudes__analyses_et_rapports/OPHQ_Rapport_AVQ_EPF_WEB.pdf" TargetMode="External"/><Relationship Id="rId24" Type="http://schemas.openxmlformats.org/officeDocument/2006/relationships/hyperlink" Target="http://www.cmq.org/publications-pdf/p-1-2018-09-11-fr-medecin-consentement-aux-soins.pdf?t=1572623387670" TargetMode="External"/><Relationship Id="rId32" Type="http://schemas.openxmlformats.org/officeDocument/2006/relationships/hyperlink" Target="https://publications.msss.gouv.qc.ca/msss/document-001156/" TargetMode="External"/><Relationship Id="rId5" Type="http://schemas.openxmlformats.org/officeDocument/2006/relationships/hyperlink" Target="https://www.ophq.gouv.qc.ca/fileadmin/centre_documentaire/Etudes__analyses_et_rapports/OPHQ_Rapport_AVQ_EPF_WEB.pdf" TargetMode="External"/><Relationship Id="rId15" Type="http://schemas.openxmlformats.org/officeDocument/2006/relationships/hyperlink" Target="https://www.sciencedirect.com/science/article/abs/pii/S0165032717317226" TargetMode="External"/><Relationship Id="rId23" Type="http://schemas.openxmlformats.org/officeDocument/2006/relationships/hyperlink" Target="https://publications.msss.gouv.qc.ca/msss/fichiers/directives-covid/dgppfc-041.pdf" TargetMode="External"/><Relationship Id="rId28" Type="http://schemas.openxmlformats.org/officeDocument/2006/relationships/hyperlink" Target="https://www.curateur.gouv.qc.ca/cura/publications/mem_20210527.pdf" TargetMode="External"/><Relationship Id="rId10" Type="http://schemas.openxmlformats.org/officeDocument/2006/relationships/hyperlink" Target="http://aisq.org/wp-content/uploads/2019/03/4-L%C3%89quit%C3%A9-Oct.-Nov.-D%C3%A9c.-2018.pdf" TargetMode="External"/><Relationship Id="rId19" Type="http://schemas.openxmlformats.org/officeDocument/2006/relationships/hyperlink" Target="https://www.ledevoir.com/societe/sante/532407/medecins-de-famille" TargetMode="External"/><Relationship Id="rId31" Type="http://schemas.openxmlformats.org/officeDocument/2006/relationships/hyperlink" Target="https://publications.msss.gouv.qc.ca/msss/fichiers/directives-covid/dgppfc-041.pdf" TargetMode="External"/><Relationship Id="rId4" Type="http://schemas.openxmlformats.org/officeDocument/2006/relationships/hyperlink" Target="http://www.assnat.qc.ca/Media/Process.aspx?MediaId=ANQ.Vigie.Bll.DocumentGenerique_174475&amp;process=Original&amp;token=ZyMoxNwUn8ikQ+TRKYwPCjWrKwg+vIv9rjij7p3xLGTZDmLVSmJLoqe/vG7/YWzz" TargetMode="External"/><Relationship Id="rId9" Type="http://schemas.openxmlformats.org/officeDocument/2006/relationships/hyperlink" Target="https://www.usherbrooke.ca/readaptation/fileadmin/sites/readaptation/documents/Essai_synthese_REA/ESSAI_REA106_JTHERIAULT.pdf" TargetMode="External"/><Relationship Id="rId14" Type="http://schemas.openxmlformats.org/officeDocument/2006/relationships/hyperlink" Target="https://www.proquest.com/docview/2137843647?pq-origsite=gscholar&amp;fromopenview=true" TargetMode="External"/><Relationship Id="rId22" Type="http://schemas.openxmlformats.org/officeDocument/2006/relationships/hyperlink" Target="https://www.vgq.qc.ca/Fichiers/Publications/rapport-annuel/165/vgq_ch03_sante_web.pdf" TargetMode="External"/><Relationship Id="rId27" Type="http://schemas.openxmlformats.org/officeDocument/2006/relationships/hyperlink" Target="https://www.curateur.gouv.qc.ca/cura/pdf/le_point_vol_09_no_02.pdf" TargetMode="External"/><Relationship Id="rId30" Type="http://schemas.openxmlformats.org/officeDocument/2006/relationships/hyperlink" Target="http://citoyens.soquij.qc.ca/php/decision.php?ID=5A008BAB9E67D0AB8232A9504D1E24A9&amp;captchaToken=03AGdBq25ViqWM8pVbnPTCY3LFCcZDFJweLXnIGo7zbRHlZXUo03j6rEGGMmnn0qQzatA9z7jeZvwV-uWAgHVDMUK_4944BcmNKB9ImfTa0MP-wNqXEuKKHJGjj4-HhuNv7jEmHXeOYWE_BwKmRq6uxJXHyLCs8q978IkGMnvLNW_0gu-hDe6teqjyOWNajLIbJnvj3ZFaGOikF0bgo0gsf_mH_b61PbYY-zuvlWkjetL1L7tf9Hua9LPPiK6egEfE9Y8LM2Vnxd5u0YCUSyWum-6sKTZve6O6EZie6eMbWxYfGpvM5NRzOtb_FjVjkLFuTaBwf4lQ8VcBFIXjqNVEoFll8dJtTpOqNgazJoKV4-qfbY3Shl4MWovWXrP6sp1lyo7EFhJm7iaL7Xdoz3jO-MNaOFi9DnNafQ" TargetMode="External"/><Relationship Id="rId8" Type="http://schemas.openxmlformats.org/officeDocument/2006/relationships/hyperlink" Target="https://cophan.org/wp-content/uploads/2021/05/COPHAN-M%C3%A9moire-plan-daction-maltraitance-des-a%C3%AEn%C3%A9es-2022-2027-mars-2021-V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E7BD-A9EB-472C-98B4-A5DD1393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9455</Words>
  <Characters>52007</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Pascale Marceau</dc:creator>
  <cp:lastModifiedBy>Naomie</cp:lastModifiedBy>
  <cp:revision>8</cp:revision>
  <cp:lastPrinted>2021-08-13T14:25:00Z</cp:lastPrinted>
  <dcterms:created xsi:type="dcterms:W3CDTF">2021-08-13T14:05:00Z</dcterms:created>
  <dcterms:modified xsi:type="dcterms:W3CDTF">2021-08-13T14:26:00Z</dcterms:modified>
</cp:coreProperties>
</file>