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rFonts w:ascii="Times New Roman"/>
          <w:sz w:val="17"/>
        </w:rPr>
      </w:pPr>
    </w:p>
    <w:p>
      <w:pPr>
        <w:tabs>
          <w:tab w:pos="2857" w:val="left" w:leader="none"/>
          <w:tab w:pos="4396" w:val="left" w:leader="none"/>
        </w:tabs>
        <w:spacing w:line="240" w:lineRule="auto"/>
        <w:ind w:left="366" w:right="0" w:firstLine="0"/>
        <w:rPr>
          <w:rFonts w:ascii="Times New Roman"/>
          <w:sz w:val="20"/>
        </w:rPr>
      </w:pPr>
      <w:r>
        <w:rPr>
          <w:rFonts w:ascii="Times New Roman"/>
          <w:sz w:val="20"/>
        </w:rPr>
        <w:drawing>
          <wp:inline distT="0" distB="0" distL="0" distR="0">
            <wp:extent cx="1173368" cy="778192"/>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173368" cy="778192"/>
                    </a:xfrm>
                    <a:prstGeom prst="rect">
                      <a:avLst/>
                    </a:prstGeom>
                  </pic:spPr>
                </pic:pic>
              </a:graphicData>
            </a:graphic>
          </wp:inline>
        </w:drawing>
      </w:r>
      <w:r>
        <w:rPr>
          <w:rFonts w:ascii="Times New Roman"/>
          <w:sz w:val="20"/>
        </w:rPr>
      </w:r>
      <w:r>
        <w:rPr>
          <w:rFonts w:ascii="Times New Roman"/>
          <w:sz w:val="20"/>
        </w:rPr>
        <w:tab/>
      </w:r>
      <w:r>
        <w:rPr>
          <w:rFonts w:ascii="Times New Roman"/>
          <w:position w:val="9"/>
          <w:sz w:val="20"/>
        </w:rPr>
        <w:drawing>
          <wp:inline distT="0" distB="0" distL="0" distR="0">
            <wp:extent cx="683323" cy="599122"/>
            <wp:effectExtent l="0" t="0" r="0" b="0"/>
            <wp:docPr id="3" name="image2.png" descr=""/>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683323" cy="599122"/>
                    </a:xfrm>
                    <a:prstGeom prst="rect">
                      <a:avLst/>
                    </a:prstGeom>
                  </pic:spPr>
                </pic:pic>
              </a:graphicData>
            </a:graphic>
          </wp:inline>
        </w:drawing>
      </w:r>
      <w:r>
        <w:rPr>
          <w:rFonts w:ascii="Times New Roman"/>
          <w:position w:val="9"/>
          <w:sz w:val="20"/>
        </w:rPr>
      </w:r>
      <w:r>
        <w:rPr>
          <w:rFonts w:ascii="Times New Roman"/>
          <w:position w:val="9"/>
          <w:sz w:val="20"/>
        </w:rPr>
        <w:tab/>
      </w:r>
      <w:r>
        <w:rPr>
          <w:rFonts w:ascii="Times New Roman"/>
          <w:sz w:val="20"/>
        </w:rPr>
        <w:drawing>
          <wp:inline distT="0" distB="0" distL="0" distR="0">
            <wp:extent cx="2497316" cy="591788"/>
            <wp:effectExtent l="0" t="0" r="0" b="0"/>
            <wp:docPr id="5" name="image3.jpeg" descr=""/>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2497316" cy="591788"/>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spacing w:before="218"/>
        <w:ind w:left="100"/>
      </w:pPr>
      <w:r>
        <w:rPr/>
        <w:t>Montréal, le 25 août 2020</w:t>
      </w:r>
    </w:p>
    <w:p>
      <w:pPr>
        <w:pStyle w:val="BodyText"/>
        <w:rPr>
          <w:sz w:val="20"/>
        </w:rPr>
      </w:pPr>
    </w:p>
    <w:p>
      <w:pPr>
        <w:pStyle w:val="BodyText"/>
        <w:rPr>
          <w:sz w:val="20"/>
        </w:rPr>
      </w:pPr>
    </w:p>
    <w:p>
      <w:pPr>
        <w:pStyle w:val="BodyText"/>
        <w:rPr>
          <w:sz w:val="25"/>
        </w:rPr>
      </w:pPr>
    </w:p>
    <w:p>
      <w:pPr>
        <w:pStyle w:val="BodyText"/>
        <w:spacing w:line="276" w:lineRule="auto" w:before="92"/>
        <w:ind w:left="100" w:right="4088"/>
      </w:pPr>
      <w:r>
        <w:rPr/>
        <w:t>Madame Josée Lepage, T.S., M.Sc., M.A.P. Directrice générale</w:t>
      </w:r>
    </w:p>
    <w:p>
      <w:pPr>
        <w:pStyle w:val="BodyText"/>
        <w:spacing w:line="271" w:lineRule="auto"/>
        <w:ind w:left="100" w:right="3033"/>
      </w:pPr>
      <w:r>
        <w:rPr/>
        <w:t>Direction générale des services de soutien aux élèves 1035, rue de la Chevrotière, 13</w:t>
      </w:r>
      <w:r>
        <w:rPr>
          <w:position w:val="8"/>
          <w:sz w:val="16"/>
        </w:rPr>
        <w:t>e </w:t>
      </w:r>
      <w:r>
        <w:rPr/>
        <w:t>étage</w:t>
      </w:r>
    </w:p>
    <w:p>
      <w:pPr>
        <w:pStyle w:val="BodyText"/>
        <w:spacing w:before="7"/>
        <w:ind w:left="100"/>
      </w:pPr>
      <w:r>
        <w:rPr/>
        <w:t>Québec (Québec) G1A 5A5</w:t>
      </w:r>
    </w:p>
    <w:p>
      <w:pPr>
        <w:pStyle w:val="BodyText"/>
        <w:rPr>
          <w:sz w:val="26"/>
        </w:rPr>
      </w:pPr>
    </w:p>
    <w:p>
      <w:pPr>
        <w:pStyle w:val="BodyText"/>
        <w:spacing w:before="7"/>
        <w:rPr>
          <w:sz w:val="32"/>
        </w:rPr>
      </w:pPr>
    </w:p>
    <w:p>
      <w:pPr>
        <w:spacing w:line="276" w:lineRule="auto" w:before="1"/>
        <w:ind w:left="100" w:right="1059" w:firstLine="0"/>
        <w:jc w:val="left"/>
        <w:rPr>
          <w:b/>
          <w:sz w:val="24"/>
        </w:rPr>
      </w:pPr>
      <w:r>
        <w:rPr>
          <w:b/>
          <w:sz w:val="24"/>
        </w:rPr>
        <w:t>Objet : Exemptions du port du masque et du couvre-visage pour certains élèves ayant des besoins particuliers et accès au transport scolaire spécialisé ou adapté</w:t>
      </w:r>
    </w:p>
    <w:p>
      <w:pPr>
        <w:pStyle w:val="BodyText"/>
        <w:spacing w:before="3"/>
        <w:rPr>
          <w:b/>
        </w:rPr>
      </w:pPr>
    </w:p>
    <w:p>
      <w:pPr>
        <w:pStyle w:val="BodyText"/>
        <w:ind w:left="100"/>
      </w:pPr>
      <w:r>
        <w:rPr/>
        <w:t>Madame Lepage,</w:t>
      </w:r>
    </w:p>
    <w:p>
      <w:pPr>
        <w:pStyle w:val="BodyText"/>
        <w:rPr>
          <w:sz w:val="28"/>
        </w:rPr>
      </w:pPr>
    </w:p>
    <w:p>
      <w:pPr>
        <w:pStyle w:val="BodyText"/>
        <w:ind w:left="100"/>
      </w:pPr>
      <w:r>
        <w:rPr/>
        <w:t>Nous communiquons avec vous aujourd’hui afin de vous faire part de deux préoccupations concernant la rentrée scolaire en cours.</w:t>
      </w:r>
    </w:p>
    <w:p>
      <w:pPr>
        <w:pStyle w:val="BodyText"/>
      </w:pPr>
    </w:p>
    <w:p>
      <w:pPr>
        <w:pStyle w:val="BodyText"/>
        <w:ind w:left="100" w:right="472"/>
        <w:jc w:val="both"/>
      </w:pPr>
      <w:r>
        <w:rPr/>
        <w:t>D’abord, l’absence par le réseau scolaire d’information et de communication claire quant aux personnes exemptées de porter un couvre-visage provoque certaines</w:t>
      </w:r>
      <w:r>
        <w:rPr>
          <w:spacing w:val="-17"/>
        </w:rPr>
        <w:t> </w:t>
      </w:r>
      <w:r>
        <w:rPr/>
        <w:t>inquiétudes</w:t>
      </w:r>
      <w:r>
        <w:rPr>
          <w:spacing w:val="-15"/>
        </w:rPr>
        <w:t> </w:t>
      </w:r>
      <w:r>
        <w:rPr/>
        <w:t>chez</w:t>
      </w:r>
      <w:r>
        <w:rPr>
          <w:spacing w:val="-17"/>
        </w:rPr>
        <w:t> </w:t>
      </w:r>
      <w:r>
        <w:rPr/>
        <w:t>les</w:t>
      </w:r>
      <w:r>
        <w:rPr>
          <w:spacing w:val="-15"/>
        </w:rPr>
        <w:t> </w:t>
      </w:r>
      <w:r>
        <w:rPr/>
        <w:t>parents</w:t>
      </w:r>
      <w:r>
        <w:rPr>
          <w:spacing w:val="-17"/>
        </w:rPr>
        <w:t> </w:t>
      </w:r>
      <w:r>
        <w:rPr/>
        <w:t>d’enfants</w:t>
      </w:r>
      <w:r>
        <w:rPr>
          <w:spacing w:val="-14"/>
        </w:rPr>
        <w:t> </w:t>
      </w:r>
      <w:r>
        <w:rPr/>
        <w:t>ayant</w:t>
      </w:r>
      <w:r>
        <w:rPr>
          <w:spacing w:val="-17"/>
        </w:rPr>
        <w:t> </w:t>
      </w:r>
      <w:r>
        <w:rPr/>
        <w:t>des</w:t>
      </w:r>
      <w:r>
        <w:rPr>
          <w:spacing w:val="-17"/>
        </w:rPr>
        <w:t> </w:t>
      </w:r>
      <w:r>
        <w:rPr/>
        <w:t>besoins</w:t>
      </w:r>
      <w:r>
        <w:rPr>
          <w:spacing w:val="-17"/>
        </w:rPr>
        <w:t> </w:t>
      </w:r>
      <w:r>
        <w:rPr/>
        <w:t>particuliers. En effet, dans tous les documents que nous avons reçus quant au retour en classe,</w:t>
      </w:r>
      <w:r>
        <w:rPr>
          <w:spacing w:val="-16"/>
        </w:rPr>
        <w:t> </w:t>
      </w:r>
      <w:r>
        <w:rPr/>
        <w:t>il</w:t>
      </w:r>
      <w:r>
        <w:rPr>
          <w:spacing w:val="-17"/>
        </w:rPr>
        <w:t> </w:t>
      </w:r>
      <w:r>
        <w:rPr/>
        <w:t>n’est</w:t>
      </w:r>
      <w:r>
        <w:rPr>
          <w:spacing w:val="-16"/>
        </w:rPr>
        <w:t> </w:t>
      </w:r>
      <w:r>
        <w:rPr/>
        <w:t>jamais</w:t>
      </w:r>
      <w:r>
        <w:rPr>
          <w:spacing w:val="-19"/>
        </w:rPr>
        <w:t> </w:t>
      </w:r>
      <w:r>
        <w:rPr/>
        <w:t>fait</w:t>
      </w:r>
      <w:r>
        <w:rPr>
          <w:spacing w:val="-16"/>
        </w:rPr>
        <w:t> </w:t>
      </w:r>
      <w:r>
        <w:rPr/>
        <w:t>état</w:t>
      </w:r>
      <w:r>
        <w:rPr>
          <w:spacing w:val="-16"/>
        </w:rPr>
        <w:t> </w:t>
      </w:r>
      <w:r>
        <w:rPr/>
        <w:t>que</w:t>
      </w:r>
      <w:r>
        <w:rPr>
          <w:spacing w:val="-16"/>
        </w:rPr>
        <w:t> </w:t>
      </w:r>
      <w:r>
        <w:rPr/>
        <w:t>certains</w:t>
      </w:r>
      <w:r>
        <w:rPr>
          <w:spacing w:val="-18"/>
        </w:rPr>
        <w:t> </w:t>
      </w:r>
      <w:r>
        <w:rPr/>
        <w:t>élèves</w:t>
      </w:r>
      <w:r>
        <w:rPr>
          <w:spacing w:val="-13"/>
        </w:rPr>
        <w:t> </w:t>
      </w:r>
      <w:r>
        <w:rPr/>
        <w:t>ayant</w:t>
      </w:r>
      <w:r>
        <w:rPr>
          <w:spacing w:val="-16"/>
        </w:rPr>
        <w:t> </w:t>
      </w:r>
      <w:r>
        <w:rPr/>
        <w:t>des</w:t>
      </w:r>
      <w:r>
        <w:rPr>
          <w:spacing w:val="-16"/>
        </w:rPr>
        <w:t> </w:t>
      </w:r>
      <w:r>
        <w:rPr/>
        <w:t>besoins</w:t>
      </w:r>
      <w:r>
        <w:rPr>
          <w:spacing w:val="-19"/>
        </w:rPr>
        <w:t> </w:t>
      </w:r>
      <w:r>
        <w:rPr/>
        <w:t>particuliers doivent être exemptés de porter le masque ou le couvre-visage dans les aires communes</w:t>
      </w:r>
      <w:r>
        <w:rPr>
          <w:spacing w:val="-10"/>
        </w:rPr>
        <w:t> </w:t>
      </w:r>
      <w:r>
        <w:rPr/>
        <w:t>des</w:t>
      </w:r>
      <w:r>
        <w:rPr>
          <w:spacing w:val="-10"/>
        </w:rPr>
        <w:t> </w:t>
      </w:r>
      <w:r>
        <w:rPr/>
        <w:t>écoles.</w:t>
      </w:r>
      <w:r>
        <w:rPr>
          <w:spacing w:val="-9"/>
        </w:rPr>
        <w:t> </w:t>
      </w:r>
      <w:r>
        <w:rPr/>
        <w:t>Les</w:t>
      </w:r>
      <w:r>
        <w:rPr>
          <w:spacing w:val="-10"/>
        </w:rPr>
        <w:t> </w:t>
      </w:r>
      <w:r>
        <w:rPr/>
        <w:t>consignes</w:t>
      </w:r>
      <w:r>
        <w:rPr>
          <w:spacing w:val="-10"/>
        </w:rPr>
        <w:t> </w:t>
      </w:r>
      <w:r>
        <w:rPr/>
        <w:t>de</w:t>
      </w:r>
      <w:r>
        <w:rPr>
          <w:spacing w:val="-9"/>
        </w:rPr>
        <w:t> </w:t>
      </w:r>
      <w:r>
        <w:rPr/>
        <w:t>la</w:t>
      </w:r>
      <w:r>
        <w:rPr>
          <w:spacing w:val="-10"/>
        </w:rPr>
        <w:t> </w:t>
      </w:r>
      <w:r>
        <w:rPr/>
        <w:t>santé</w:t>
      </w:r>
      <w:r>
        <w:rPr>
          <w:spacing w:val="-11"/>
        </w:rPr>
        <w:t> </w:t>
      </w:r>
      <w:r>
        <w:rPr/>
        <w:t>publique</w:t>
      </w:r>
      <w:r>
        <w:rPr>
          <w:spacing w:val="-9"/>
        </w:rPr>
        <w:t> </w:t>
      </w:r>
      <w:r>
        <w:rPr/>
        <w:t>dans</w:t>
      </w:r>
      <w:r>
        <w:rPr>
          <w:spacing w:val="-10"/>
        </w:rPr>
        <w:t> </w:t>
      </w:r>
      <w:r>
        <w:rPr/>
        <w:t>le</w:t>
      </w:r>
      <w:r>
        <w:rPr>
          <w:spacing w:val="-8"/>
        </w:rPr>
        <w:t> </w:t>
      </w:r>
      <w:hyperlink r:id="rId8">
        <w:r>
          <w:rPr>
            <w:color w:val="0066FF"/>
            <w:u w:val="single" w:color="0066FF"/>
          </w:rPr>
          <w:t>décret</w:t>
        </w:r>
        <w:r>
          <w:rPr>
            <w:color w:val="0066FF"/>
            <w:spacing w:val="-9"/>
            <w:u w:val="single" w:color="0066FF"/>
          </w:rPr>
          <w:t> </w:t>
        </w:r>
        <w:r>
          <w:rPr>
            <w:color w:val="0066FF"/>
            <w:u w:val="single" w:color="0066FF"/>
          </w:rPr>
          <w:t>810-</w:t>
        </w:r>
      </w:hyperlink>
      <w:r>
        <w:rPr>
          <w:color w:val="0066FF"/>
        </w:rPr>
        <w:t> </w:t>
      </w:r>
      <w:hyperlink r:id="rId8">
        <w:r>
          <w:rPr>
            <w:color w:val="0066FF"/>
            <w:u w:val="single" w:color="0066FF"/>
          </w:rPr>
          <w:t>2020</w:t>
        </w:r>
        <w:r>
          <w:rPr>
            <w:color w:val="0066FF"/>
          </w:rPr>
          <w:t> </w:t>
        </w:r>
      </w:hyperlink>
      <w:r>
        <w:rPr/>
        <w:t>concernant l’obligation de porter le masque ou le couvre-visage dans les lieux publics fermés ou partiellement couverts indiquent des exemptions quant au port du masque ou du couvre-visage pour des personnes ayant des conditions médicales les en empêchant. Même si lors de l’adoption de ce décret les établissements d’enseignement préscolaires, primaires et secondaires n’étaient pas visés, les décisions gouvernementales subséquentes, ont obligés le gouvernement à introduire ces établissements dans la liste des lieux assujettis à cette réglementation. D’ailleurs les plus récentes </w:t>
      </w:r>
      <w:hyperlink r:id="rId9">
        <w:r>
          <w:rPr>
            <w:color w:val="0066FF"/>
            <w:u w:val="single" w:color="0066FF"/>
          </w:rPr>
          <w:t>communications gouvernementales énumèrent ces exemptions et</w:t>
        </w:r>
      </w:hyperlink>
      <w:r>
        <w:rPr>
          <w:color w:val="0066FF"/>
        </w:rPr>
        <w:t> </w:t>
      </w:r>
      <w:hyperlink r:id="rId9">
        <w:r>
          <w:rPr>
            <w:color w:val="0066FF"/>
            <w:u w:val="single" w:color="0066FF"/>
          </w:rPr>
          <w:t>identifient</w:t>
        </w:r>
        <w:r>
          <w:rPr>
            <w:color w:val="0066FF"/>
            <w:spacing w:val="-10"/>
            <w:u w:val="single" w:color="0066FF"/>
          </w:rPr>
          <w:t> </w:t>
        </w:r>
        <w:r>
          <w:rPr>
            <w:color w:val="0066FF"/>
            <w:u w:val="single" w:color="0066FF"/>
          </w:rPr>
          <w:t>les</w:t>
        </w:r>
        <w:r>
          <w:rPr>
            <w:color w:val="0066FF"/>
            <w:spacing w:val="-9"/>
            <w:u w:val="single" w:color="0066FF"/>
          </w:rPr>
          <w:t> </w:t>
        </w:r>
        <w:r>
          <w:rPr>
            <w:color w:val="0066FF"/>
            <w:u w:val="single" w:color="0066FF"/>
          </w:rPr>
          <w:t>endroits</w:t>
        </w:r>
        <w:r>
          <w:rPr>
            <w:color w:val="0066FF"/>
            <w:spacing w:val="-10"/>
            <w:u w:val="single" w:color="0066FF"/>
          </w:rPr>
          <w:t> </w:t>
        </w:r>
        <w:r>
          <w:rPr>
            <w:color w:val="0066FF"/>
            <w:u w:val="single" w:color="0066FF"/>
          </w:rPr>
          <w:t>où</w:t>
        </w:r>
        <w:r>
          <w:rPr>
            <w:color w:val="0066FF"/>
            <w:spacing w:val="-7"/>
            <w:u w:val="single" w:color="0066FF"/>
          </w:rPr>
          <w:t> </w:t>
        </w:r>
        <w:r>
          <w:rPr>
            <w:color w:val="0066FF"/>
            <w:u w:val="single" w:color="0066FF"/>
          </w:rPr>
          <w:t>celles-ci</w:t>
        </w:r>
        <w:r>
          <w:rPr>
            <w:color w:val="0066FF"/>
            <w:spacing w:val="-8"/>
            <w:u w:val="single" w:color="0066FF"/>
          </w:rPr>
          <w:t> </w:t>
        </w:r>
        <w:r>
          <w:rPr>
            <w:color w:val="0066FF"/>
            <w:u w:val="single" w:color="0066FF"/>
          </w:rPr>
          <w:t>s’appliquent</w:t>
        </w:r>
      </w:hyperlink>
      <w:r>
        <w:rPr/>
        <w:t>.</w:t>
      </w:r>
      <w:r>
        <w:rPr>
          <w:spacing w:val="-10"/>
        </w:rPr>
        <w:t> </w:t>
      </w:r>
      <w:r>
        <w:rPr/>
        <w:t>On</w:t>
      </w:r>
      <w:r>
        <w:rPr>
          <w:spacing w:val="-9"/>
        </w:rPr>
        <w:t> </w:t>
      </w:r>
      <w:r>
        <w:rPr/>
        <w:t>y</w:t>
      </w:r>
      <w:r>
        <w:rPr>
          <w:spacing w:val="-10"/>
        </w:rPr>
        <w:t> </w:t>
      </w:r>
      <w:r>
        <w:rPr/>
        <w:t>retrouve</w:t>
      </w:r>
      <w:r>
        <w:rPr>
          <w:spacing w:val="-7"/>
        </w:rPr>
        <w:t> </w:t>
      </w:r>
      <w:r>
        <w:rPr/>
        <w:t>explicitement</w:t>
      </w:r>
      <w:r>
        <w:rPr>
          <w:spacing w:val="-10"/>
        </w:rPr>
        <w:t> </w:t>
      </w:r>
      <w:r>
        <w:rPr/>
        <w:t>les établissements d’enseignement accueillant des élèves à partir de la </w:t>
      </w:r>
      <w:r>
        <w:rPr>
          <w:spacing w:val="2"/>
        </w:rPr>
        <w:t>5</w:t>
      </w:r>
      <w:r>
        <w:rPr>
          <w:spacing w:val="2"/>
          <w:position w:val="8"/>
          <w:sz w:val="16"/>
        </w:rPr>
        <w:t>e </w:t>
      </w:r>
      <w:r>
        <w:rPr/>
        <w:t>année. Nous croyons donc important que le Ministère de l’éducation et de l’enseignement</w:t>
      </w:r>
      <w:r>
        <w:rPr>
          <w:spacing w:val="30"/>
        </w:rPr>
        <w:t> </w:t>
      </w:r>
      <w:r>
        <w:rPr/>
        <w:t>supérieur</w:t>
      </w:r>
      <w:r>
        <w:rPr>
          <w:spacing w:val="30"/>
        </w:rPr>
        <w:t> </w:t>
      </w:r>
      <w:r>
        <w:rPr/>
        <w:t>réitère</w:t>
      </w:r>
      <w:r>
        <w:rPr>
          <w:spacing w:val="33"/>
        </w:rPr>
        <w:t> </w:t>
      </w:r>
      <w:r>
        <w:rPr/>
        <w:t>ces</w:t>
      </w:r>
      <w:r>
        <w:rPr>
          <w:spacing w:val="30"/>
        </w:rPr>
        <w:t> </w:t>
      </w:r>
      <w:r>
        <w:rPr/>
        <w:t>exemptions</w:t>
      </w:r>
      <w:r>
        <w:rPr>
          <w:spacing w:val="30"/>
        </w:rPr>
        <w:t> </w:t>
      </w:r>
      <w:r>
        <w:rPr/>
        <w:t>dans</w:t>
      </w:r>
      <w:r>
        <w:rPr>
          <w:spacing w:val="30"/>
        </w:rPr>
        <w:t> </w:t>
      </w:r>
      <w:r>
        <w:rPr/>
        <w:t>ses</w:t>
      </w:r>
      <w:r>
        <w:rPr>
          <w:spacing w:val="32"/>
        </w:rPr>
        <w:t> </w:t>
      </w:r>
      <w:r>
        <w:rPr/>
        <w:t>communications.</w:t>
      </w:r>
    </w:p>
    <w:p>
      <w:pPr>
        <w:spacing w:after="0"/>
        <w:jc w:val="both"/>
        <w:sectPr>
          <w:type w:val="continuous"/>
          <w:pgSz w:w="11910" w:h="16840"/>
          <w:pgMar w:top="1580" w:bottom="280" w:left="1340" w:right="1680"/>
        </w:sectPr>
      </w:pPr>
    </w:p>
    <w:p>
      <w:pPr>
        <w:pStyle w:val="BodyText"/>
        <w:spacing w:before="2"/>
        <w:rPr>
          <w:sz w:val="9"/>
        </w:rPr>
      </w:pPr>
    </w:p>
    <w:p>
      <w:pPr>
        <w:pStyle w:val="BodyText"/>
        <w:spacing w:before="92"/>
        <w:ind w:left="100" w:right="475"/>
        <w:jc w:val="both"/>
      </w:pPr>
      <w:r>
        <w:rPr/>
        <w:t>Plusieurs</w:t>
      </w:r>
      <w:r>
        <w:rPr>
          <w:spacing w:val="-8"/>
        </w:rPr>
        <w:t> </w:t>
      </w:r>
      <w:r>
        <w:rPr/>
        <w:t>parents</w:t>
      </w:r>
      <w:r>
        <w:rPr>
          <w:spacing w:val="-9"/>
        </w:rPr>
        <w:t> </w:t>
      </w:r>
      <w:r>
        <w:rPr/>
        <w:t>d’enfants</w:t>
      </w:r>
      <w:r>
        <w:rPr>
          <w:spacing w:val="-13"/>
        </w:rPr>
        <w:t> </w:t>
      </w:r>
      <w:r>
        <w:rPr/>
        <w:t>ayant</w:t>
      </w:r>
      <w:r>
        <w:rPr>
          <w:spacing w:val="-6"/>
        </w:rPr>
        <w:t> </w:t>
      </w:r>
      <w:r>
        <w:rPr/>
        <w:t>des</w:t>
      </w:r>
      <w:r>
        <w:rPr>
          <w:spacing w:val="-7"/>
        </w:rPr>
        <w:t> </w:t>
      </w:r>
      <w:r>
        <w:rPr/>
        <w:t>besoins</w:t>
      </w:r>
      <w:r>
        <w:rPr>
          <w:spacing w:val="-9"/>
        </w:rPr>
        <w:t> </w:t>
      </w:r>
      <w:r>
        <w:rPr/>
        <w:t>particuliers</w:t>
      </w:r>
      <w:r>
        <w:rPr>
          <w:spacing w:val="-8"/>
        </w:rPr>
        <w:t> </w:t>
      </w:r>
      <w:r>
        <w:rPr/>
        <w:t>sont</w:t>
      </w:r>
      <w:r>
        <w:rPr>
          <w:spacing w:val="-9"/>
        </w:rPr>
        <w:t> </w:t>
      </w:r>
      <w:r>
        <w:rPr/>
        <w:t>très</w:t>
      </w:r>
      <w:r>
        <w:rPr>
          <w:spacing w:val="-7"/>
        </w:rPr>
        <w:t> </w:t>
      </w:r>
      <w:r>
        <w:rPr/>
        <w:t>inquiets</w:t>
      </w:r>
      <w:r>
        <w:rPr>
          <w:spacing w:val="-4"/>
        </w:rPr>
        <w:t> </w:t>
      </w:r>
      <w:r>
        <w:rPr/>
        <w:t>de voir imposer le port du masque ou du couvre-visage à leurs enfants. Les conséquences sur leur fréquentation scolaire pourraient être très importantes. Certains élèves pourraient se voir refuser l’accès à l’école ou, encore, se faire expulser, car le port du masque ou du couvre-visage peut engendrer des désorganisations</w:t>
      </w:r>
      <w:r>
        <w:rPr>
          <w:spacing w:val="-7"/>
        </w:rPr>
        <w:t> </w:t>
      </w:r>
      <w:r>
        <w:rPr/>
        <w:t>de</w:t>
      </w:r>
      <w:r>
        <w:rPr>
          <w:spacing w:val="-8"/>
        </w:rPr>
        <w:t> </w:t>
      </w:r>
      <w:r>
        <w:rPr/>
        <w:t>leur</w:t>
      </w:r>
      <w:r>
        <w:rPr>
          <w:spacing w:val="-7"/>
        </w:rPr>
        <w:t> </w:t>
      </w:r>
      <w:r>
        <w:rPr/>
        <w:t>part</w:t>
      </w:r>
      <w:r>
        <w:rPr>
          <w:spacing w:val="-9"/>
        </w:rPr>
        <w:t> </w:t>
      </w:r>
      <w:r>
        <w:rPr/>
        <w:t>et/ou</w:t>
      </w:r>
      <w:r>
        <w:rPr>
          <w:spacing w:val="-8"/>
        </w:rPr>
        <w:t> </w:t>
      </w:r>
      <w:r>
        <w:rPr/>
        <w:t>provoquer</w:t>
      </w:r>
      <w:r>
        <w:rPr>
          <w:spacing w:val="-10"/>
        </w:rPr>
        <w:t> </w:t>
      </w:r>
      <w:r>
        <w:rPr/>
        <w:t>de</w:t>
      </w:r>
      <w:r>
        <w:rPr>
          <w:spacing w:val="-8"/>
        </w:rPr>
        <w:t> </w:t>
      </w:r>
      <w:r>
        <w:rPr/>
        <w:t>la</w:t>
      </w:r>
      <w:r>
        <w:rPr>
          <w:spacing w:val="-9"/>
        </w:rPr>
        <w:t> </w:t>
      </w:r>
      <w:r>
        <w:rPr/>
        <w:t>part</w:t>
      </w:r>
      <w:r>
        <w:rPr>
          <w:spacing w:val="-9"/>
        </w:rPr>
        <w:t> </w:t>
      </w:r>
      <w:r>
        <w:rPr/>
        <w:t>de</w:t>
      </w:r>
      <w:r>
        <w:rPr>
          <w:spacing w:val="-6"/>
        </w:rPr>
        <w:t> </w:t>
      </w:r>
      <w:r>
        <w:rPr/>
        <w:t>tiers</w:t>
      </w:r>
      <w:r>
        <w:rPr>
          <w:spacing w:val="-10"/>
        </w:rPr>
        <w:t> </w:t>
      </w:r>
      <w:r>
        <w:rPr/>
        <w:t>des</w:t>
      </w:r>
      <w:r>
        <w:rPr>
          <w:spacing w:val="-12"/>
        </w:rPr>
        <w:t> </w:t>
      </w:r>
      <w:r>
        <w:rPr/>
        <w:t>actions</w:t>
      </w:r>
      <w:r>
        <w:rPr>
          <w:spacing w:val="-9"/>
        </w:rPr>
        <w:t> </w:t>
      </w:r>
      <w:r>
        <w:rPr/>
        <w:t>ou réactions inappropriées et injustifiées à leur égard. Nous espérons que les prochaines communications des centres de services scolaires et des écoles clarifieront la situation à ce</w:t>
      </w:r>
      <w:r>
        <w:rPr>
          <w:spacing w:val="-2"/>
        </w:rPr>
        <w:t> </w:t>
      </w:r>
      <w:r>
        <w:rPr/>
        <w:t>sujet.</w:t>
      </w:r>
    </w:p>
    <w:p>
      <w:pPr>
        <w:pStyle w:val="BodyText"/>
      </w:pPr>
    </w:p>
    <w:p>
      <w:pPr>
        <w:pStyle w:val="BodyText"/>
        <w:ind w:left="100" w:right="475"/>
        <w:jc w:val="both"/>
      </w:pPr>
      <w:r>
        <w:rPr/>
        <w:t>Nous désirons aussi porter à votre attention, notre préoccupation quant à l’accès</w:t>
      </w:r>
      <w:r>
        <w:rPr>
          <w:spacing w:val="-12"/>
        </w:rPr>
        <w:t> </w:t>
      </w:r>
      <w:r>
        <w:rPr/>
        <w:t>au</w:t>
      </w:r>
      <w:r>
        <w:rPr>
          <w:spacing w:val="-11"/>
        </w:rPr>
        <w:t> </w:t>
      </w:r>
      <w:r>
        <w:rPr/>
        <w:t>transport</w:t>
      </w:r>
      <w:r>
        <w:rPr>
          <w:spacing w:val="-12"/>
        </w:rPr>
        <w:t> </w:t>
      </w:r>
      <w:r>
        <w:rPr/>
        <w:t>scolaire</w:t>
      </w:r>
      <w:r>
        <w:rPr>
          <w:spacing w:val="-11"/>
        </w:rPr>
        <w:t> </w:t>
      </w:r>
      <w:r>
        <w:rPr/>
        <w:t>spécialisé</w:t>
      </w:r>
      <w:r>
        <w:rPr>
          <w:spacing w:val="-11"/>
        </w:rPr>
        <w:t> </w:t>
      </w:r>
      <w:r>
        <w:rPr/>
        <w:t>ou</w:t>
      </w:r>
      <w:r>
        <w:rPr>
          <w:spacing w:val="-11"/>
        </w:rPr>
        <w:t> </w:t>
      </w:r>
      <w:r>
        <w:rPr/>
        <w:t>adapté.</w:t>
      </w:r>
      <w:r>
        <w:rPr>
          <w:spacing w:val="43"/>
        </w:rPr>
        <w:t> </w:t>
      </w:r>
      <w:r>
        <w:rPr/>
        <w:t>Avant</w:t>
      </w:r>
      <w:r>
        <w:rPr>
          <w:spacing w:val="-11"/>
        </w:rPr>
        <w:t> </w:t>
      </w:r>
      <w:r>
        <w:rPr/>
        <w:t>la</w:t>
      </w:r>
      <w:r>
        <w:rPr>
          <w:spacing w:val="-11"/>
        </w:rPr>
        <w:t> </w:t>
      </w:r>
      <w:r>
        <w:rPr/>
        <w:t>pandémie,</w:t>
      </w:r>
      <w:r>
        <w:rPr>
          <w:spacing w:val="-11"/>
        </w:rPr>
        <w:t> </w:t>
      </w:r>
      <w:r>
        <w:rPr/>
        <w:t>accéder au transport scolaire spécialisé ou adapté était déjà complexe. Les nouvelles consignes</w:t>
      </w:r>
      <w:r>
        <w:rPr>
          <w:spacing w:val="-9"/>
        </w:rPr>
        <w:t> </w:t>
      </w:r>
      <w:r>
        <w:rPr/>
        <w:t>à</w:t>
      </w:r>
      <w:r>
        <w:rPr>
          <w:spacing w:val="-10"/>
        </w:rPr>
        <w:t> </w:t>
      </w:r>
      <w:r>
        <w:rPr/>
        <w:t>appliquer</w:t>
      </w:r>
      <w:r>
        <w:rPr>
          <w:spacing w:val="-9"/>
        </w:rPr>
        <w:t> </w:t>
      </w:r>
      <w:r>
        <w:rPr/>
        <w:t>risque</w:t>
      </w:r>
      <w:r>
        <w:rPr>
          <w:spacing w:val="-8"/>
        </w:rPr>
        <w:t> </w:t>
      </w:r>
      <w:r>
        <w:rPr/>
        <w:t>d’affecter,</w:t>
      </w:r>
      <w:r>
        <w:rPr>
          <w:spacing w:val="-9"/>
        </w:rPr>
        <w:t> </w:t>
      </w:r>
      <w:r>
        <w:rPr/>
        <w:t>voire</w:t>
      </w:r>
      <w:r>
        <w:rPr>
          <w:spacing w:val="-10"/>
        </w:rPr>
        <w:t> </w:t>
      </w:r>
      <w:r>
        <w:rPr/>
        <w:t>pénaliser,</w:t>
      </w:r>
      <w:r>
        <w:rPr>
          <w:spacing w:val="-6"/>
        </w:rPr>
        <w:t> </w:t>
      </w:r>
      <w:r>
        <w:rPr/>
        <w:t>plusieurs</w:t>
      </w:r>
      <w:r>
        <w:rPr>
          <w:spacing w:val="-9"/>
        </w:rPr>
        <w:t> </w:t>
      </w:r>
      <w:r>
        <w:rPr/>
        <w:t>élèves</w:t>
      </w:r>
      <w:r>
        <w:rPr>
          <w:spacing w:val="-9"/>
        </w:rPr>
        <w:t> </w:t>
      </w:r>
      <w:r>
        <w:rPr/>
        <w:t>vivant avec des conditions particulières pour leur accès au transport scolaire spécialisé ou adapté. Nous aimerions connaître les solutions envisagées par le Ministère pour compenser les restrictions anticipées. Il ne faudrait pas que ce fardeau supplémentaire retombe sur la responsabilité des parents qui ont déjà</w:t>
      </w:r>
      <w:r>
        <w:rPr>
          <w:spacing w:val="-9"/>
        </w:rPr>
        <w:t> </w:t>
      </w:r>
      <w:r>
        <w:rPr/>
        <w:t>plusieurs</w:t>
      </w:r>
      <w:r>
        <w:rPr>
          <w:spacing w:val="-12"/>
        </w:rPr>
        <w:t> </w:t>
      </w:r>
      <w:r>
        <w:rPr/>
        <w:t>facteurs</w:t>
      </w:r>
      <w:r>
        <w:rPr>
          <w:spacing w:val="-12"/>
        </w:rPr>
        <w:t> </w:t>
      </w:r>
      <w:r>
        <w:rPr/>
        <w:t>de</w:t>
      </w:r>
      <w:r>
        <w:rPr>
          <w:spacing w:val="-8"/>
        </w:rPr>
        <w:t> </w:t>
      </w:r>
      <w:r>
        <w:rPr/>
        <w:t>stress</w:t>
      </w:r>
      <w:r>
        <w:rPr>
          <w:spacing w:val="-9"/>
        </w:rPr>
        <w:t> </w:t>
      </w:r>
      <w:r>
        <w:rPr/>
        <w:t>à</w:t>
      </w:r>
      <w:r>
        <w:rPr>
          <w:spacing w:val="-8"/>
        </w:rPr>
        <w:t> </w:t>
      </w:r>
      <w:r>
        <w:rPr/>
        <w:t>gérer</w:t>
      </w:r>
      <w:r>
        <w:rPr>
          <w:spacing w:val="-6"/>
        </w:rPr>
        <w:t> </w:t>
      </w:r>
      <w:r>
        <w:rPr/>
        <w:t>en</w:t>
      </w:r>
      <w:r>
        <w:rPr>
          <w:spacing w:val="-8"/>
        </w:rPr>
        <w:t> </w:t>
      </w:r>
      <w:r>
        <w:rPr/>
        <w:t>lien</w:t>
      </w:r>
      <w:r>
        <w:rPr>
          <w:spacing w:val="-8"/>
        </w:rPr>
        <w:t> </w:t>
      </w:r>
      <w:r>
        <w:rPr/>
        <w:t>avec</w:t>
      </w:r>
      <w:r>
        <w:rPr>
          <w:spacing w:val="-9"/>
        </w:rPr>
        <w:t> </w:t>
      </w:r>
      <w:r>
        <w:rPr/>
        <w:t>cette</w:t>
      </w:r>
      <w:r>
        <w:rPr>
          <w:spacing w:val="-8"/>
        </w:rPr>
        <w:t> </w:t>
      </w:r>
      <w:r>
        <w:rPr/>
        <w:t>rentrée</w:t>
      </w:r>
      <w:r>
        <w:rPr>
          <w:spacing w:val="-8"/>
        </w:rPr>
        <w:t> </w:t>
      </w:r>
      <w:r>
        <w:rPr/>
        <w:t>scolaire</w:t>
      </w:r>
      <w:r>
        <w:rPr>
          <w:spacing w:val="-8"/>
        </w:rPr>
        <w:t> </w:t>
      </w:r>
      <w:r>
        <w:rPr/>
        <w:t>très particulière.</w:t>
      </w:r>
    </w:p>
    <w:p>
      <w:pPr>
        <w:pStyle w:val="BodyText"/>
        <w:spacing w:before="1"/>
      </w:pPr>
    </w:p>
    <w:p>
      <w:pPr>
        <w:pStyle w:val="BodyText"/>
        <w:spacing w:line="480" w:lineRule="auto" w:after="4"/>
        <w:ind w:left="100" w:right="1725"/>
      </w:pPr>
      <w:r>
        <w:rPr/>
        <w:t>Merci à l’avance pour un retour rapide à nos deux préoccupations. Veuillez recevoir, madame Lepage, nos salutations distinguées.</w:t>
      </w:r>
    </w:p>
    <w:p>
      <w:pPr>
        <w:pStyle w:val="BodyText"/>
        <w:ind w:left="100"/>
        <w:rPr>
          <w:sz w:val="20"/>
        </w:rPr>
      </w:pPr>
      <w:r>
        <w:rPr>
          <w:sz w:val="20"/>
        </w:rPr>
        <w:drawing>
          <wp:inline distT="0" distB="0" distL="0" distR="0">
            <wp:extent cx="1370412" cy="376809"/>
            <wp:effectExtent l="0" t="0" r="0" b="0"/>
            <wp:docPr id="7" name="image4.jpeg" descr=""/>
            <wp:cNvGraphicFramePr>
              <a:graphicFrameLocks noChangeAspect="1"/>
            </wp:cNvGraphicFramePr>
            <a:graphic>
              <a:graphicData uri="http://schemas.openxmlformats.org/drawingml/2006/picture">
                <pic:pic>
                  <pic:nvPicPr>
                    <pic:cNvPr id="8" name="image4.jpeg"/>
                    <pic:cNvPicPr/>
                  </pic:nvPicPr>
                  <pic:blipFill>
                    <a:blip r:embed="rId10" cstate="print"/>
                    <a:stretch>
                      <a:fillRect/>
                    </a:stretch>
                  </pic:blipFill>
                  <pic:spPr>
                    <a:xfrm>
                      <a:off x="0" y="0"/>
                      <a:ext cx="1370412" cy="376809"/>
                    </a:xfrm>
                    <a:prstGeom prst="rect">
                      <a:avLst/>
                    </a:prstGeom>
                  </pic:spPr>
                </pic:pic>
              </a:graphicData>
            </a:graphic>
          </wp:inline>
        </w:drawing>
      </w:r>
      <w:r>
        <w:rPr>
          <w:sz w:val="20"/>
        </w:rPr>
      </w:r>
    </w:p>
    <w:p>
      <w:pPr>
        <w:pStyle w:val="BodyText"/>
        <w:spacing w:before="3"/>
        <w:ind w:left="100"/>
      </w:pPr>
      <w:r>
        <w:rPr/>
        <w:t>Lili Plourde, Fédération québécoise de l’autisme</w:t>
      </w:r>
    </w:p>
    <w:p>
      <w:pPr>
        <w:pStyle w:val="BodyText"/>
        <w:spacing w:before="10"/>
        <w:rPr>
          <w:sz w:val="20"/>
        </w:rPr>
      </w:pPr>
      <w:r>
        <w:rPr/>
        <w:drawing>
          <wp:anchor distT="0" distB="0" distL="0" distR="0" allowOverlap="1" layoutInCell="1" locked="0" behindDoc="0" simplePos="0" relativeHeight="0">
            <wp:simplePos x="0" y="0"/>
            <wp:positionH relativeFrom="page">
              <wp:posOffset>958817</wp:posOffset>
            </wp:positionH>
            <wp:positionV relativeFrom="paragraph">
              <wp:posOffset>177179</wp:posOffset>
            </wp:positionV>
            <wp:extent cx="1764570" cy="352044"/>
            <wp:effectExtent l="0" t="0" r="0" b="0"/>
            <wp:wrapTopAndBottom/>
            <wp:docPr id="9" name="image5.jpeg" descr=""/>
            <wp:cNvGraphicFramePr>
              <a:graphicFrameLocks noChangeAspect="1"/>
            </wp:cNvGraphicFramePr>
            <a:graphic>
              <a:graphicData uri="http://schemas.openxmlformats.org/drawingml/2006/picture">
                <pic:pic>
                  <pic:nvPicPr>
                    <pic:cNvPr id="10" name="image5.jpeg"/>
                    <pic:cNvPicPr/>
                  </pic:nvPicPr>
                  <pic:blipFill>
                    <a:blip r:embed="rId11" cstate="print"/>
                    <a:stretch>
                      <a:fillRect/>
                    </a:stretch>
                  </pic:blipFill>
                  <pic:spPr>
                    <a:xfrm>
                      <a:off x="0" y="0"/>
                      <a:ext cx="1764570" cy="352044"/>
                    </a:xfrm>
                    <a:prstGeom prst="rect">
                      <a:avLst/>
                    </a:prstGeom>
                  </pic:spPr>
                </pic:pic>
              </a:graphicData>
            </a:graphic>
          </wp:anchor>
        </w:drawing>
      </w:r>
    </w:p>
    <w:p>
      <w:pPr>
        <w:pStyle w:val="BodyText"/>
        <w:ind w:left="100" w:right="484"/>
        <w:jc w:val="both"/>
      </w:pPr>
      <w:r>
        <w:rPr/>
        <w:t>Paul Lupien, Confédération des organismes de personnes handicapées du Québec (COPHAN)</w:t>
      </w:r>
    </w:p>
    <w:p>
      <w:pPr>
        <w:pStyle w:val="BodyText"/>
        <w:spacing w:before="9"/>
        <w:rPr>
          <w:sz w:val="20"/>
        </w:rPr>
      </w:pPr>
      <w:r>
        <w:rPr/>
        <w:drawing>
          <wp:anchor distT="0" distB="0" distL="0" distR="0" allowOverlap="1" layoutInCell="1" locked="0" behindDoc="0" simplePos="0" relativeHeight="1048">
            <wp:simplePos x="0" y="0"/>
            <wp:positionH relativeFrom="page">
              <wp:posOffset>914400</wp:posOffset>
            </wp:positionH>
            <wp:positionV relativeFrom="paragraph">
              <wp:posOffset>177142</wp:posOffset>
            </wp:positionV>
            <wp:extent cx="1461937" cy="474059"/>
            <wp:effectExtent l="0" t="0" r="0" b="0"/>
            <wp:wrapTopAndBottom/>
            <wp:docPr id="11" name="image6.png" descr=""/>
            <wp:cNvGraphicFramePr>
              <a:graphicFrameLocks noChangeAspect="1"/>
            </wp:cNvGraphicFramePr>
            <a:graphic>
              <a:graphicData uri="http://schemas.openxmlformats.org/drawingml/2006/picture">
                <pic:pic>
                  <pic:nvPicPr>
                    <pic:cNvPr id="12" name="image6.png"/>
                    <pic:cNvPicPr/>
                  </pic:nvPicPr>
                  <pic:blipFill>
                    <a:blip r:embed="rId12" cstate="print"/>
                    <a:stretch>
                      <a:fillRect/>
                    </a:stretch>
                  </pic:blipFill>
                  <pic:spPr>
                    <a:xfrm>
                      <a:off x="0" y="0"/>
                      <a:ext cx="1461937" cy="474059"/>
                    </a:xfrm>
                    <a:prstGeom prst="rect">
                      <a:avLst/>
                    </a:prstGeom>
                  </pic:spPr>
                </pic:pic>
              </a:graphicData>
            </a:graphic>
          </wp:anchor>
        </w:drawing>
      </w:r>
    </w:p>
    <w:p>
      <w:pPr>
        <w:pStyle w:val="BodyText"/>
        <w:ind w:left="100"/>
        <w:jc w:val="both"/>
      </w:pPr>
      <w:r>
        <w:rPr/>
        <w:t>Lise Beaulieu, Société québécoise de la déficience intellectuelle</w:t>
      </w:r>
    </w:p>
    <w:sectPr>
      <w:pgSz w:w="11910" w:h="16840"/>
      <w:pgMar w:top="1580" w:bottom="280" w:left="134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fr-ca" w:eastAsia="fr-ca" w:bidi="fr-ca"/>
    </w:rPr>
  </w:style>
  <w:style w:styleId="BodyText" w:type="paragraph">
    <w:name w:val="Body Text"/>
    <w:basedOn w:val="Normal"/>
    <w:uiPriority w:val="1"/>
    <w:qFormat/>
    <w:pPr/>
    <w:rPr>
      <w:rFonts w:ascii="Arial" w:hAnsi="Arial" w:eastAsia="Arial" w:cs="Arial"/>
      <w:sz w:val="24"/>
      <w:szCs w:val="24"/>
      <w:lang w:val="fr-ca" w:eastAsia="fr-ca" w:bidi="fr-ca"/>
    </w:rPr>
  </w:style>
  <w:style w:styleId="ListParagraph" w:type="paragraph">
    <w:name w:val="List Paragraph"/>
    <w:basedOn w:val="Normal"/>
    <w:uiPriority w:val="1"/>
    <w:qFormat/>
    <w:pPr/>
    <w:rPr>
      <w:lang w:val="fr-ca" w:eastAsia="fr-ca" w:bidi="fr-ca"/>
    </w:rPr>
  </w:style>
  <w:style w:styleId="TableParagraph" w:type="paragraph">
    <w:name w:val="Table Paragraph"/>
    <w:basedOn w:val="Normal"/>
    <w:uiPriority w:val="1"/>
    <w:qFormat/>
    <w:pPr/>
    <w:rPr>
      <w:lang w:val="fr-ca" w:eastAsia="fr-ca" w:bidi="fr-c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hyperlink" Target="https://cdn-contenu.quebec.ca/cdn-contenu/adm/min/sante-services-sociaux/publications-adm/lois-reglements/decret_810-2020.pdf?1594901639" TargetMode="External"/><Relationship Id="rId9" Type="http://schemas.openxmlformats.org/officeDocument/2006/relationships/hyperlink" Target="https://www.quebec.ca/sante/problemes-de-sante/a-z/coronavirus-2019/port-du-couvre-visage-dans-les-lieux-publics-en-contexte-de-la-pandemie-de-covid-19/" TargetMode="External"/><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2021-05-30T18:43:24Z</dcterms:created>
  <dcterms:modified xsi:type="dcterms:W3CDTF">2021-05-30T18:43:24Z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2020-08-25T00:00:00Z</vt:filetime>
  </property>
  <property fmtid="{D5CDD505-2E9C-101B-9397-08002B2CF9AE}" pid="3" name="Creator">
    <vt:lpwstr>Microsoft® Word 2016</vt:lpwstr>
  </property>
  <property fmtid="{D5CDD505-2E9C-101B-9397-08002B2CF9AE}" pid="4" name="LastSaved">
    <vt:filetime>2021-05-30T00:00:00Z</vt:filetime>
  </property>
</Properties>
</file>