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706" w:val="left" w:leader="none"/>
          <w:tab w:pos="6030" w:val="left" w:leader="none"/>
        </w:tabs>
        <w:spacing w:line="240" w:lineRule="auto"/>
        <w:ind w:left="213" w:right="0" w:firstLine="0"/>
        <w:rPr>
          <w:rFonts w:ascii="Times New Roman"/>
          <w:sz w:val="20"/>
        </w:rPr>
      </w:pPr>
      <w:r>
        <w:rPr>
          <w:rFonts w:ascii="Times New Roman"/>
          <w:sz w:val="20"/>
        </w:rPr>
        <w:drawing>
          <wp:inline distT="0" distB="0" distL="0" distR="0">
            <wp:extent cx="1201375" cy="80048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01375" cy="800480"/>
                    </a:xfrm>
                    <a:prstGeom prst="rect">
                      <a:avLst/>
                    </a:prstGeom>
                  </pic:spPr>
                </pic:pic>
              </a:graphicData>
            </a:graphic>
          </wp:inline>
        </w:drawing>
      </w:r>
      <w:r>
        <w:rPr>
          <w:rFonts w:ascii="Times New Roman"/>
          <w:sz w:val="20"/>
        </w:rPr>
      </w:r>
      <w:r>
        <w:rPr>
          <w:rFonts w:ascii="Times New Roman"/>
          <w:sz w:val="20"/>
        </w:rPr>
        <w:tab/>
      </w:r>
      <w:r>
        <w:rPr>
          <w:rFonts w:ascii="Times New Roman"/>
          <w:position w:val="45"/>
          <w:sz w:val="20"/>
        </w:rPr>
        <w:drawing>
          <wp:inline distT="0" distB="0" distL="0" distR="0">
            <wp:extent cx="1526921" cy="38862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26921" cy="388620"/>
                    </a:xfrm>
                    <a:prstGeom prst="rect">
                      <a:avLst/>
                    </a:prstGeom>
                  </pic:spPr>
                </pic:pic>
              </a:graphicData>
            </a:graphic>
          </wp:inline>
        </w:drawing>
      </w:r>
      <w:r>
        <w:rPr>
          <w:rFonts w:ascii="Times New Roman"/>
          <w:position w:val="45"/>
          <w:sz w:val="20"/>
        </w:rPr>
      </w:r>
      <w:r>
        <w:rPr>
          <w:rFonts w:ascii="Times New Roman"/>
          <w:position w:val="45"/>
          <w:sz w:val="20"/>
        </w:rPr>
        <w:tab/>
      </w:r>
      <w:r>
        <w:rPr>
          <w:rFonts w:ascii="Times New Roman"/>
          <w:position w:val="35"/>
          <w:sz w:val="20"/>
        </w:rPr>
        <w:drawing>
          <wp:inline distT="0" distB="0" distL="0" distR="0">
            <wp:extent cx="1904491" cy="496824"/>
            <wp:effectExtent l="0" t="0" r="0" b="0"/>
            <wp:docPr id="5" name="image3.jpeg" descr="Logo de la COPHAN | COPHAN"/>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904491" cy="496824"/>
                    </a:xfrm>
                    <a:prstGeom prst="rect">
                      <a:avLst/>
                    </a:prstGeom>
                  </pic:spPr>
                </pic:pic>
              </a:graphicData>
            </a:graphic>
          </wp:inline>
        </w:drawing>
      </w:r>
      <w:r>
        <w:rPr>
          <w:rFonts w:ascii="Times New Roman"/>
          <w:position w:val="35"/>
          <w:sz w:val="20"/>
        </w:rPr>
      </w:r>
    </w:p>
    <w:p>
      <w:pPr>
        <w:pStyle w:val="BodyText"/>
        <w:spacing w:before="6"/>
        <w:rPr>
          <w:rFonts w:ascii="Times New Roman"/>
          <w:sz w:val="9"/>
        </w:rPr>
      </w:pPr>
      <w:r>
        <w:rPr/>
        <w:drawing>
          <wp:anchor distT="0" distB="0" distL="0" distR="0" allowOverlap="1" layoutInCell="1" locked="0" behindDoc="0" simplePos="0" relativeHeight="0">
            <wp:simplePos x="0" y="0"/>
            <wp:positionH relativeFrom="page">
              <wp:posOffset>999388</wp:posOffset>
            </wp:positionH>
            <wp:positionV relativeFrom="paragraph">
              <wp:posOffset>94807</wp:posOffset>
            </wp:positionV>
            <wp:extent cx="792424" cy="881919"/>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792424" cy="881919"/>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2187575</wp:posOffset>
            </wp:positionH>
            <wp:positionV relativeFrom="paragraph">
              <wp:posOffset>112560</wp:posOffset>
            </wp:positionV>
            <wp:extent cx="1242757" cy="670559"/>
            <wp:effectExtent l="0" t="0" r="0" b="0"/>
            <wp:wrapTopAndBottom/>
            <wp:docPr id="9" name="image5.jpeg" descr="Macintosh HD:Users:claude:Desktop:COSME_logo_03-2018-01_smaller.jp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242757" cy="670559"/>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3984569</wp:posOffset>
            </wp:positionH>
            <wp:positionV relativeFrom="paragraph">
              <wp:posOffset>153659</wp:posOffset>
            </wp:positionV>
            <wp:extent cx="1174633" cy="435864"/>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174633" cy="43586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5685367</wp:posOffset>
            </wp:positionH>
            <wp:positionV relativeFrom="paragraph">
              <wp:posOffset>98316</wp:posOffset>
            </wp:positionV>
            <wp:extent cx="753617" cy="661606"/>
            <wp:effectExtent l="0" t="0" r="0" b="0"/>
            <wp:wrapTopAndBottom/>
            <wp:docPr id="13" name="image7.png" descr="A close up of a logo  Description automatically generated"/>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753617" cy="661606"/>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914400</wp:posOffset>
            </wp:positionH>
            <wp:positionV relativeFrom="paragraph">
              <wp:posOffset>1171321</wp:posOffset>
            </wp:positionV>
            <wp:extent cx="1129664" cy="1007649"/>
            <wp:effectExtent l="0" t="0" r="0" b="0"/>
            <wp:wrapTopAndBottom/>
            <wp:docPr id="15" name="image8.jpeg" descr="AQCID"/>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129664" cy="1007649"/>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2215268</wp:posOffset>
            </wp:positionH>
            <wp:positionV relativeFrom="paragraph">
              <wp:posOffset>1292519</wp:posOffset>
            </wp:positionV>
            <wp:extent cx="1638320" cy="786383"/>
            <wp:effectExtent l="0" t="0" r="0" b="0"/>
            <wp:wrapTopAndBottom/>
            <wp:docPr id="17" name="image9.jpeg" descr="Logo TRPOCB"/>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638320" cy="786383"/>
                    </a:xfrm>
                    <a:prstGeom prst="rect">
                      <a:avLst/>
                    </a:prstGeom>
                  </pic:spPr>
                </pic:pic>
              </a:graphicData>
            </a:graphic>
          </wp:anchor>
        </w:drawing>
      </w:r>
    </w:p>
    <w:p>
      <w:pPr>
        <w:pStyle w:val="BodyText"/>
        <w:spacing w:before="8"/>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pStyle w:val="BodyText"/>
        <w:spacing w:before="92"/>
        <w:ind w:left="200"/>
      </w:pPr>
      <w:r>
        <w:rPr/>
        <w:t>Québec, le 25 février 2021</w:t>
      </w:r>
    </w:p>
    <w:p>
      <w:pPr>
        <w:pStyle w:val="BodyText"/>
        <w:rPr>
          <w:sz w:val="24"/>
        </w:rPr>
      </w:pPr>
    </w:p>
    <w:p>
      <w:pPr>
        <w:pStyle w:val="BodyText"/>
        <w:spacing w:before="8"/>
        <w:rPr>
          <w:sz w:val="23"/>
        </w:rPr>
      </w:pPr>
    </w:p>
    <w:p>
      <w:pPr>
        <w:pStyle w:val="BodyText"/>
        <w:ind w:left="200"/>
      </w:pPr>
      <w:r>
        <w:rPr/>
        <w:t>Monsieur Christian Dubé</w:t>
      </w:r>
    </w:p>
    <w:p>
      <w:pPr>
        <w:pStyle w:val="BodyText"/>
        <w:spacing w:before="1"/>
        <w:ind w:left="200"/>
      </w:pPr>
      <w:r>
        <w:rPr/>
        <w:t>Ministre de la Santé et des Services sociaux</w:t>
      </w:r>
    </w:p>
    <w:p>
      <w:pPr>
        <w:pStyle w:val="Heading1"/>
      </w:pPr>
      <w:hyperlink r:id="rId14">
        <w:r>
          <w:rPr>
            <w:color w:val="0562C1"/>
            <w:u w:val="single" w:color="0562C1"/>
          </w:rPr>
          <w:t>ministre@msss.gouv.qc.ca</w:t>
        </w:r>
      </w:hyperlink>
    </w:p>
    <w:p>
      <w:pPr>
        <w:pStyle w:val="BodyText"/>
        <w:spacing w:before="9"/>
        <w:rPr>
          <w:sz w:val="13"/>
        </w:rPr>
      </w:pPr>
    </w:p>
    <w:p>
      <w:pPr>
        <w:pStyle w:val="BodyText"/>
        <w:spacing w:before="93"/>
        <w:ind w:left="200"/>
      </w:pPr>
      <w:r>
        <w:rPr/>
        <w:t>Monsieur Lionel Carmant</w:t>
      </w:r>
    </w:p>
    <w:p>
      <w:pPr>
        <w:pStyle w:val="BodyText"/>
        <w:ind w:left="200"/>
      </w:pPr>
      <w:r>
        <w:rPr/>
        <w:t>Ministre délégué à la Santé et aux Services sociaux</w:t>
      </w:r>
    </w:p>
    <w:p>
      <w:pPr>
        <w:pStyle w:val="Heading1"/>
      </w:pPr>
      <w:hyperlink r:id="rId14">
        <w:r>
          <w:rPr>
            <w:color w:val="0562C1"/>
            <w:u w:val="single" w:color="0562C1"/>
          </w:rPr>
          <w:t>ministre.delegue@msss.gouv.qc.ca</w:t>
        </w:r>
      </w:hyperlink>
    </w:p>
    <w:p>
      <w:pPr>
        <w:pStyle w:val="BodyText"/>
        <w:spacing w:before="10"/>
        <w:rPr>
          <w:sz w:val="13"/>
        </w:rPr>
      </w:pPr>
    </w:p>
    <w:p>
      <w:pPr>
        <w:pStyle w:val="BodyText"/>
        <w:spacing w:before="93"/>
        <w:ind w:left="200"/>
      </w:pPr>
      <w:r>
        <w:rPr/>
        <w:t>Monsieur Horacio Arruda</w:t>
      </w:r>
    </w:p>
    <w:p>
      <w:pPr>
        <w:pStyle w:val="BodyText"/>
        <w:ind w:left="200"/>
      </w:pPr>
      <w:r>
        <w:rPr/>
        <w:t>Directeur national de santé publique et sous-ministre adjoint</w:t>
      </w:r>
    </w:p>
    <w:p>
      <w:pPr>
        <w:pStyle w:val="Heading1"/>
      </w:pPr>
      <w:hyperlink r:id="rId15">
        <w:r>
          <w:rPr>
            <w:color w:val="0562C1"/>
            <w:u w:val="single" w:color="0562C1"/>
          </w:rPr>
          <w:t>horacio</w:t>
        </w:r>
      </w:hyperlink>
      <w:hyperlink r:id="rId15">
        <w:r>
          <w:rPr>
            <w:color w:val="0562C1"/>
            <w:u w:val="single" w:color="0562C1"/>
          </w:rPr>
          <w:t>.</w:t>
        </w:r>
      </w:hyperlink>
      <w:hyperlink r:id="rId15">
        <w:r>
          <w:rPr>
            <w:color w:val="0562C1"/>
            <w:u w:val="single" w:color="0562C1"/>
          </w:rPr>
          <w:t>arruda</w:t>
        </w:r>
      </w:hyperlink>
      <w:hyperlink r:id="rId15">
        <w:r>
          <w:rPr>
            <w:color w:val="0562C1"/>
            <w:u w:val="single" w:color="0562C1"/>
          </w:rPr>
          <w:t>@msss.gouv.qc.ca</w:t>
        </w:r>
      </w:hyperlink>
    </w:p>
    <w:p>
      <w:pPr>
        <w:pStyle w:val="BodyText"/>
        <w:spacing w:before="9"/>
        <w:rPr>
          <w:sz w:val="13"/>
        </w:rPr>
      </w:pPr>
    </w:p>
    <w:p>
      <w:pPr>
        <w:pStyle w:val="BodyText"/>
        <w:spacing w:before="93"/>
        <w:ind w:left="200"/>
      </w:pPr>
      <w:r>
        <w:rPr/>
        <w:t>Monsieur Daniel Paré</w:t>
      </w:r>
    </w:p>
    <w:p>
      <w:pPr>
        <w:pStyle w:val="BodyText"/>
        <w:ind w:left="200"/>
      </w:pPr>
      <w:r>
        <w:rPr/>
        <w:t>Directeur de la campagne québécoise de vaccination</w:t>
      </w:r>
    </w:p>
    <w:p>
      <w:pPr>
        <w:pStyle w:val="Heading1"/>
      </w:pPr>
      <w:hyperlink r:id="rId16">
        <w:r>
          <w:rPr>
            <w:color w:val="0562C1"/>
            <w:u w:val="single" w:color="0562C1"/>
          </w:rPr>
          <w:t>daniel.pare@msss.gouv.qc.ca</w:t>
        </w:r>
      </w:hyperlink>
    </w:p>
    <w:p>
      <w:pPr>
        <w:pStyle w:val="BodyText"/>
        <w:rPr>
          <w:sz w:val="20"/>
        </w:rPr>
      </w:pPr>
    </w:p>
    <w:p>
      <w:pPr>
        <w:pStyle w:val="BodyText"/>
        <w:rPr>
          <w:sz w:val="20"/>
        </w:rPr>
      </w:pPr>
    </w:p>
    <w:p>
      <w:pPr>
        <w:pStyle w:val="BodyText"/>
        <w:spacing w:before="7"/>
        <w:rPr>
          <w:sz w:val="21"/>
        </w:rPr>
      </w:pPr>
    </w:p>
    <w:p>
      <w:pPr>
        <w:spacing w:line="276" w:lineRule="auto" w:before="92"/>
        <w:ind w:left="200" w:right="114" w:firstLine="0"/>
        <w:jc w:val="both"/>
        <w:rPr>
          <w:b/>
          <w:sz w:val="22"/>
        </w:rPr>
      </w:pPr>
      <w:r>
        <w:rPr>
          <w:b/>
          <w:sz w:val="22"/>
        </w:rPr>
        <w:t>Objet : Vaccination des travailleurs.euses de première ligne et des personnes qui fréquentent les organismes communautaires à haut risque d’éclosion.</w:t>
      </w:r>
    </w:p>
    <w:p>
      <w:pPr>
        <w:pStyle w:val="BodyText"/>
        <w:rPr>
          <w:b/>
          <w:sz w:val="24"/>
        </w:rPr>
      </w:pPr>
    </w:p>
    <w:p>
      <w:pPr>
        <w:pStyle w:val="BodyText"/>
        <w:rPr>
          <w:b/>
          <w:sz w:val="24"/>
        </w:rPr>
      </w:pPr>
    </w:p>
    <w:p>
      <w:pPr>
        <w:pStyle w:val="BodyText"/>
        <w:spacing w:before="179"/>
        <w:ind w:left="200"/>
      </w:pPr>
      <w:r>
        <w:rPr/>
        <w:t>Messieurs,</w:t>
      </w:r>
    </w:p>
    <w:p>
      <w:pPr>
        <w:pStyle w:val="BodyText"/>
        <w:spacing w:before="5"/>
      </w:pPr>
    </w:p>
    <w:p>
      <w:pPr>
        <w:pStyle w:val="BodyText"/>
        <w:spacing w:line="276" w:lineRule="auto" w:before="1"/>
        <w:ind w:left="199" w:right="114"/>
        <w:jc w:val="both"/>
      </w:pPr>
      <w:r>
        <w:rPr/>
        <w:t>Les 15 et 21 janvier dernier, nos organisations ont fait parvenir plusieurs correspondances aux différents</w:t>
      </w:r>
      <w:r>
        <w:rPr>
          <w:spacing w:val="-8"/>
        </w:rPr>
        <w:t> </w:t>
      </w:r>
      <w:r>
        <w:rPr/>
        <w:t>responsables</w:t>
      </w:r>
      <w:r>
        <w:rPr>
          <w:spacing w:val="-9"/>
        </w:rPr>
        <w:t> </w:t>
      </w:r>
      <w:r>
        <w:rPr/>
        <w:t>du</w:t>
      </w:r>
      <w:r>
        <w:rPr>
          <w:spacing w:val="-8"/>
        </w:rPr>
        <w:t> </w:t>
      </w:r>
      <w:r>
        <w:rPr/>
        <w:t>dossier</w:t>
      </w:r>
      <w:r>
        <w:rPr>
          <w:spacing w:val="-8"/>
        </w:rPr>
        <w:t> </w:t>
      </w:r>
      <w:r>
        <w:rPr/>
        <w:t>de</w:t>
      </w:r>
      <w:r>
        <w:rPr>
          <w:spacing w:val="-8"/>
        </w:rPr>
        <w:t> </w:t>
      </w:r>
      <w:r>
        <w:rPr/>
        <w:t>la</w:t>
      </w:r>
      <w:r>
        <w:rPr>
          <w:spacing w:val="-8"/>
        </w:rPr>
        <w:t> </w:t>
      </w:r>
      <w:r>
        <w:rPr/>
        <w:t>vaccination</w:t>
      </w:r>
      <w:r>
        <w:rPr>
          <w:spacing w:val="-8"/>
        </w:rPr>
        <w:t> </w:t>
      </w:r>
      <w:r>
        <w:rPr/>
        <w:t>contre</w:t>
      </w:r>
      <w:r>
        <w:rPr>
          <w:spacing w:val="-8"/>
        </w:rPr>
        <w:t> </w:t>
      </w:r>
      <w:r>
        <w:rPr/>
        <w:t>la</w:t>
      </w:r>
      <w:r>
        <w:rPr>
          <w:spacing w:val="-9"/>
        </w:rPr>
        <w:t> </w:t>
      </w:r>
      <w:r>
        <w:rPr/>
        <w:t>COVID-19,</w:t>
      </w:r>
      <w:r>
        <w:rPr>
          <w:spacing w:val="-8"/>
        </w:rPr>
        <w:t> </w:t>
      </w:r>
      <w:r>
        <w:rPr/>
        <w:t>demandant</w:t>
      </w:r>
      <w:r>
        <w:rPr>
          <w:spacing w:val="-8"/>
        </w:rPr>
        <w:t> </w:t>
      </w:r>
      <w:r>
        <w:rPr/>
        <w:t>d’y</w:t>
      </w:r>
      <w:r>
        <w:rPr>
          <w:spacing w:val="-8"/>
        </w:rPr>
        <w:t> </w:t>
      </w:r>
      <w:r>
        <w:rPr/>
        <w:t>intégrer les personnes qui travaillent dans les organismes communautaires à haut risque d’éclosion ou qui les</w:t>
      </w:r>
      <w:r>
        <w:rPr>
          <w:spacing w:val="-1"/>
        </w:rPr>
        <w:t> </w:t>
      </w:r>
      <w:r>
        <w:rPr/>
        <w:t>fréquentent</w:t>
      </w:r>
    </w:p>
    <w:p>
      <w:pPr>
        <w:pStyle w:val="BodyText"/>
        <w:spacing w:before="1"/>
        <w:rPr>
          <w:sz w:val="19"/>
        </w:rPr>
      </w:pPr>
    </w:p>
    <w:p>
      <w:pPr>
        <w:pStyle w:val="BodyText"/>
        <w:spacing w:line="276" w:lineRule="auto"/>
        <w:ind w:left="199" w:right="116"/>
        <w:jc w:val="both"/>
      </w:pPr>
      <w:r>
        <w:rPr/>
        <w:t>D’entrée de jeu, nous tenons à souligner l’ouverture de vos équipes quant à la priorisation de la vaccination de certaines catégories de travailleurs.euses du milieu communautaire dans la</w:t>
      </w:r>
    </w:p>
    <w:p>
      <w:pPr>
        <w:spacing w:after="0" w:line="276" w:lineRule="auto"/>
        <w:jc w:val="both"/>
        <w:sectPr>
          <w:type w:val="continuous"/>
          <w:pgSz w:w="11910" w:h="16840"/>
          <w:pgMar w:top="740" w:bottom="280" w:left="1240" w:right="1020"/>
        </w:sectPr>
      </w:pPr>
    </w:p>
    <w:p>
      <w:pPr>
        <w:pStyle w:val="BodyText"/>
        <w:spacing w:line="276" w:lineRule="auto" w:before="81"/>
        <w:ind w:left="200" w:right="118"/>
        <w:jc w:val="both"/>
      </w:pPr>
      <w:r>
        <w:rPr/>
        <w:t>directive 005 mise à jour le 11 février 2021, à l’égard des rangs #2 et #9 de planification de la vaccination. Cependant, certains flous demeurent et des éclaircissements sont à apporter.</w:t>
      </w:r>
    </w:p>
    <w:p>
      <w:pPr>
        <w:pStyle w:val="BodyText"/>
        <w:spacing w:before="1"/>
        <w:rPr>
          <w:sz w:val="19"/>
        </w:rPr>
      </w:pPr>
    </w:p>
    <w:p>
      <w:pPr>
        <w:pStyle w:val="BodyText"/>
        <w:spacing w:line="276" w:lineRule="auto"/>
        <w:ind w:left="200" w:right="117"/>
        <w:jc w:val="both"/>
      </w:pPr>
      <w:r>
        <w:rPr/>
        <w:t>D’une part, nous comprenons que les modifications apportées incluent maintenant les « travailleurs.euses communautaires qui sont en contacts directs avec des patients à haut risque</w:t>
      </w:r>
    </w:p>
    <w:p>
      <w:pPr>
        <w:pStyle w:val="BodyText"/>
        <w:spacing w:line="276" w:lineRule="auto"/>
        <w:ind w:left="200" w:right="118"/>
        <w:jc w:val="both"/>
      </w:pPr>
      <w:r>
        <w:rPr/>
        <w:t>». D’autre part, la directive 005 a également intégré la vaccination de l’ensemble du milieu communautaire dans le groupe des travailleurs essentiels de moins de 60 ans.</w:t>
      </w:r>
    </w:p>
    <w:p>
      <w:pPr>
        <w:pStyle w:val="BodyText"/>
        <w:spacing w:before="1"/>
        <w:rPr>
          <w:sz w:val="19"/>
        </w:rPr>
      </w:pPr>
    </w:p>
    <w:p>
      <w:pPr>
        <w:pStyle w:val="BodyText"/>
        <w:spacing w:line="276" w:lineRule="auto" w:before="1"/>
        <w:ind w:left="200" w:right="114" w:hanging="1"/>
        <w:jc w:val="both"/>
      </w:pPr>
      <w:r>
        <w:rPr/>
        <w:t>Une zone d’ombre demeure cependant quant à la définition de ces « patients à haut risque ». Les</w:t>
      </w:r>
      <w:r>
        <w:rPr>
          <w:spacing w:val="-5"/>
        </w:rPr>
        <w:t> </w:t>
      </w:r>
      <w:r>
        <w:rPr/>
        <w:t>facteurs</w:t>
      </w:r>
      <w:r>
        <w:rPr>
          <w:spacing w:val="-7"/>
        </w:rPr>
        <w:t> </w:t>
      </w:r>
      <w:r>
        <w:rPr/>
        <w:t>de</w:t>
      </w:r>
      <w:r>
        <w:rPr>
          <w:spacing w:val="-6"/>
        </w:rPr>
        <w:t> </w:t>
      </w:r>
      <w:r>
        <w:rPr/>
        <w:t>risques</w:t>
      </w:r>
      <w:r>
        <w:rPr>
          <w:spacing w:val="-7"/>
        </w:rPr>
        <w:t> </w:t>
      </w:r>
      <w:r>
        <w:rPr/>
        <w:t>face</w:t>
      </w:r>
      <w:r>
        <w:rPr>
          <w:spacing w:val="-6"/>
        </w:rPr>
        <w:t> </w:t>
      </w:r>
      <w:r>
        <w:rPr/>
        <w:t>à</w:t>
      </w:r>
      <w:r>
        <w:rPr>
          <w:spacing w:val="-6"/>
        </w:rPr>
        <w:t> </w:t>
      </w:r>
      <w:r>
        <w:rPr/>
        <w:t>la</w:t>
      </w:r>
      <w:r>
        <w:rPr>
          <w:spacing w:val="-6"/>
        </w:rPr>
        <w:t> </w:t>
      </w:r>
      <w:r>
        <w:rPr/>
        <w:t>COVID-19</w:t>
      </w:r>
      <w:r>
        <w:rPr>
          <w:spacing w:val="-6"/>
        </w:rPr>
        <w:t> </w:t>
      </w:r>
      <w:r>
        <w:rPr/>
        <w:t>ne</w:t>
      </w:r>
      <w:r>
        <w:rPr>
          <w:spacing w:val="-6"/>
        </w:rPr>
        <w:t> </w:t>
      </w:r>
      <w:r>
        <w:rPr/>
        <w:t>sont</w:t>
      </w:r>
      <w:r>
        <w:rPr>
          <w:spacing w:val="-6"/>
        </w:rPr>
        <w:t> </w:t>
      </w:r>
      <w:r>
        <w:rPr/>
        <w:t>pas</w:t>
      </w:r>
      <w:r>
        <w:rPr>
          <w:spacing w:val="-5"/>
        </w:rPr>
        <w:t> </w:t>
      </w:r>
      <w:r>
        <w:rPr/>
        <w:t>uniquement</w:t>
      </w:r>
      <w:r>
        <w:rPr>
          <w:spacing w:val="-6"/>
        </w:rPr>
        <w:t> </w:t>
      </w:r>
      <w:r>
        <w:rPr/>
        <w:t>liés</w:t>
      </w:r>
      <w:r>
        <w:rPr>
          <w:spacing w:val="-7"/>
        </w:rPr>
        <w:t> </w:t>
      </w:r>
      <w:r>
        <w:rPr/>
        <w:t>à</w:t>
      </w:r>
      <w:r>
        <w:rPr>
          <w:spacing w:val="-6"/>
        </w:rPr>
        <w:t> </w:t>
      </w:r>
      <w:r>
        <w:rPr/>
        <w:t>des</w:t>
      </w:r>
      <w:r>
        <w:rPr>
          <w:spacing w:val="-5"/>
        </w:rPr>
        <w:t> </w:t>
      </w:r>
      <w:r>
        <w:rPr/>
        <w:t>diagnostics,</w:t>
      </w:r>
      <w:r>
        <w:rPr>
          <w:spacing w:val="-7"/>
        </w:rPr>
        <w:t> </w:t>
      </w:r>
      <w:r>
        <w:rPr/>
        <w:t>mais aussi aux conditions de vie des personnes, comme le démontre l’inclusion des personnes en situation</w:t>
      </w:r>
      <w:r>
        <w:rPr>
          <w:spacing w:val="-14"/>
        </w:rPr>
        <w:t> </w:t>
      </w:r>
      <w:r>
        <w:rPr/>
        <w:t>d’itinérance</w:t>
      </w:r>
      <w:r>
        <w:rPr>
          <w:spacing w:val="-14"/>
        </w:rPr>
        <w:t> </w:t>
      </w:r>
      <w:r>
        <w:rPr/>
        <w:t>dans</w:t>
      </w:r>
      <w:r>
        <w:rPr>
          <w:spacing w:val="-14"/>
        </w:rPr>
        <w:t> </w:t>
      </w:r>
      <w:r>
        <w:rPr/>
        <w:t>la</w:t>
      </w:r>
      <w:r>
        <w:rPr>
          <w:spacing w:val="-14"/>
        </w:rPr>
        <w:t> </w:t>
      </w:r>
      <w:r>
        <w:rPr/>
        <w:t>directive</w:t>
      </w:r>
      <w:r>
        <w:rPr>
          <w:spacing w:val="-15"/>
        </w:rPr>
        <w:t> </w:t>
      </w:r>
      <w:r>
        <w:rPr/>
        <w:t>005.</w:t>
      </w:r>
      <w:r>
        <w:rPr>
          <w:spacing w:val="-14"/>
        </w:rPr>
        <w:t> </w:t>
      </w:r>
      <w:r>
        <w:rPr/>
        <w:t>Or,</w:t>
      </w:r>
      <w:r>
        <w:rPr>
          <w:spacing w:val="-14"/>
        </w:rPr>
        <w:t> </w:t>
      </w:r>
      <w:r>
        <w:rPr/>
        <w:t>nous</w:t>
      </w:r>
      <w:r>
        <w:rPr>
          <w:spacing w:val="-14"/>
        </w:rPr>
        <w:t> </w:t>
      </w:r>
      <w:r>
        <w:rPr/>
        <w:t>attirons</w:t>
      </w:r>
      <w:r>
        <w:rPr>
          <w:spacing w:val="-15"/>
        </w:rPr>
        <w:t> </w:t>
      </w:r>
      <w:r>
        <w:rPr/>
        <w:t>votre</w:t>
      </w:r>
      <w:r>
        <w:rPr>
          <w:spacing w:val="-14"/>
        </w:rPr>
        <w:t> </w:t>
      </w:r>
      <w:r>
        <w:rPr/>
        <w:t>attention</w:t>
      </w:r>
      <w:r>
        <w:rPr>
          <w:spacing w:val="-14"/>
        </w:rPr>
        <w:t> </w:t>
      </w:r>
      <w:r>
        <w:rPr/>
        <w:t>sur</w:t>
      </w:r>
      <w:r>
        <w:rPr>
          <w:spacing w:val="-14"/>
        </w:rPr>
        <w:t> </w:t>
      </w:r>
      <w:r>
        <w:rPr/>
        <w:t>le</w:t>
      </w:r>
      <w:r>
        <w:rPr>
          <w:spacing w:val="-14"/>
        </w:rPr>
        <w:t> </w:t>
      </w:r>
      <w:r>
        <w:rPr/>
        <w:t>fait</w:t>
      </w:r>
      <w:r>
        <w:rPr>
          <w:spacing w:val="-14"/>
        </w:rPr>
        <w:t> </w:t>
      </w:r>
      <w:r>
        <w:rPr/>
        <w:t>que</w:t>
      </w:r>
      <w:r>
        <w:rPr>
          <w:spacing w:val="-14"/>
        </w:rPr>
        <w:t> </w:t>
      </w:r>
      <w:r>
        <w:rPr/>
        <w:t>d’autres situations augmentent les risques liés à la COVID-19, par exemple dans divers contextes d’hébergement et de</w:t>
      </w:r>
      <w:r>
        <w:rPr>
          <w:spacing w:val="-1"/>
        </w:rPr>
        <w:t> </w:t>
      </w:r>
      <w:r>
        <w:rPr/>
        <w:t>soutien.</w:t>
      </w:r>
    </w:p>
    <w:p>
      <w:pPr>
        <w:pStyle w:val="BodyText"/>
        <w:spacing w:before="1"/>
        <w:rPr>
          <w:sz w:val="19"/>
        </w:rPr>
      </w:pPr>
    </w:p>
    <w:p>
      <w:pPr>
        <w:pStyle w:val="BodyText"/>
        <w:spacing w:line="276" w:lineRule="auto"/>
        <w:ind w:left="200" w:right="113"/>
        <w:jc w:val="both"/>
      </w:pPr>
      <w:r>
        <w:rPr/>
        <w:t>L’absence</w:t>
      </w:r>
      <w:r>
        <w:rPr>
          <w:spacing w:val="-17"/>
        </w:rPr>
        <w:t> </w:t>
      </w:r>
      <w:r>
        <w:rPr/>
        <w:t>de</w:t>
      </w:r>
      <w:r>
        <w:rPr>
          <w:spacing w:val="-17"/>
        </w:rPr>
        <w:t> </w:t>
      </w:r>
      <w:r>
        <w:rPr/>
        <w:t>priorisation</w:t>
      </w:r>
      <w:r>
        <w:rPr>
          <w:spacing w:val="-17"/>
        </w:rPr>
        <w:t> </w:t>
      </w:r>
      <w:r>
        <w:rPr/>
        <w:t>des</w:t>
      </w:r>
      <w:r>
        <w:rPr>
          <w:spacing w:val="-16"/>
        </w:rPr>
        <w:t> </w:t>
      </w:r>
      <w:r>
        <w:rPr/>
        <w:t>travailleurs.euses</w:t>
      </w:r>
      <w:r>
        <w:rPr>
          <w:spacing w:val="-17"/>
        </w:rPr>
        <w:t> </w:t>
      </w:r>
      <w:r>
        <w:rPr/>
        <w:t>du</w:t>
      </w:r>
      <w:r>
        <w:rPr>
          <w:spacing w:val="-17"/>
        </w:rPr>
        <w:t> </w:t>
      </w:r>
      <w:r>
        <w:rPr/>
        <w:t>milieu</w:t>
      </w:r>
      <w:r>
        <w:rPr>
          <w:spacing w:val="-17"/>
        </w:rPr>
        <w:t> </w:t>
      </w:r>
      <w:r>
        <w:rPr/>
        <w:t>communautaire</w:t>
      </w:r>
      <w:r>
        <w:rPr>
          <w:spacing w:val="-17"/>
        </w:rPr>
        <w:t> </w:t>
      </w:r>
      <w:r>
        <w:rPr/>
        <w:t>avant</w:t>
      </w:r>
      <w:r>
        <w:rPr>
          <w:spacing w:val="-17"/>
        </w:rPr>
        <w:t> </w:t>
      </w:r>
      <w:r>
        <w:rPr/>
        <w:t>le</w:t>
      </w:r>
      <w:r>
        <w:rPr>
          <w:spacing w:val="-17"/>
        </w:rPr>
        <w:t> </w:t>
      </w:r>
      <w:r>
        <w:rPr/>
        <w:t>11</w:t>
      </w:r>
      <w:r>
        <w:rPr>
          <w:spacing w:val="-17"/>
        </w:rPr>
        <w:t> </w:t>
      </w:r>
      <w:r>
        <w:rPr/>
        <w:t>février</w:t>
      </w:r>
      <w:r>
        <w:rPr>
          <w:spacing w:val="-17"/>
        </w:rPr>
        <w:t> </w:t>
      </w:r>
      <w:r>
        <w:rPr/>
        <w:t>nous rappelait que les inégalités sociales ne sont pas qu’un enjeu présent dans la population en général. Elles se répercutent également sur le terrain de l’intervention, où certains.es intervenants.es du réseau de la santé se retrouvent plus privilégiés.es que ceux et celles du communautaire. Rappelons que les organismes communautaires ont maintenu le filet social du Québec en poursuivant leurs activités, notamment auprès des personnes présentant les profils de vulnérabilité les plus grands au</w:t>
      </w:r>
      <w:r>
        <w:rPr>
          <w:spacing w:val="-2"/>
        </w:rPr>
        <w:t> </w:t>
      </w:r>
      <w:r>
        <w:rPr/>
        <w:t>Québec.</w:t>
      </w:r>
    </w:p>
    <w:p>
      <w:pPr>
        <w:pStyle w:val="BodyText"/>
        <w:spacing w:before="2"/>
        <w:rPr>
          <w:sz w:val="19"/>
        </w:rPr>
      </w:pPr>
    </w:p>
    <w:p>
      <w:pPr>
        <w:pStyle w:val="BodyText"/>
        <w:spacing w:line="276" w:lineRule="auto"/>
        <w:ind w:left="200" w:right="115"/>
        <w:jc w:val="both"/>
      </w:pPr>
      <w:r>
        <w:rPr/>
        <w:t>La directive 005 demande toutefois, des améliorations quant aux catégories de travailleurs.euses, qui seront admissibles à la vaccination dès la phase 2. La directive cite en exemple</w:t>
      </w:r>
      <w:r>
        <w:rPr>
          <w:spacing w:val="-12"/>
        </w:rPr>
        <w:t> </w:t>
      </w:r>
      <w:r>
        <w:rPr/>
        <w:t>les</w:t>
      </w:r>
      <w:r>
        <w:rPr>
          <w:spacing w:val="-13"/>
        </w:rPr>
        <w:t> </w:t>
      </w:r>
      <w:r>
        <w:rPr/>
        <w:t>travailleurs</w:t>
      </w:r>
      <w:r>
        <w:rPr>
          <w:spacing w:val="-13"/>
        </w:rPr>
        <w:t> </w:t>
      </w:r>
      <w:r>
        <w:rPr/>
        <w:t>de</w:t>
      </w:r>
      <w:r>
        <w:rPr>
          <w:spacing w:val="-12"/>
        </w:rPr>
        <w:t> </w:t>
      </w:r>
      <w:r>
        <w:rPr/>
        <w:t>rue</w:t>
      </w:r>
      <w:r>
        <w:rPr>
          <w:spacing w:val="-12"/>
        </w:rPr>
        <w:t> </w:t>
      </w:r>
      <w:r>
        <w:rPr/>
        <w:t>en</w:t>
      </w:r>
      <w:r>
        <w:rPr>
          <w:spacing w:val="-12"/>
        </w:rPr>
        <w:t> </w:t>
      </w:r>
      <w:r>
        <w:rPr/>
        <w:t>santé</w:t>
      </w:r>
      <w:r>
        <w:rPr>
          <w:spacing w:val="-12"/>
        </w:rPr>
        <w:t> </w:t>
      </w:r>
      <w:r>
        <w:rPr/>
        <w:t>mentale,</w:t>
      </w:r>
      <w:r>
        <w:rPr>
          <w:spacing w:val="-12"/>
        </w:rPr>
        <w:t> </w:t>
      </w:r>
      <w:r>
        <w:rPr/>
        <w:t>en</w:t>
      </w:r>
      <w:r>
        <w:rPr>
          <w:spacing w:val="-12"/>
        </w:rPr>
        <w:t> </w:t>
      </w:r>
      <w:r>
        <w:rPr/>
        <w:t>itinérance</w:t>
      </w:r>
      <w:r>
        <w:rPr>
          <w:spacing w:val="-12"/>
        </w:rPr>
        <w:t> </w:t>
      </w:r>
      <w:r>
        <w:rPr/>
        <w:t>et</w:t>
      </w:r>
      <w:r>
        <w:rPr>
          <w:spacing w:val="-12"/>
        </w:rPr>
        <w:t> </w:t>
      </w:r>
      <w:r>
        <w:rPr/>
        <w:t>en</w:t>
      </w:r>
      <w:r>
        <w:rPr>
          <w:spacing w:val="-12"/>
        </w:rPr>
        <w:t> </w:t>
      </w:r>
      <w:r>
        <w:rPr/>
        <w:t>toxicomanie,</w:t>
      </w:r>
      <w:r>
        <w:rPr>
          <w:spacing w:val="-12"/>
        </w:rPr>
        <w:t> </w:t>
      </w:r>
      <w:r>
        <w:rPr/>
        <w:t>mais</w:t>
      </w:r>
      <w:r>
        <w:rPr>
          <w:spacing w:val="-11"/>
        </w:rPr>
        <w:t> </w:t>
      </w:r>
      <w:r>
        <w:rPr/>
        <w:t>cette</w:t>
      </w:r>
      <w:r>
        <w:rPr>
          <w:spacing w:val="-12"/>
        </w:rPr>
        <w:t> </w:t>
      </w:r>
      <w:r>
        <w:rPr/>
        <w:t>liste est réductrice des milieux et travailleurs.euses à haut risque et doit être complété pour éviter certaines</w:t>
      </w:r>
      <w:r>
        <w:rPr>
          <w:spacing w:val="-17"/>
        </w:rPr>
        <w:t> </w:t>
      </w:r>
      <w:r>
        <w:rPr/>
        <w:t>exclusions,</w:t>
      </w:r>
      <w:r>
        <w:rPr>
          <w:spacing w:val="-18"/>
        </w:rPr>
        <w:t> </w:t>
      </w:r>
      <w:r>
        <w:rPr/>
        <w:t>d’autant</w:t>
      </w:r>
      <w:r>
        <w:rPr>
          <w:spacing w:val="-18"/>
        </w:rPr>
        <w:t> </w:t>
      </w:r>
      <w:r>
        <w:rPr/>
        <w:t>plus</w:t>
      </w:r>
      <w:r>
        <w:rPr>
          <w:spacing w:val="-17"/>
        </w:rPr>
        <w:t> </w:t>
      </w:r>
      <w:r>
        <w:rPr/>
        <w:t>que</w:t>
      </w:r>
      <w:r>
        <w:rPr>
          <w:spacing w:val="-18"/>
        </w:rPr>
        <w:t> </w:t>
      </w:r>
      <w:r>
        <w:rPr/>
        <w:t>plusieurs</w:t>
      </w:r>
      <w:r>
        <w:rPr>
          <w:spacing w:val="-18"/>
        </w:rPr>
        <w:t> </w:t>
      </w:r>
      <w:r>
        <w:rPr/>
        <w:t>de</w:t>
      </w:r>
      <w:r>
        <w:rPr>
          <w:spacing w:val="-18"/>
        </w:rPr>
        <w:t> </w:t>
      </w:r>
      <w:r>
        <w:rPr/>
        <w:t>nos</w:t>
      </w:r>
      <w:r>
        <w:rPr>
          <w:spacing w:val="-17"/>
        </w:rPr>
        <w:t> </w:t>
      </w:r>
      <w:r>
        <w:rPr/>
        <w:t>travailleurs.euses,</w:t>
      </w:r>
      <w:r>
        <w:rPr>
          <w:spacing w:val="-18"/>
        </w:rPr>
        <w:t> </w:t>
      </w:r>
      <w:r>
        <w:rPr/>
        <w:t>considérés.es</w:t>
      </w:r>
      <w:r>
        <w:rPr>
          <w:spacing w:val="-17"/>
        </w:rPr>
        <w:t> </w:t>
      </w:r>
      <w:r>
        <w:rPr/>
        <w:t>comme essentiels.les,</w:t>
      </w:r>
      <w:r>
        <w:rPr>
          <w:spacing w:val="-13"/>
        </w:rPr>
        <w:t> </w:t>
      </w:r>
      <w:r>
        <w:rPr/>
        <w:t>se</w:t>
      </w:r>
      <w:r>
        <w:rPr>
          <w:spacing w:val="-14"/>
        </w:rPr>
        <w:t> </w:t>
      </w:r>
      <w:r>
        <w:rPr/>
        <w:t>voient</w:t>
      </w:r>
      <w:r>
        <w:rPr>
          <w:spacing w:val="-14"/>
        </w:rPr>
        <w:t> </w:t>
      </w:r>
      <w:r>
        <w:rPr/>
        <w:t>actuellement</w:t>
      </w:r>
      <w:r>
        <w:rPr>
          <w:spacing w:val="-13"/>
        </w:rPr>
        <w:t> </w:t>
      </w:r>
      <w:r>
        <w:rPr/>
        <w:t>refuser</w:t>
      </w:r>
      <w:r>
        <w:rPr>
          <w:spacing w:val="-14"/>
        </w:rPr>
        <w:t> </w:t>
      </w:r>
      <w:r>
        <w:rPr/>
        <w:t>l’accès</w:t>
      </w:r>
      <w:r>
        <w:rPr>
          <w:spacing w:val="-12"/>
        </w:rPr>
        <w:t> </w:t>
      </w:r>
      <w:r>
        <w:rPr/>
        <w:t>au</w:t>
      </w:r>
      <w:r>
        <w:rPr>
          <w:spacing w:val="-14"/>
        </w:rPr>
        <w:t> </w:t>
      </w:r>
      <w:r>
        <w:rPr/>
        <w:t>vaccin,</w:t>
      </w:r>
      <w:r>
        <w:rPr>
          <w:spacing w:val="-13"/>
        </w:rPr>
        <w:t> </w:t>
      </w:r>
      <w:r>
        <w:rPr/>
        <w:t>même</w:t>
      </w:r>
      <w:r>
        <w:rPr>
          <w:spacing w:val="-13"/>
        </w:rPr>
        <w:t> </w:t>
      </w:r>
      <w:r>
        <w:rPr/>
        <w:t>dans</w:t>
      </w:r>
      <w:r>
        <w:rPr>
          <w:spacing w:val="-12"/>
        </w:rPr>
        <w:t> </w:t>
      </w:r>
      <w:r>
        <w:rPr/>
        <w:t>les</w:t>
      </w:r>
      <w:r>
        <w:rPr>
          <w:spacing w:val="-12"/>
        </w:rPr>
        <w:t> </w:t>
      </w:r>
      <w:r>
        <w:rPr/>
        <w:t>régions</w:t>
      </w:r>
      <w:r>
        <w:rPr>
          <w:spacing w:val="-12"/>
        </w:rPr>
        <w:t> </w:t>
      </w:r>
      <w:r>
        <w:rPr/>
        <w:t>en</w:t>
      </w:r>
      <w:r>
        <w:rPr>
          <w:spacing w:val="-14"/>
        </w:rPr>
        <w:t> </w:t>
      </w:r>
      <w:r>
        <w:rPr/>
        <w:t>phase 2 (Exemples : Mauricie, Bas-Saint-Laurent,</w:t>
      </w:r>
      <w:r>
        <w:rPr>
          <w:spacing w:val="-3"/>
        </w:rPr>
        <w:t> </w:t>
      </w:r>
      <w:r>
        <w:rPr/>
        <w:t>Montérégie).</w:t>
      </w:r>
    </w:p>
    <w:p>
      <w:pPr>
        <w:pStyle w:val="BodyText"/>
        <w:spacing w:before="1"/>
        <w:rPr>
          <w:sz w:val="19"/>
        </w:rPr>
      </w:pPr>
    </w:p>
    <w:p>
      <w:pPr>
        <w:pStyle w:val="BodyText"/>
        <w:spacing w:line="276" w:lineRule="auto"/>
        <w:ind w:left="200" w:right="115"/>
        <w:jc w:val="both"/>
      </w:pPr>
      <w:r>
        <w:rPr/>
        <w:t>Nous réitérons que la vaccination des personnes fréquentant ces milieux doit aussi être incluse dans la planification de la vaccination pour assurer une immunité collective. Lors de la vaccination effectuée dans les CHSLD, il était de mise d’inclure autant les usagers.ères que le personnel. Dans une logique de santé publique, il n’y a pas de justification à agir différemment dans le milieu communautaire, tant en regard du rang de vaccination #2 que du rang #9.</w:t>
      </w:r>
    </w:p>
    <w:p>
      <w:pPr>
        <w:pStyle w:val="BodyText"/>
        <w:rPr>
          <w:sz w:val="19"/>
        </w:rPr>
      </w:pPr>
    </w:p>
    <w:p>
      <w:pPr>
        <w:pStyle w:val="BodyText"/>
        <w:spacing w:line="276" w:lineRule="auto" w:before="1"/>
        <w:ind w:left="200" w:right="115"/>
        <w:jc w:val="both"/>
      </w:pPr>
      <w:r>
        <w:rPr/>
        <w:t>Les personnes que nous accompagnons paient les frais des inégalités sociales de</w:t>
      </w:r>
      <w:r>
        <w:rPr>
          <w:spacing w:val="25"/>
        </w:rPr>
        <w:t> </w:t>
      </w:r>
      <w:r>
        <w:rPr/>
        <w:t>santé largement documentées par l’INSPQ. Leur statut socio-économique ne doit pas être un facteur qui contribue encore une fois à les marginaliser et à les exclure. De passer outre la vaccination de ces personnes, qui sont amenées au quotidien à fréquenter les milieux de vie communautaires,</w:t>
      </w:r>
      <w:r>
        <w:rPr>
          <w:spacing w:val="-7"/>
        </w:rPr>
        <w:t> </w:t>
      </w:r>
      <w:r>
        <w:rPr/>
        <w:t>viendrait</w:t>
      </w:r>
      <w:r>
        <w:rPr>
          <w:spacing w:val="-7"/>
        </w:rPr>
        <w:t> </w:t>
      </w:r>
      <w:r>
        <w:rPr/>
        <w:t>renforcer</w:t>
      </w:r>
      <w:r>
        <w:rPr>
          <w:spacing w:val="-8"/>
        </w:rPr>
        <w:t> </w:t>
      </w:r>
      <w:r>
        <w:rPr/>
        <w:t>les</w:t>
      </w:r>
      <w:r>
        <w:rPr>
          <w:spacing w:val="-7"/>
        </w:rPr>
        <w:t> </w:t>
      </w:r>
      <w:r>
        <w:rPr/>
        <w:t>facteurs</w:t>
      </w:r>
      <w:r>
        <w:rPr>
          <w:spacing w:val="-8"/>
        </w:rPr>
        <w:t> </w:t>
      </w:r>
      <w:r>
        <w:rPr/>
        <w:t>de</w:t>
      </w:r>
      <w:r>
        <w:rPr>
          <w:spacing w:val="-7"/>
        </w:rPr>
        <w:t> </w:t>
      </w:r>
      <w:r>
        <w:rPr/>
        <w:t>risques</w:t>
      </w:r>
      <w:r>
        <w:rPr>
          <w:spacing w:val="-7"/>
        </w:rPr>
        <w:t> </w:t>
      </w:r>
      <w:r>
        <w:rPr/>
        <w:t>d'éclosion</w:t>
      </w:r>
      <w:r>
        <w:rPr>
          <w:spacing w:val="-8"/>
        </w:rPr>
        <w:t> </w:t>
      </w:r>
      <w:r>
        <w:rPr/>
        <w:t>et</w:t>
      </w:r>
      <w:r>
        <w:rPr>
          <w:spacing w:val="-8"/>
        </w:rPr>
        <w:t> </w:t>
      </w:r>
      <w:r>
        <w:rPr/>
        <w:t>aussi</w:t>
      </w:r>
      <w:r>
        <w:rPr>
          <w:spacing w:val="-7"/>
        </w:rPr>
        <w:t> </w:t>
      </w:r>
      <w:r>
        <w:rPr/>
        <w:t>mettre</w:t>
      </w:r>
      <w:r>
        <w:rPr>
          <w:spacing w:val="-8"/>
        </w:rPr>
        <w:t> </w:t>
      </w:r>
      <w:r>
        <w:rPr/>
        <w:t>à</w:t>
      </w:r>
      <w:r>
        <w:rPr>
          <w:spacing w:val="-7"/>
        </w:rPr>
        <w:t> </w:t>
      </w:r>
      <w:r>
        <w:rPr/>
        <w:t>risque</w:t>
      </w:r>
      <w:r>
        <w:rPr>
          <w:spacing w:val="-7"/>
        </w:rPr>
        <w:t> </w:t>
      </w:r>
      <w:r>
        <w:rPr/>
        <w:t>la santé physique et psychologique de ces personnes qui est déjà</w:t>
      </w:r>
      <w:r>
        <w:rPr>
          <w:spacing w:val="-6"/>
        </w:rPr>
        <w:t> </w:t>
      </w:r>
      <w:r>
        <w:rPr/>
        <w:t>fragilisée.</w:t>
      </w:r>
    </w:p>
    <w:p>
      <w:pPr>
        <w:pStyle w:val="BodyText"/>
        <w:spacing w:before="1"/>
        <w:rPr>
          <w:sz w:val="19"/>
        </w:rPr>
      </w:pPr>
    </w:p>
    <w:p>
      <w:pPr>
        <w:pStyle w:val="BodyText"/>
        <w:spacing w:line="276" w:lineRule="auto"/>
        <w:ind w:left="200" w:right="116"/>
        <w:jc w:val="both"/>
      </w:pPr>
      <w:r>
        <w:rPr/>
        <w:t>Nous</w:t>
      </w:r>
      <w:r>
        <w:rPr>
          <w:spacing w:val="-8"/>
        </w:rPr>
        <w:t> </w:t>
      </w:r>
      <w:r>
        <w:rPr/>
        <w:t>espérons</w:t>
      </w:r>
      <w:r>
        <w:rPr>
          <w:spacing w:val="-8"/>
        </w:rPr>
        <w:t> </w:t>
      </w:r>
      <w:r>
        <w:rPr/>
        <w:t>obtenir</w:t>
      </w:r>
      <w:r>
        <w:rPr>
          <w:spacing w:val="-10"/>
        </w:rPr>
        <w:t> </w:t>
      </w:r>
      <w:r>
        <w:rPr/>
        <w:t>rapidement</w:t>
      </w:r>
      <w:r>
        <w:rPr>
          <w:spacing w:val="-8"/>
        </w:rPr>
        <w:t> </w:t>
      </w:r>
      <w:r>
        <w:rPr/>
        <w:t>des</w:t>
      </w:r>
      <w:r>
        <w:rPr>
          <w:spacing w:val="-8"/>
        </w:rPr>
        <w:t> </w:t>
      </w:r>
      <w:r>
        <w:rPr/>
        <w:t>clarifications</w:t>
      </w:r>
      <w:r>
        <w:rPr>
          <w:spacing w:val="-8"/>
        </w:rPr>
        <w:t> </w:t>
      </w:r>
      <w:r>
        <w:rPr/>
        <w:t>quant</w:t>
      </w:r>
      <w:r>
        <w:rPr>
          <w:spacing w:val="-9"/>
        </w:rPr>
        <w:t> </w:t>
      </w:r>
      <w:r>
        <w:rPr/>
        <w:t>à</w:t>
      </w:r>
      <w:r>
        <w:rPr>
          <w:spacing w:val="-9"/>
        </w:rPr>
        <w:t> </w:t>
      </w:r>
      <w:r>
        <w:rPr/>
        <w:t>la</w:t>
      </w:r>
      <w:r>
        <w:rPr>
          <w:spacing w:val="-8"/>
        </w:rPr>
        <w:t> </w:t>
      </w:r>
      <w:r>
        <w:rPr/>
        <w:t>définition</w:t>
      </w:r>
      <w:r>
        <w:rPr>
          <w:spacing w:val="-9"/>
        </w:rPr>
        <w:t> </w:t>
      </w:r>
      <w:r>
        <w:rPr/>
        <w:t>de</w:t>
      </w:r>
      <w:r>
        <w:rPr>
          <w:spacing w:val="-8"/>
        </w:rPr>
        <w:t> </w:t>
      </w:r>
      <w:r>
        <w:rPr/>
        <w:t>«</w:t>
      </w:r>
      <w:r>
        <w:rPr>
          <w:spacing w:val="-8"/>
        </w:rPr>
        <w:t> </w:t>
      </w:r>
      <w:r>
        <w:rPr/>
        <w:t>haut</w:t>
      </w:r>
      <w:r>
        <w:rPr>
          <w:spacing w:val="-10"/>
        </w:rPr>
        <w:t> </w:t>
      </w:r>
      <w:r>
        <w:rPr/>
        <w:t>risque</w:t>
      </w:r>
      <w:r>
        <w:rPr>
          <w:spacing w:val="-8"/>
        </w:rPr>
        <w:t> </w:t>
      </w:r>
      <w:r>
        <w:rPr/>
        <w:t>»,</w:t>
      </w:r>
      <w:r>
        <w:rPr>
          <w:spacing w:val="-8"/>
        </w:rPr>
        <w:t> </w:t>
      </w:r>
      <w:r>
        <w:rPr/>
        <w:t>ainsi que les ajustements qui permettront d’assurer une application adéquate, équitable et cohérente de</w:t>
      </w:r>
      <w:r>
        <w:rPr>
          <w:spacing w:val="-13"/>
        </w:rPr>
        <w:t> </w:t>
      </w:r>
      <w:r>
        <w:rPr/>
        <w:t>la</w:t>
      </w:r>
      <w:r>
        <w:rPr>
          <w:spacing w:val="-14"/>
        </w:rPr>
        <w:t> </w:t>
      </w:r>
      <w:r>
        <w:rPr/>
        <w:t>vaccination</w:t>
      </w:r>
      <w:r>
        <w:rPr>
          <w:spacing w:val="-13"/>
        </w:rPr>
        <w:t> </w:t>
      </w:r>
      <w:r>
        <w:rPr/>
        <w:t>dans</w:t>
      </w:r>
      <w:r>
        <w:rPr>
          <w:spacing w:val="-14"/>
        </w:rPr>
        <w:t> </w:t>
      </w:r>
      <w:r>
        <w:rPr/>
        <w:t>le</w:t>
      </w:r>
      <w:r>
        <w:rPr>
          <w:spacing w:val="-14"/>
        </w:rPr>
        <w:t> </w:t>
      </w:r>
      <w:r>
        <w:rPr/>
        <w:t>milieu</w:t>
      </w:r>
      <w:r>
        <w:rPr>
          <w:spacing w:val="-13"/>
        </w:rPr>
        <w:t> </w:t>
      </w:r>
      <w:r>
        <w:rPr/>
        <w:t>communautaire,</w:t>
      </w:r>
      <w:r>
        <w:rPr>
          <w:spacing w:val="-13"/>
        </w:rPr>
        <w:t> </w:t>
      </w:r>
      <w:r>
        <w:rPr/>
        <w:t>tant</w:t>
      </w:r>
      <w:r>
        <w:rPr>
          <w:spacing w:val="-13"/>
        </w:rPr>
        <w:t> </w:t>
      </w:r>
      <w:r>
        <w:rPr/>
        <w:t>des</w:t>
      </w:r>
      <w:r>
        <w:rPr>
          <w:spacing w:val="-14"/>
        </w:rPr>
        <w:t> </w:t>
      </w:r>
      <w:r>
        <w:rPr/>
        <w:t>personnes</w:t>
      </w:r>
      <w:r>
        <w:rPr>
          <w:spacing w:val="-13"/>
        </w:rPr>
        <w:t> </w:t>
      </w:r>
      <w:r>
        <w:rPr/>
        <w:t>qui</w:t>
      </w:r>
      <w:r>
        <w:rPr>
          <w:spacing w:val="-13"/>
        </w:rPr>
        <w:t> </w:t>
      </w:r>
      <w:r>
        <w:rPr/>
        <w:t>y</w:t>
      </w:r>
      <w:r>
        <w:rPr>
          <w:spacing w:val="-14"/>
        </w:rPr>
        <w:t> </w:t>
      </w:r>
      <w:r>
        <w:rPr/>
        <w:t>travaillent</w:t>
      </w:r>
      <w:r>
        <w:rPr>
          <w:spacing w:val="-13"/>
        </w:rPr>
        <w:t> </w:t>
      </w:r>
      <w:r>
        <w:rPr/>
        <w:t>que</w:t>
      </w:r>
      <w:r>
        <w:rPr>
          <w:spacing w:val="-13"/>
        </w:rPr>
        <w:t> </w:t>
      </w:r>
      <w:r>
        <w:rPr/>
        <w:t>de</w:t>
      </w:r>
      <w:r>
        <w:rPr>
          <w:spacing w:val="-13"/>
        </w:rPr>
        <w:t> </w:t>
      </w:r>
      <w:r>
        <w:rPr/>
        <w:t>celles qui</w:t>
      </w:r>
      <w:r>
        <w:rPr>
          <w:spacing w:val="-12"/>
        </w:rPr>
        <w:t> </w:t>
      </w:r>
      <w:r>
        <w:rPr/>
        <w:t>les</w:t>
      </w:r>
      <w:r>
        <w:rPr>
          <w:spacing w:val="-11"/>
        </w:rPr>
        <w:t> </w:t>
      </w:r>
      <w:r>
        <w:rPr/>
        <w:t>fréquentent.</w:t>
      </w:r>
      <w:r>
        <w:rPr>
          <w:spacing w:val="-11"/>
        </w:rPr>
        <w:t> </w:t>
      </w:r>
      <w:r>
        <w:rPr/>
        <w:t>Nous</w:t>
      </w:r>
      <w:r>
        <w:rPr>
          <w:spacing w:val="-11"/>
        </w:rPr>
        <w:t> </w:t>
      </w:r>
      <w:r>
        <w:rPr/>
        <w:t>sommes</w:t>
      </w:r>
      <w:r>
        <w:rPr>
          <w:spacing w:val="-11"/>
        </w:rPr>
        <w:t> </w:t>
      </w:r>
      <w:r>
        <w:rPr/>
        <w:t>disposés</w:t>
      </w:r>
      <w:r>
        <w:rPr>
          <w:spacing w:val="-11"/>
        </w:rPr>
        <w:t> </w:t>
      </w:r>
      <w:r>
        <w:rPr/>
        <w:t>à</w:t>
      </w:r>
      <w:r>
        <w:rPr>
          <w:spacing w:val="-12"/>
        </w:rPr>
        <w:t> </w:t>
      </w:r>
      <w:r>
        <w:rPr/>
        <w:t>échanger</w:t>
      </w:r>
      <w:r>
        <w:rPr>
          <w:spacing w:val="-12"/>
        </w:rPr>
        <w:t> </w:t>
      </w:r>
      <w:r>
        <w:rPr/>
        <w:t>avec</w:t>
      </w:r>
      <w:r>
        <w:rPr>
          <w:spacing w:val="-13"/>
        </w:rPr>
        <w:t> </w:t>
      </w:r>
      <w:r>
        <w:rPr/>
        <w:t>vous</w:t>
      </w:r>
      <w:r>
        <w:rPr>
          <w:spacing w:val="-11"/>
        </w:rPr>
        <w:t> </w:t>
      </w:r>
      <w:r>
        <w:rPr/>
        <w:t>à</w:t>
      </w:r>
      <w:r>
        <w:rPr>
          <w:spacing w:val="-12"/>
        </w:rPr>
        <w:t> </w:t>
      </w:r>
      <w:r>
        <w:rPr/>
        <w:t>ce</w:t>
      </w:r>
      <w:r>
        <w:rPr>
          <w:spacing w:val="-12"/>
        </w:rPr>
        <w:t> </w:t>
      </w:r>
      <w:r>
        <w:rPr/>
        <w:t>sujet.</w:t>
      </w:r>
      <w:r>
        <w:rPr>
          <w:spacing w:val="-12"/>
        </w:rPr>
        <w:t> </w:t>
      </w:r>
      <w:r>
        <w:rPr/>
        <w:t>Veuillez</w:t>
      </w:r>
      <w:r>
        <w:rPr>
          <w:spacing w:val="-11"/>
        </w:rPr>
        <w:t> </w:t>
      </w:r>
      <w:r>
        <w:rPr/>
        <w:t>également prendre note que cette communication sera diffusée aux membres de nos</w:t>
      </w:r>
      <w:r>
        <w:rPr>
          <w:spacing w:val="-12"/>
        </w:rPr>
        <w:t> </w:t>
      </w:r>
      <w:r>
        <w:rPr/>
        <w:t>organisations.</w:t>
      </w:r>
    </w:p>
    <w:p>
      <w:pPr>
        <w:pStyle w:val="BodyText"/>
        <w:spacing w:before="2"/>
        <w:rPr>
          <w:sz w:val="19"/>
        </w:rPr>
      </w:pPr>
    </w:p>
    <w:p>
      <w:pPr>
        <w:pStyle w:val="BodyText"/>
        <w:ind w:left="200"/>
        <w:jc w:val="both"/>
      </w:pPr>
      <w:r>
        <w:rPr/>
        <w:t>Veuillez recevoir, messieurs, nos plus respectueuses salutations.</w:t>
      </w:r>
    </w:p>
    <w:p>
      <w:pPr>
        <w:spacing w:after="0"/>
        <w:jc w:val="both"/>
        <w:sectPr>
          <w:pgSz w:w="11910" w:h="16840"/>
          <w:pgMar w:top="1040" w:bottom="280" w:left="1240" w:right="1020"/>
        </w:sectPr>
      </w:pPr>
    </w:p>
    <w:p>
      <w:pPr>
        <w:tabs>
          <w:tab w:pos="4835" w:val="left" w:leader="none"/>
        </w:tabs>
        <w:spacing w:line="240" w:lineRule="auto" w:after="18"/>
        <w:ind w:left="206" w:right="0" w:firstLine="0"/>
        <w:rPr>
          <w:sz w:val="20"/>
        </w:rPr>
      </w:pPr>
      <w:r>
        <w:rPr/>
        <w:drawing>
          <wp:anchor distT="0" distB="0" distL="0" distR="0" allowOverlap="1" layoutInCell="1" locked="0" behindDoc="1" simplePos="0" relativeHeight="268427303">
            <wp:simplePos x="0" y="0"/>
            <wp:positionH relativeFrom="page">
              <wp:posOffset>982980</wp:posOffset>
            </wp:positionH>
            <wp:positionV relativeFrom="page">
              <wp:posOffset>2478036</wp:posOffset>
            </wp:positionV>
            <wp:extent cx="2002658" cy="536448"/>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7" cstate="print"/>
                    <a:stretch>
                      <a:fillRect/>
                    </a:stretch>
                  </pic:blipFill>
                  <pic:spPr>
                    <a:xfrm>
                      <a:off x="0" y="0"/>
                      <a:ext cx="2002658" cy="536448"/>
                    </a:xfrm>
                    <a:prstGeom prst="rect">
                      <a:avLst/>
                    </a:prstGeom>
                  </pic:spPr>
                </pic:pic>
              </a:graphicData>
            </a:graphic>
          </wp:anchor>
        </w:drawing>
      </w:r>
      <w:r>
        <w:rPr/>
        <w:drawing>
          <wp:anchor distT="0" distB="0" distL="0" distR="0" allowOverlap="1" layoutInCell="1" locked="0" behindDoc="1" simplePos="0" relativeHeight="268427327">
            <wp:simplePos x="0" y="0"/>
            <wp:positionH relativeFrom="page">
              <wp:posOffset>982980</wp:posOffset>
            </wp:positionH>
            <wp:positionV relativeFrom="page">
              <wp:posOffset>4420361</wp:posOffset>
            </wp:positionV>
            <wp:extent cx="1270975" cy="561594"/>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8" cstate="print"/>
                    <a:stretch>
                      <a:fillRect/>
                    </a:stretch>
                  </pic:blipFill>
                  <pic:spPr>
                    <a:xfrm>
                      <a:off x="0" y="0"/>
                      <a:ext cx="1270975" cy="561594"/>
                    </a:xfrm>
                    <a:prstGeom prst="rect">
                      <a:avLst/>
                    </a:prstGeom>
                  </pic:spPr>
                </pic:pic>
              </a:graphicData>
            </a:graphic>
          </wp:anchor>
        </w:drawing>
      </w:r>
      <w:r>
        <w:rPr/>
        <w:drawing>
          <wp:anchor distT="0" distB="0" distL="0" distR="0" allowOverlap="1" layoutInCell="1" locked="0" behindDoc="1" simplePos="0" relativeHeight="268427351">
            <wp:simplePos x="0" y="0"/>
            <wp:positionH relativeFrom="page">
              <wp:posOffset>3854508</wp:posOffset>
            </wp:positionH>
            <wp:positionV relativeFrom="page">
              <wp:posOffset>4601221</wp:posOffset>
            </wp:positionV>
            <wp:extent cx="1175476" cy="479202"/>
            <wp:effectExtent l="0" t="0" r="0" b="0"/>
            <wp:wrapNone/>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19" cstate="print"/>
                    <a:stretch>
                      <a:fillRect/>
                    </a:stretch>
                  </pic:blipFill>
                  <pic:spPr>
                    <a:xfrm>
                      <a:off x="0" y="0"/>
                      <a:ext cx="1175476" cy="479202"/>
                    </a:xfrm>
                    <a:prstGeom prst="rect">
                      <a:avLst/>
                    </a:prstGeom>
                  </pic:spPr>
                </pic:pic>
              </a:graphicData>
            </a:graphic>
          </wp:anchor>
        </w:drawing>
      </w:r>
      <w:r>
        <w:rPr>
          <w:sz w:val="20"/>
        </w:rPr>
        <w:drawing>
          <wp:inline distT="0" distB="0" distL="0" distR="0">
            <wp:extent cx="1524421" cy="457200"/>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0" cstate="print"/>
                    <a:stretch>
                      <a:fillRect/>
                    </a:stretch>
                  </pic:blipFill>
                  <pic:spPr>
                    <a:xfrm>
                      <a:off x="0" y="0"/>
                      <a:ext cx="1524421" cy="457200"/>
                    </a:xfrm>
                    <a:prstGeom prst="rect">
                      <a:avLst/>
                    </a:prstGeom>
                  </pic:spPr>
                </pic:pic>
              </a:graphicData>
            </a:graphic>
          </wp:inline>
        </w:drawing>
      </w:r>
      <w:r>
        <w:rPr>
          <w:sz w:val="20"/>
        </w:rPr>
      </w:r>
      <w:r>
        <w:rPr>
          <w:sz w:val="20"/>
        </w:rPr>
        <w:tab/>
      </w:r>
      <w:r>
        <w:rPr>
          <w:position w:val="4"/>
          <w:sz w:val="20"/>
        </w:rPr>
        <w:drawing>
          <wp:inline distT="0" distB="0" distL="0" distR="0">
            <wp:extent cx="1910246" cy="362711"/>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1" cstate="print"/>
                    <a:stretch>
                      <a:fillRect/>
                    </a:stretch>
                  </pic:blipFill>
                  <pic:spPr>
                    <a:xfrm>
                      <a:off x="0" y="0"/>
                      <a:ext cx="1910246" cy="362711"/>
                    </a:xfrm>
                    <a:prstGeom prst="rect">
                      <a:avLst/>
                    </a:prstGeom>
                  </pic:spPr>
                </pic:pic>
              </a:graphicData>
            </a:graphic>
          </wp:inline>
        </w:drawing>
      </w:r>
      <w:r>
        <w:rPr>
          <w:position w:val="4"/>
          <w:sz w:val="20"/>
        </w:rPr>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9"/>
        <w:gridCol w:w="4603"/>
      </w:tblGrid>
      <w:tr>
        <w:trPr>
          <w:trHeight w:val="2229" w:hRule="atLeast"/>
        </w:trPr>
        <w:tc>
          <w:tcPr>
            <w:tcW w:w="4599" w:type="dxa"/>
          </w:tcPr>
          <w:p>
            <w:pPr>
              <w:pStyle w:val="TableParagraph"/>
              <w:spacing w:line="276" w:lineRule="auto"/>
              <w:ind w:left="200" w:right="2532"/>
              <w:rPr>
                <w:sz w:val="22"/>
              </w:rPr>
            </w:pPr>
            <w:r>
              <w:rPr>
                <w:sz w:val="22"/>
              </w:rPr>
              <w:t>Paule Dalpond Directrice générale</w:t>
            </w:r>
          </w:p>
          <w:p>
            <w:pPr>
              <w:pStyle w:val="TableParagraph"/>
              <w:spacing w:line="276" w:lineRule="auto"/>
              <w:ind w:left="200" w:right="37"/>
              <w:rPr>
                <w:sz w:val="22"/>
              </w:rPr>
            </w:pPr>
            <w:r>
              <w:rPr>
                <w:sz w:val="22"/>
              </w:rPr>
              <w:t>Le Regroupement des auberges du cœur du Québec</w:t>
            </w:r>
          </w:p>
        </w:tc>
        <w:tc>
          <w:tcPr>
            <w:tcW w:w="4603" w:type="dxa"/>
          </w:tcPr>
          <w:p>
            <w:pPr>
              <w:pStyle w:val="TableParagraph"/>
              <w:spacing w:before="134"/>
              <w:ind w:left="109"/>
              <w:rPr>
                <w:sz w:val="22"/>
              </w:rPr>
            </w:pPr>
            <w:r>
              <w:rPr>
                <w:sz w:val="22"/>
              </w:rPr>
              <w:t>Véronique Vézina</w:t>
            </w:r>
          </w:p>
          <w:p>
            <w:pPr>
              <w:pStyle w:val="TableParagraph"/>
              <w:spacing w:line="276" w:lineRule="auto" w:before="38"/>
              <w:ind w:left="109" w:right="1171"/>
              <w:rPr>
                <w:sz w:val="22"/>
              </w:rPr>
            </w:pPr>
            <w:r>
              <w:rPr>
                <w:sz w:val="22"/>
              </w:rPr>
              <w:t>Directrice générale par intérim Confédération des organismes de personnes handicapées</w:t>
            </w:r>
          </w:p>
        </w:tc>
      </w:tr>
      <w:tr>
        <w:trPr>
          <w:trHeight w:val="3194" w:hRule="atLeast"/>
        </w:trPr>
        <w:tc>
          <w:tcPr>
            <w:tcW w:w="4599" w:type="dxa"/>
          </w:tcPr>
          <w:p>
            <w:pPr>
              <w:pStyle w:val="TableParagraph"/>
              <w:rPr>
                <w:sz w:val="24"/>
              </w:rPr>
            </w:pPr>
          </w:p>
          <w:p>
            <w:pPr>
              <w:pStyle w:val="TableParagraph"/>
              <w:rPr>
                <w:sz w:val="24"/>
              </w:rPr>
            </w:pPr>
          </w:p>
          <w:p>
            <w:pPr>
              <w:pStyle w:val="TableParagraph"/>
              <w:rPr>
                <w:sz w:val="24"/>
              </w:rPr>
            </w:pPr>
          </w:p>
          <w:p>
            <w:pPr>
              <w:pStyle w:val="TableParagraph"/>
              <w:spacing w:line="276" w:lineRule="auto" w:before="139"/>
              <w:ind w:left="200" w:right="3119"/>
              <w:rPr>
                <w:sz w:val="22"/>
              </w:rPr>
            </w:pPr>
            <w:r>
              <w:rPr>
                <w:sz w:val="22"/>
              </w:rPr>
              <w:t>Charles Rice Président</w:t>
            </w:r>
          </w:p>
          <w:p>
            <w:pPr>
              <w:pStyle w:val="TableParagraph"/>
              <w:spacing w:before="1"/>
              <w:ind w:left="200"/>
              <w:rPr>
                <w:sz w:val="22"/>
              </w:rPr>
            </w:pPr>
            <w:r>
              <w:rPr>
                <w:sz w:val="22"/>
              </w:rPr>
              <w:t>Réseau communautaire en santé mentale</w:t>
            </w:r>
          </w:p>
        </w:tc>
        <w:tc>
          <w:tcPr>
            <w:tcW w:w="4603" w:type="dxa"/>
          </w:tcPr>
          <w:p>
            <w:pPr>
              <w:pStyle w:val="TableParagraph"/>
              <w:spacing w:before="9"/>
              <w:rPr>
                <w:sz w:val="3"/>
              </w:rPr>
            </w:pPr>
          </w:p>
          <w:p>
            <w:pPr>
              <w:pStyle w:val="TableParagraph"/>
              <w:ind w:left="214"/>
              <w:rPr>
                <w:sz w:val="20"/>
              </w:rPr>
            </w:pPr>
            <w:r>
              <w:rPr>
                <w:sz w:val="20"/>
              </w:rPr>
              <w:drawing>
                <wp:inline distT="0" distB="0" distL="0" distR="0">
                  <wp:extent cx="1810268" cy="335184"/>
                  <wp:effectExtent l="0" t="0" r="0" b="0"/>
                  <wp:docPr id="29" name="image15.png" descr="Une image contenant texte  Description générée automatiquement"/>
                  <wp:cNvGraphicFramePr>
                    <a:graphicFrameLocks noChangeAspect="1"/>
                  </wp:cNvGraphicFramePr>
                  <a:graphic>
                    <a:graphicData uri="http://schemas.openxmlformats.org/drawingml/2006/picture">
                      <pic:pic>
                        <pic:nvPicPr>
                          <pic:cNvPr id="30" name="image15.png"/>
                          <pic:cNvPicPr/>
                        </pic:nvPicPr>
                        <pic:blipFill>
                          <a:blip r:embed="rId22" cstate="print"/>
                          <a:stretch>
                            <a:fillRect/>
                          </a:stretch>
                        </pic:blipFill>
                        <pic:spPr>
                          <a:xfrm>
                            <a:off x="0" y="0"/>
                            <a:ext cx="1810268" cy="335184"/>
                          </a:xfrm>
                          <a:prstGeom prst="rect">
                            <a:avLst/>
                          </a:prstGeom>
                        </pic:spPr>
                      </pic:pic>
                    </a:graphicData>
                  </a:graphic>
                </wp:inline>
              </w:drawing>
            </w:r>
            <w:r>
              <w:rPr>
                <w:sz w:val="20"/>
              </w:rPr>
            </w:r>
          </w:p>
          <w:p>
            <w:pPr>
              <w:pStyle w:val="TableParagraph"/>
              <w:rPr>
                <w:sz w:val="34"/>
              </w:rPr>
            </w:pPr>
          </w:p>
          <w:p>
            <w:pPr>
              <w:pStyle w:val="TableParagraph"/>
              <w:spacing w:line="276" w:lineRule="auto"/>
              <w:ind w:left="109" w:right="2627"/>
              <w:rPr>
                <w:sz w:val="22"/>
              </w:rPr>
            </w:pPr>
            <w:r>
              <w:rPr>
                <w:sz w:val="22"/>
              </w:rPr>
              <w:t>Anik Larose Directrice générale</w:t>
            </w:r>
          </w:p>
          <w:p>
            <w:pPr>
              <w:pStyle w:val="TableParagraph"/>
              <w:spacing w:line="276" w:lineRule="auto"/>
              <w:ind w:left="109" w:right="963"/>
              <w:rPr>
                <w:sz w:val="22"/>
              </w:rPr>
            </w:pPr>
            <w:r>
              <w:rPr>
                <w:sz w:val="22"/>
              </w:rPr>
              <w:t>Société québécoise de la déficience intellectuelle</w:t>
            </w:r>
          </w:p>
        </w:tc>
      </w:tr>
      <w:tr>
        <w:trPr>
          <w:trHeight w:val="4230" w:hRule="atLeast"/>
        </w:trPr>
        <w:tc>
          <w:tcPr>
            <w:tcW w:w="4599" w:type="dxa"/>
          </w:tcPr>
          <w:p>
            <w:pPr>
              <w:pStyle w:val="TableParagraph"/>
              <w:rPr>
                <w:sz w:val="24"/>
              </w:rPr>
            </w:pPr>
          </w:p>
          <w:p>
            <w:pPr>
              <w:pStyle w:val="TableParagraph"/>
              <w:rPr>
                <w:sz w:val="24"/>
              </w:rPr>
            </w:pPr>
          </w:p>
          <w:p>
            <w:pPr>
              <w:pStyle w:val="TableParagraph"/>
              <w:rPr>
                <w:sz w:val="24"/>
              </w:rPr>
            </w:pPr>
          </w:p>
          <w:p>
            <w:pPr>
              <w:pStyle w:val="TableParagraph"/>
              <w:spacing w:before="6"/>
              <w:rPr>
                <w:sz w:val="28"/>
              </w:rPr>
            </w:pPr>
          </w:p>
          <w:p>
            <w:pPr>
              <w:pStyle w:val="TableParagraph"/>
              <w:spacing w:line="276" w:lineRule="auto" w:before="1"/>
              <w:ind w:left="200" w:right="2691"/>
              <w:rPr>
                <w:sz w:val="22"/>
              </w:rPr>
            </w:pPr>
            <w:r>
              <w:rPr>
                <w:sz w:val="22"/>
              </w:rPr>
              <w:t>Audrey Sirois Agente de liaison</w:t>
            </w:r>
          </w:p>
          <w:p>
            <w:pPr>
              <w:pStyle w:val="TableParagraph"/>
              <w:spacing w:line="276" w:lineRule="auto"/>
              <w:ind w:left="200" w:right="294"/>
              <w:rPr>
                <w:sz w:val="22"/>
              </w:rPr>
            </w:pPr>
            <w:r>
              <w:rPr>
                <w:sz w:val="22"/>
              </w:rPr>
              <w:t>Regroupement des organismes communautaires québécois pour le travail de rue et L’Association des Travailleurs et Travailleuses de Rue du Québec</w:t>
            </w:r>
          </w:p>
        </w:tc>
        <w:tc>
          <w:tcPr>
            <w:tcW w:w="4603" w:type="dxa"/>
          </w:tcPr>
          <w:p>
            <w:pPr>
              <w:pStyle w:val="TableParagraph"/>
              <w:rPr>
                <w:sz w:val="24"/>
              </w:rPr>
            </w:pPr>
          </w:p>
          <w:p>
            <w:pPr>
              <w:pStyle w:val="TableParagraph"/>
              <w:rPr>
                <w:sz w:val="24"/>
              </w:rPr>
            </w:pPr>
          </w:p>
          <w:p>
            <w:pPr>
              <w:pStyle w:val="TableParagraph"/>
              <w:rPr>
                <w:sz w:val="24"/>
              </w:rPr>
            </w:pPr>
          </w:p>
          <w:p>
            <w:pPr>
              <w:pStyle w:val="TableParagraph"/>
              <w:spacing w:before="6"/>
              <w:rPr>
                <w:sz w:val="23"/>
              </w:rPr>
            </w:pPr>
          </w:p>
          <w:p>
            <w:pPr>
              <w:pStyle w:val="TableParagraph"/>
              <w:ind w:left="109" w:right="2493"/>
              <w:rPr>
                <w:sz w:val="22"/>
              </w:rPr>
            </w:pPr>
            <w:r>
              <w:rPr>
                <w:sz w:val="22"/>
              </w:rPr>
              <w:t>Boromir Vallée Dore Coordonnateur</w:t>
            </w:r>
          </w:p>
          <w:p>
            <w:pPr>
              <w:pStyle w:val="TableParagraph"/>
              <w:spacing w:before="1"/>
              <w:ind w:left="109"/>
              <w:rPr>
                <w:sz w:val="22"/>
              </w:rPr>
            </w:pPr>
            <w:r>
              <w:rPr>
                <w:sz w:val="22"/>
              </w:rPr>
              <w:t>Réseau SOLIDARITÉ itinérance du Québec</w:t>
            </w:r>
          </w:p>
        </w:tc>
      </w:tr>
      <w:tr>
        <w:trPr>
          <w:trHeight w:val="2576" w:hRule="atLeast"/>
        </w:trPr>
        <w:tc>
          <w:tcPr>
            <w:tcW w:w="4599" w:type="dxa"/>
          </w:tcPr>
          <w:p>
            <w:pPr>
              <w:pStyle w:val="TableParagraph"/>
              <w:spacing w:before="10"/>
              <w:rPr>
                <w:sz w:val="15"/>
              </w:rPr>
            </w:pPr>
          </w:p>
          <w:p>
            <w:pPr>
              <w:pStyle w:val="TableParagraph"/>
              <w:ind w:left="200"/>
              <w:rPr>
                <w:sz w:val="20"/>
              </w:rPr>
            </w:pPr>
            <w:r>
              <w:rPr>
                <w:sz w:val="20"/>
              </w:rPr>
              <w:drawing>
                <wp:inline distT="0" distB="0" distL="0" distR="0">
                  <wp:extent cx="2105179" cy="787907"/>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3" cstate="print"/>
                          <a:stretch>
                            <a:fillRect/>
                          </a:stretch>
                        </pic:blipFill>
                        <pic:spPr>
                          <a:xfrm>
                            <a:off x="0" y="0"/>
                            <a:ext cx="2105179" cy="787907"/>
                          </a:xfrm>
                          <a:prstGeom prst="rect">
                            <a:avLst/>
                          </a:prstGeom>
                        </pic:spPr>
                      </pic:pic>
                    </a:graphicData>
                  </a:graphic>
                </wp:inline>
              </w:drawing>
            </w:r>
            <w:r>
              <w:rPr>
                <w:sz w:val="20"/>
              </w:rPr>
            </w:r>
          </w:p>
          <w:p>
            <w:pPr>
              <w:pStyle w:val="TableParagraph"/>
              <w:spacing w:line="276" w:lineRule="auto" w:before="27"/>
              <w:ind w:left="200" w:right="2691"/>
              <w:rPr>
                <w:sz w:val="22"/>
              </w:rPr>
            </w:pPr>
            <w:r>
              <w:rPr>
                <w:sz w:val="22"/>
              </w:rPr>
              <w:t>Vincent Marcoux Directeur général</w:t>
            </w:r>
          </w:p>
          <w:p>
            <w:pPr>
              <w:pStyle w:val="TableParagraph"/>
              <w:ind w:left="200"/>
              <w:rPr>
                <w:sz w:val="22"/>
              </w:rPr>
            </w:pPr>
            <w:r>
              <w:rPr>
                <w:sz w:val="22"/>
              </w:rPr>
              <w:t>Association Québécoise des centres</w:t>
            </w:r>
          </w:p>
          <w:p>
            <w:pPr>
              <w:pStyle w:val="TableParagraph"/>
              <w:spacing w:line="233" w:lineRule="exact" w:before="37"/>
              <w:ind w:left="200"/>
              <w:rPr>
                <w:sz w:val="22"/>
              </w:rPr>
            </w:pPr>
            <w:r>
              <w:rPr>
                <w:sz w:val="22"/>
              </w:rPr>
              <w:t>d’intervention en dépendance</w:t>
            </w:r>
          </w:p>
        </w:tc>
        <w:tc>
          <w:tcPr>
            <w:tcW w:w="4603" w:type="dxa"/>
          </w:tcPr>
          <w:p>
            <w:pPr>
              <w:pStyle w:val="TableParagraph"/>
              <w:spacing w:before="6" w:after="1"/>
              <w:rPr>
                <w:sz w:val="12"/>
              </w:rPr>
            </w:pPr>
          </w:p>
          <w:p>
            <w:pPr>
              <w:pStyle w:val="TableParagraph"/>
              <w:ind w:left="110"/>
              <w:rPr>
                <w:sz w:val="20"/>
              </w:rPr>
            </w:pPr>
            <w:r>
              <w:rPr>
                <w:sz w:val="20"/>
              </w:rPr>
              <w:drawing>
                <wp:inline distT="0" distB="0" distL="0" distR="0">
                  <wp:extent cx="2225199" cy="589788"/>
                  <wp:effectExtent l="0" t="0" r="0" b="0"/>
                  <wp:docPr id="33" name="image17.jpeg" descr=""/>
                  <wp:cNvGraphicFramePr>
                    <a:graphicFrameLocks noChangeAspect="1"/>
                  </wp:cNvGraphicFramePr>
                  <a:graphic>
                    <a:graphicData uri="http://schemas.openxmlformats.org/drawingml/2006/picture">
                      <pic:pic>
                        <pic:nvPicPr>
                          <pic:cNvPr id="34" name="image17.jpeg"/>
                          <pic:cNvPicPr/>
                        </pic:nvPicPr>
                        <pic:blipFill>
                          <a:blip r:embed="rId24" cstate="print"/>
                          <a:stretch>
                            <a:fillRect/>
                          </a:stretch>
                        </pic:blipFill>
                        <pic:spPr>
                          <a:xfrm>
                            <a:off x="0" y="0"/>
                            <a:ext cx="2225199" cy="589788"/>
                          </a:xfrm>
                          <a:prstGeom prst="rect">
                            <a:avLst/>
                          </a:prstGeom>
                        </pic:spPr>
                      </pic:pic>
                    </a:graphicData>
                  </a:graphic>
                </wp:inline>
              </w:drawing>
            </w:r>
            <w:r>
              <w:rPr>
                <w:sz w:val="20"/>
              </w:rPr>
            </w:r>
          </w:p>
          <w:p>
            <w:pPr>
              <w:pStyle w:val="TableParagraph"/>
              <w:spacing w:before="7"/>
              <w:rPr>
                <w:sz w:val="24"/>
              </w:rPr>
            </w:pPr>
          </w:p>
          <w:p>
            <w:pPr>
              <w:pStyle w:val="TableParagraph"/>
              <w:ind w:left="109" w:right="2603"/>
              <w:rPr>
                <w:sz w:val="22"/>
              </w:rPr>
            </w:pPr>
            <w:r>
              <w:rPr>
                <w:sz w:val="22"/>
              </w:rPr>
              <w:t>Mercédez Roberge Coordonnatrice</w:t>
            </w:r>
          </w:p>
          <w:p>
            <w:pPr>
              <w:pStyle w:val="TableParagraph"/>
              <w:tabs>
                <w:tab w:pos="925" w:val="left" w:leader="none"/>
                <w:tab w:pos="1544" w:val="left" w:leader="none"/>
                <w:tab w:pos="3288" w:val="left" w:leader="none"/>
              </w:tabs>
              <w:ind w:left="109" w:right="197"/>
              <w:rPr>
                <w:sz w:val="22"/>
              </w:rPr>
            </w:pPr>
            <w:r>
              <w:rPr>
                <w:sz w:val="22"/>
              </w:rPr>
              <w:t>Table</w:t>
              <w:tab/>
              <w:t>des</w:t>
              <w:tab/>
              <w:t>regroupements</w:t>
              <w:tab/>
              <w:t>provinciaux d’organismes communautaires et</w:t>
            </w:r>
            <w:r>
              <w:rPr>
                <w:spacing w:val="-20"/>
                <w:sz w:val="22"/>
              </w:rPr>
              <w:t> </w:t>
            </w:r>
            <w:r>
              <w:rPr>
                <w:sz w:val="22"/>
              </w:rPr>
              <w:t>bénévoles</w:t>
            </w:r>
          </w:p>
        </w:tc>
      </w:tr>
    </w:tbl>
    <w:p>
      <w:pPr>
        <w:spacing w:after="0"/>
        <w:rPr>
          <w:sz w:val="22"/>
        </w:rPr>
        <w:sectPr>
          <w:pgSz w:w="11910" w:h="16840"/>
          <w:pgMar w:top="1120" w:bottom="280" w:left="1240" w:right="1020"/>
        </w:sectPr>
      </w:pPr>
    </w:p>
    <w:p>
      <w:pPr>
        <w:pStyle w:val="BodyText"/>
        <w:spacing w:line="276" w:lineRule="auto" w:before="81"/>
        <w:ind w:left="200" w:right="51"/>
      </w:pPr>
      <w:r>
        <w:rPr/>
        <w:t>Les signataires de cette communication représentent des milliers d’organismes communautaires œuvrant au quotidien auprès de populations ayant des profils de grande vulnérabilité.</w:t>
      </w:r>
    </w:p>
    <w:p>
      <w:pPr>
        <w:pStyle w:val="BodyText"/>
        <w:rPr>
          <w:sz w:val="20"/>
        </w:rPr>
      </w:pPr>
    </w:p>
    <w:p>
      <w:pPr>
        <w:pStyle w:val="BodyText"/>
        <w:rPr>
          <w:sz w:val="20"/>
        </w:rPr>
      </w:pPr>
    </w:p>
    <w:p>
      <w:pPr>
        <w:pStyle w:val="BodyText"/>
        <w:spacing w:before="7"/>
        <w:rPr>
          <w:sz w:val="23"/>
        </w:rPr>
      </w:pP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5"/>
        <w:gridCol w:w="1579"/>
        <w:gridCol w:w="1845"/>
        <w:gridCol w:w="1458"/>
      </w:tblGrid>
      <w:tr>
        <w:trPr>
          <w:trHeight w:val="706" w:hRule="atLeast"/>
        </w:trPr>
        <w:tc>
          <w:tcPr>
            <w:tcW w:w="4155" w:type="dxa"/>
            <w:tcBorders>
              <w:top w:val="single" w:sz="8" w:space="0" w:color="000000"/>
              <w:bottom w:val="single" w:sz="8" w:space="0" w:color="000000"/>
            </w:tcBorders>
          </w:tcPr>
          <w:p>
            <w:pPr>
              <w:pStyle w:val="TableParagraph"/>
              <w:spacing w:before="100"/>
              <w:ind w:left="106"/>
              <w:rPr>
                <w:b/>
                <w:sz w:val="22"/>
              </w:rPr>
            </w:pPr>
            <w:r>
              <w:rPr>
                <w:b/>
                <w:sz w:val="22"/>
              </w:rPr>
              <w:t>Nom</w:t>
            </w:r>
          </w:p>
        </w:tc>
        <w:tc>
          <w:tcPr>
            <w:tcW w:w="1579" w:type="dxa"/>
            <w:tcBorders>
              <w:top w:val="single" w:sz="8" w:space="0" w:color="000000"/>
              <w:bottom w:val="single" w:sz="8" w:space="0" w:color="000000"/>
            </w:tcBorders>
          </w:tcPr>
          <w:p>
            <w:pPr>
              <w:pStyle w:val="TableParagraph"/>
              <w:spacing w:before="100"/>
              <w:ind w:left="209" w:right="371"/>
              <w:rPr>
                <w:b/>
                <w:sz w:val="22"/>
              </w:rPr>
            </w:pPr>
            <w:r>
              <w:rPr>
                <w:b/>
                <w:sz w:val="22"/>
              </w:rPr>
              <w:t>Groupes membres</w:t>
            </w:r>
          </w:p>
        </w:tc>
        <w:tc>
          <w:tcPr>
            <w:tcW w:w="1845" w:type="dxa"/>
            <w:tcBorders>
              <w:top w:val="single" w:sz="8" w:space="0" w:color="000000"/>
              <w:bottom w:val="single" w:sz="8" w:space="0" w:color="000000"/>
            </w:tcBorders>
          </w:tcPr>
          <w:p>
            <w:pPr>
              <w:pStyle w:val="TableParagraph"/>
              <w:spacing w:before="100"/>
              <w:ind w:left="99" w:right="173"/>
              <w:rPr>
                <w:b/>
                <w:sz w:val="22"/>
              </w:rPr>
            </w:pPr>
            <w:r>
              <w:rPr>
                <w:b/>
                <w:sz w:val="22"/>
              </w:rPr>
              <w:t>Regroupement membres</w:t>
            </w:r>
          </w:p>
        </w:tc>
        <w:tc>
          <w:tcPr>
            <w:tcW w:w="1458" w:type="dxa"/>
            <w:tcBorders>
              <w:top w:val="single" w:sz="8" w:space="0" w:color="000000"/>
              <w:bottom w:val="single" w:sz="8" w:space="0" w:color="000000"/>
            </w:tcBorders>
          </w:tcPr>
          <w:p>
            <w:pPr>
              <w:pStyle w:val="TableParagraph"/>
              <w:spacing w:before="100"/>
              <w:ind w:left="191"/>
              <w:rPr>
                <w:b/>
                <w:sz w:val="22"/>
              </w:rPr>
            </w:pPr>
            <w:r>
              <w:rPr>
                <w:b/>
                <w:sz w:val="22"/>
              </w:rPr>
              <w:t>Individu.es</w:t>
            </w:r>
          </w:p>
        </w:tc>
      </w:tr>
      <w:tr>
        <w:trPr>
          <w:trHeight w:val="706" w:hRule="atLeast"/>
        </w:trPr>
        <w:tc>
          <w:tcPr>
            <w:tcW w:w="4155" w:type="dxa"/>
            <w:tcBorders>
              <w:top w:val="single" w:sz="8" w:space="0" w:color="000000"/>
              <w:bottom w:val="single" w:sz="8" w:space="0" w:color="000000"/>
            </w:tcBorders>
          </w:tcPr>
          <w:p>
            <w:pPr>
              <w:pStyle w:val="TableParagraph"/>
              <w:spacing w:before="100"/>
              <w:ind w:left="106" w:right="824"/>
              <w:rPr>
                <w:sz w:val="22"/>
              </w:rPr>
            </w:pPr>
            <w:r>
              <w:rPr>
                <w:sz w:val="22"/>
              </w:rPr>
              <w:t>L’Association des Travailleurs et Travailleuses de Rue du Québec</w:t>
            </w:r>
          </w:p>
        </w:tc>
        <w:tc>
          <w:tcPr>
            <w:tcW w:w="1579" w:type="dxa"/>
            <w:tcBorders>
              <w:top w:val="single" w:sz="8" w:space="0" w:color="000000"/>
              <w:bottom w:val="single" w:sz="8" w:space="0" w:color="000000"/>
            </w:tcBorders>
          </w:tcPr>
          <w:p>
            <w:pPr>
              <w:pStyle w:val="TableParagraph"/>
              <w:rPr>
                <w:rFonts w:ascii="Times New Roman"/>
                <w:sz w:val="20"/>
              </w:rPr>
            </w:pPr>
          </w:p>
        </w:tc>
        <w:tc>
          <w:tcPr>
            <w:tcW w:w="1845" w:type="dxa"/>
            <w:tcBorders>
              <w:top w:val="single" w:sz="8" w:space="0" w:color="000000"/>
              <w:bottom w:val="single" w:sz="8" w:space="0" w:color="000000"/>
            </w:tcBorders>
          </w:tcPr>
          <w:p>
            <w:pPr>
              <w:pStyle w:val="TableParagraph"/>
              <w:rPr>
                <w:rFonts w:ascii="Times New Roman"/>
                <w:sz w:val="20"/>
              </w:rPr>
            </w:pPr>
          </w:p>
        </w:tc>
        <w:tc>
          <w:tcPr>
            <w:tcW w:w="1458" w:type="dxa"/>
            <w:tcBorders>
              <w:top w:val="single" w:sz="8" w:space="0" w:color="000000"/>
              <w:bottom w:val="single" w:sz="8" w:space="0" w:color="000000"/>
            </w:tcBorders>
          </w:tcPr>
          <w:p>
            <w:pPr>
              <w:pStyle w:val="TableParagraph"/>
              <w:spacing w:before="100"/>
              <w:ind w:left="191"/>
              <w:rPr>
                <w:sz w:val="22"/>
              </w:rPr>
            </w:pPr>
            <w:r>
              <w:rPr>
                <w:sz w:val="22"/>
              </w:rPr>
              <w:t>300</w:t>
            </w:r>
          </w:p>
        </w:tc>
      </w:tr>
      <w:tr>
        <w:trPr>
          <w:trHeight w:val="705" w:hRule="atLeast"/>
        </w:trPr>
        <w:tc>
          <w:tcPr>
            <w:tcW w:w="4155" w:type="dxa"/>
            <w:tcBorders>
              <w:top w:val="single" w:sz="8" w:space="0" w:color="000000"/>
              <w:bottom w:val="single" w:sz="8" w:space="0" w:color="000000"/>
            </w:tcBorders>
          </w:tcPr>
          <w:p>
            <w:pPr>
              <w:pStyle w:val="TableParagraph"/>
              <w:spacing w:before="100"/>
              <w:ind w:left="106" w:right="470"/>
              <w:rPr>
                <w:sz w:val="22"/>
              </w:rPr>
            </w:pPr>
            <w:r>
              <w:rPr>
                <w:sz w:val="22"/>
              </w:rPr>
              <w:t>Association Québécoise des centres d’intervention en dépendance</w:t>
            </w:r>
          </w:p>
        </w:tc>
        <w:tc>
          <w:tcPr>
            <w:tcW w:w="1579" w:type="dxa"/>
            <w:tcBorders>
              <w:top w:val="single" w:sz="8" w:space="0" w:color="000000"/>
              <w:bottom w:val="single" w:sz="8" w:space="0" w:color="000000"/>
            </w:tcBorders>
          </w:tcPr>
          <w:p>
            <w:pPr>
              <w:pStyle w:val="TableParagraph"/>
              <w:spacing w:before="100"/>
              <w:ind w:left="209"/>
              <w:rPr>
                <w:sz w:val="22"/>
              </w:rPr>
            </w:pPr>
            <w:r>
              <w:rPr>
                <w:sz w:val="22"/>
              </w:rPr>
              <w:t>120</w:t>
            </w:r>
          </w:p>
        </w:tc>
        <w:tc>
          <w:tcPr>
            <w:tcW w:w="1845" w:type="dxa"/>
            <w:tcBorders>
              <w:top w:val="single" w:sz="8" w:space="0" w:color="000000"/>
              <w:bottom w:val="single" w:sz="8" w:space="0" w:color="000000"/>
            </w:tcBorders>
          </w:tcPr>
          <w:p>
            <w:pPr>
              <w:pStyle w:val="TableParagraph"/>
              <w:rPr>
                <w:rFonts w:ascii="Times New Roman"/>
                <w:sz w:val="20"/>
              </w:rPr>
            </w:pPr>
          </w:p>
        </w:tc>
        <w:tc>
          <w:tcPr>
            <w:tcW w:w="1458" w:type="dxa"/>
            <w:tcBorders>
              <w:top w:val="single" w:sz="8" w:space="0" w:color="000000"/>
              <w:bottom w:val="single" w:sz="8" w:space="0" w:color="000000"/>
            </w:tcBorders>
          </w:tcPr>
          <w:p>
            <w:pPr>
              <w:pStyle w:val="TableParagraph"/>
              <w:rPr>
                <w:rFonts w:ascii="Times New Roman"/>
                <w:sz w:val="20"/>
              </w:rPr>
            </w:pPr>
          </w:p>
        </w:tc>
      </w:tr>
      <w:tr>
        <w:trPr>
          <w:trHeight w:val="705" w:hRule="atLeast"/>
        </w:trPr>
        <w:tc>
          <w:tcPr>
            <w:tcW w:w="4155" w:type="dxa"/>
            <w:tcBorders>
              <w:top w:val="single" w:sz="8" w:space="0" w:color="000000"/>
              <w:bottom w:val="single" w:sz="8" w:space="0" w:color="000000"/>
            </w:tcBorders>
          </w:tcPr>
          <w:p>
            <w:pPr>
              <w:pStyle w:val="TableParagraph"/>
              <w:spacing w:before="100"/>
              <w:ind w:left="106" w:right="726"/>
              <w:rPr>
                <w:sz w:val="22"/>
              </w:rPr>
            </w:pPr>
            <w:r>
              <w:rPr>
                <w:sz w:val="22"/>
              </w:rPr>
              <w:t>Confédération des organismes de personnes handicapées</w:t>
            </w:r>
          </w:p>
        </w:tc>
        <w:tc>
          <w:tcPr>
            <w:tcW w:w="1579" w:type="dxa"/>
            <w:tcBorders>
              <w:top w:val="single" w:sz="8" w:space="0" w:color="000000"/>
              <w:bottom w:val="single" w:sz="8" w:space="0" w:color="000000"/>
            </w:tcBorders>
          </w:tcPr>
          <w:p>
            <w:pPr>
              <w:pStyle w:val="TableParagraph"/>
              <w:spacing w:before="100"/>
              <w:ind w:left="209"/>
              <w:rPr>
                <w:sz w:val="22"/>
              </w:rPr>
            </w:pPr>
            <w:r>
              <w:rPr>
                <w:sz w:val="22"/>
              </w:rPr>
              <w:t>350</w:t>
            </w:r>
          </w:p>
        </w:tc>
        <w:tc>
          <w:tcPr>
            <w:tcW w:w="1845" w:type="dxa"/>
            <w:tcBorders>
              <w:top w:val="single" w:sz="8" w:space="0" w:color="000000"/>
              <w:bottom w:val="single" w:sz="8" w:space="0" w:color="000000"/>
            </w:tcBorders>
          </w:tcPr>
          <w:p>
            <w:pPr>
              <w:pStyle w:val="TableParagraph"/>
              <w:spacing w:before="100"/>
              <w:ind w:left="99"/>
              <w:rPr>
                <w:sz w:val="22"/>
              </w:rPr>
            </w:pPr>
            <w:r>
              <w:rPr>
                <w:sz w:val="22"/>
              </w:rPr>
              <w:t>45</w:t>
            </w:r>
          </w:p>
        </w:tc>
        <w:tc>
          <w:tcPr>
            <w:tcW w:w="1458" w:type="dxa"/>
            <w:tcBorders>
              <w:top w:val="single" w:sz="8" w:space="0" w:color="000000"/>
              <w:bottom w:val="single" w:sz="8" w:space="0" w:color="000000"/>
            </w:tcBorders>
          </w:tcPr>
          <w:p>
            <w:pPr>
              <w:pStyle w:val="TableParagraph"/>
              <w:rPr>
                <w:rFonts w:ascii="Times New Roman"/>
                <w:sz w:val="20"/>
              </w:rPr>
            </w:pPr>
          </w:p>
        </w:tc>
      </w:tr>
      <w:tr>
        <w:trPr>
          <w:trHeight w:val="452" w:hRule="atLeast"/>
        </w:trPr>
        <w:tc>
          <w:tcPr>
            <w:tcW w:w="4155" w:type="dxa"/>
            <w:tcBorders>
              <w:top w:val="single" w:sz="8" w:space="0" w:color="000000"/>
              <w:bottom w:val="single" w:sz="8" w:space="0" w:color="000000"/>
            </w:tcBorders>
          </w:tcPr>
          <w:p>
            <w:pPr>
              <w:pStyle w:val="TableParagraph"/>
              <w:spacing w:before="99"/>
              <w:ind w:left="106"/>
              <w:rPr>
                <w:sz w:val="22"/>
              </w:rPr>
            </w:pPr>
            <w:r>
              <w:rPr>
                <w:sz w:val="22"/>
              </w:rPr>
              <w:t>Regroupement des Auberges du Coeur</w:t>
            </w:r>
          </w:p>
        </w:tc>
        <w:tc>
          <w:tcPr>
            <w:tcW w:w="1579" w:type="dxa"/>
            <w:tcBorders>
              <w:top w:val="single" w:sz="8" w:space="0" w:color="000000"/>
              <w:bottom w:val="single" w:sz="8" w:space="0" w:color="000000"/>
            </w:tcBorders>
          </w:tcPr>
          <w:p>
            <w:pPr>
              <w:pStyle w:val="TableParagraph"/>
              <w:spacing w:before="99"/>
              <w:ind w:left="209"/>
              <w:rPr>
                <w:sz w:val="22"/>
              </w:rPr>
            </w:pPr>
            <w:r>
              <w:rPr>
                <w:sz w:val="22"/>
              </w:rPr>
              <w:t>30</w:t>
            </w:r>
          </w:p>
        </w:tc>
        <w:tc>
          <w:tcPr>
            <w:tcW w:w="1845" w:type="dxa"/>
            <w:tcBorders>
              <w:top w:val="single" w:sz="8" w:space="0" w:color="000000"/>
              <w:bottom w:val="single" w:sz="8" w:space="0" w:color="000000"/>
            </w:tcBorders>
          </w:tcPr>
          <w:p>
            <w:pPr>
              <w:pStyle w:val="TableParagraph"/>
              <w:spacing w:before="99"/>
              <w:ind w:left="99"/>
              <w:rPr>
                <w:sz w:val="22"/>
              </w:rPr>
            </w:pPr>
            <w:r>
              <w:rPr>
                <w:w w:val="99"/>
                <w:sz w:val="22"/>
              </w:rPr>
              <w:t>1</w:t>
            </w:r>
          </w:p>
        </w:tc>
        <w:tc>
          <w:tcPr>
            <w:tcW w:w="1458" w:type="dxa"/>
            <w:tcBorders>
              <w:top w:val="single" w:sz="8" w:space="0" w:color="000000"/>
              <w:bottom w:val="single" w:sz="8" w:space="0" w:color="000000"/>
            </w:tcBorders>
          </w:tcPr>
          <w:p>
            <w:pPr>
              <w:pStyle w:val="TableParagraph"/>
              <w:rPr>
                <w:rFonts w:ascii="Times New Roman"/>
                <w:sz w:val="20"/>
              </w:rPr>
            </w:pPr>
          </w:p>
        </w:tc>
      </w:tr>
      <w:tr>
        <w:trPr>
          <w:trHeight w:val="959" w:hRule="atLeast"/>
        </w:trPr>
        <w:tc>
          <w:tcPr>
            <w:tcW w:w="4155" w:type="dxa"/>
            <w:tcBorders>
              <w:top w:val="single" w:sz="8" w:space="0" w:color="000000"/>
              <w:bottom w:val="single" w:sz="8" w:space="0" w:color="000000"/>
            </w:tcBorders>
          </w:tcPr>
          <w:p>
            <w:pPr>
              <w:pStyle w:val="TableParagraph"/>
              <w:spacing w:before="100"/>
              <w:ind w:left="106" w:right="604"/>
              <w:rPr>
                <w:sz w:val="22"/>
              </w:rPr>
            </w:pPr>
            <w:r>
              <w:rPr>
                <w:sz w:val="22"/>
              </w:rPr>
              <w:t>Regroupement des organismes communautaires québécois pour le travail de rue</w:t>
            </w:r>
          </w:p>
        </w:tc>
        <w:tc>
          <w:tcPr>
            <w:tcW w:w="1579" w:type="dxa"/>
            <w:tcBorders>
              <w:top w:val="single" w:sz="8" w:space="0" w:color="000000"/>
              <w:bottom w:val="single" w:sz="8" w:space="0" w:color="000000"/>
            </w:tcBorders>
          </w:tcPr>
          <w:p>
            <w:pPr>
              <w:pStyle w:val="TableParagraph"/>
              <w:spacing w:before="100"/>
              <w:ind w:left="209"/>
              <w:rPr>
                <w:sz w:val="22"/>
              </w:rPr>
            </w:pPr>
            <w:r>
              <w:rPr>
                <w:sz w:val="22"/>
              </w:rPr>
              <w:t>40</w:t>
            </w:r>
          </w:p>
        </w:tc>
        <w:tc>
          <w:tcPr>
            <w:tcW w:w="1845" w:type="dxa"/>
            <w:tcBorders>
              <w:top w:val="single" w:sz="8" w:space="0" w:color="000000"/>
              <w:bottom w:val="single" w:sz="8" w:space="0" w:color="000000"/>
            </w:tcBorders>
          </w:tcPr>
          <w:p>
            <w:pPr>
              <w:pStyle w:val="TableParagraph"/>
              <w:rPr>
                <w:rFonts w:ascii="Times New Roman"/>
                <w:sz w:val="20"/>
              </w:rPr>
            </w:pPr>
          </w:p>
        </w:tc>
        <w:tc>
          <w:tcPr>
            <w:tcW w:w="1458" w:type="dxa"/>
            <w:tcBorders>
              <w:top w:val="single" w:sz="8" w:space="0" w:color="000000"/>
              <w:bottom w:val="single" w:sz="8" w:space="0" w:color="000000"/>
            </w:tcBorders>
          </w:tcPr>
          <w:p>
            <w:pPr>
              <w:pStyle w:val="TableParagraph"/>
              <w:spacing w:before="100"/>
              <w:ind w:left="191"/>
              <w:rPr>
                <w:sz w:val="22"/>
              </w:rPr>
            </w:pPr>
            <w:r>
              <w:rPr>
                <w:w w:val="99"/>
                <w:sz w:val="22"/>
              </w:rPr>
              <w:t>5</w:t>
            </w:r>
          </w:p>
        </w:tc>
      </w:tr>
      <w:tr>
        <w:trPr>
          <w:trHeight w:val="781" w:hRule="atLeast"/>
        </w:trPr>
        <w:tc>
          <w:tcPr>
            <w:tcW w:w="4155" w:type="dxa"/>
            <w:tcBorders>
              <w:top w:val="single" w:sz="8" w:space="0" w:color="000000"/>
              <w:bottom w:val="single" w:sz="8" w:space="0" w:color="000000"/>
            </w:tcBorders>
          </w:tcPr>
          <w:p>
            <w:pPr>
              <w:pStyle w:val="TableParagraph"/>
              <w:spacing w:line="276" w:lineRule="auto" w:before="100"/>
              <w:ind w:left="106" w:right="788"/>
              <w:rPr>
                <w:sz w:val="22"/>
              </w:rPr>
            </w:pPr>
            <w:r>
              <w:rPr>
                <w:sz w:val="22"/>
              </w:rPr>
              <w:t>Réseau communautaire en santé mentale</w:t>
            </w:r>
          </w:p>
        </w:tc>
        <w:tc>
          <w:tcPr>
            <w:tcW w:w="1579" w:type="dxa"/>
            <w:tcBorders>
              <w:top w:val="single" w:sz="8" w:space="0" w:color="000000"/>
              <w:bottom w:val="single" w:sz="8" w:space="0" w:color="000000"/>
            </w:tcBorders>
          </w:tcPr>
          <w:p>
            <w:pPr>
              <w:pStyle w:val="TableParagraph"/>
              <w:spacing w:before="99"/>
              <w:ind w:left="209"/>
              <w:rPr>
                <w:sz w:val="22"/>
              </w:rPr>
            </w:pPr>
            <w:r>
              <w:rPr>
                <w:sz w:val="22"/>
              </w:rPr>
              <w:t>300</w:t>
            </w:r>
          </w:p>
        </w:tc>
        <w:tc>
          <w:tcPr>
            <w:tcW w:w="1845" w:type="dxa"/>
            <w:tcBorders>
              <w:top w:val="single" w:sz="8" w:space="0" w:color="000000"/>
              <w:bottom w:val="single" w:sz="8" w:space="0" w:color="000000"/>
            </w:tcBorders>
          </w:tcPr>
          <w:p>
            <w:pPr>
              <w:pStyle w:val="TableParagraph"/>
              <w:spacing w:before="99"/>
              <w:ind w:left="99"/>
              <w:rPr>
                <w:sz w:val="22"/>
              </w:rPr>
            </w:pPr>
            <w:r>
              <w:rPr>
                <w:sz w:val="22"/>
              </w:rPr>
              <w:t>12</w:t>
            </w:r>
          </w:p>
        </w:tc>
        <w:tc>
          <w:tcPr>
            <w:tcW w:w="1458" w:type="dxa"/>
            <w:tcBorders>
              <w:top w:val="single" w:sz="8" w:space="0" w:color="000000"/>
              <w:bottom w:val="single" w:sz="8" w:space="0" w:color="000000"/>
            </w:tcBorders>
          </w:tcPr>
          <w:p>
            <w:pPr>
              <w:pStyle w:val="TableParagraph"/>
              <w:rPr>
                <w:rFonts w:ascii="Times New Roman"/>
                <w:sz w:val="20"/>
              </w:rPr>
            </w:pPr>
          </w:p>
        </w:tc>
      </w:tr>
      <w:tr>
        <w:trPr>
          <w:trHeight w:val="706" w:hRule="atLeast"/>
        </w:trPr>
        <w:tc>
          <w:tcPr>
            <w:tcW w:w="4155" w:type="dxa"/>
            <w:tcBorders>
              <w:top w:val="single" w:sz="8" w:space="0" w:color="000000"/>
              <w:bottom w:val="single" w:sz="8" w:space="0" w:color="000000"/>
            </w:tcBorders>
          </w:tcPr>
          <w:p>
            <w:pPr>
              <w:pStyle w:val="TableParagraph"/>
              <w:spacing w:before="100"/>
              <w:ind w:left="106" w:right="580"/>
              <w:rPr>
                <w:sz w:val="22"/>
              </w:rPr>
            </w:pPr>
            <w:r>
              <w:rPr>
                <w:sz w:val="22"/>
              </w:rPr>
              <w:t>Réseau SOLIDARITÉ itinérance du Québec</w:t>
            </w:r>
          </w:p>
        </w:tc>
        <w:tc>
          <w:tcPr>
            <w:tcW w:w="1579" w:type="dxa"/>
            <w:tcBorders>
              <w:top w:val="single" w:sz="8" w:space="0" w:color="000000"/>
              <w:bottom w:val="single" w:sz="8" w:space="0" w:color="000000"/>
            </w:tcBorders>
          </w:tcPr>
          <w:p>
            <w:pPr>
              <w:pStyle w:val="TableParagraph"/>
              <w:spacing w:before="100"/>
              <w:ind w:left="209"/>
              <w:rPr>
                <w:sz w:val="22"/>
              </w:rPr>
            </w:pPr>
            <w:r>
              <w:rPr>
                <w:sz w:val="22"/>
              </w:rPr>
              <w:t>330</w:t>
            </w:r>
          </w:p>
        </w:tc>
        <w:tc>
          <w:tcPr>
            <w:tcW w:w="1845" w:type="dxa"/>
            <w:tcBorders>
              <w:top w:val="single" w:sz="8" w:space="0" w:color="000000"/>
              <w:bottom w:val="single" w:sz="8" w:space="0" w:color="000000"/>
            </w:tcBorders>
          </w:tcPr>
          <w:p>
            <w:pPr>
              <w:pStyle w:val="TableParagraph"/>
              <w:spacing w:before="100"/>
              <w:ind w:left="99"/>
              <w:rPr>
                <w:sz w:val="22"/>
              </w:rPr>
            </w:pPr>
            <w:r>
              <w:rPr>
                <w:sz w:val="22"/>
              </w:rPr>
              <w:t>15</w:t>
            </w:r>
          </w:p>
        </w:tc>
        <w:tc>
          <w:tcPr>
            <w:tcW w:w="1458" w:type="dxa"/>
            <w:tcBorders>
              <w:top w:val="single" w:sz="8" w:space="0" w:color="000000"/>
              <w:bottom w:val="single" w:sz="8" w:space="0" w:color="000000"/>
            </w:tcBorders>
          </w:tcPr>
          <w:p>
            <w:pPr>
              <w:pStyle w:val="TableParagraph"/>
              <w:rPr>
                <w:rFonts w:ascii="Times New Roman"/>
                <w:sz w:val="20"/>
              </w:rPr>
            </w:pPr>
          </w:p>
        </w:tc>
      </w:tr>
      <w:tr>
        <w:trPr>
          <w:trHeight w:val="781" w:hRule="atLeast"/>
        </w:trPr>
        <w:tc>
          <w:tcPr>
            <w:tcW w:w="4155" w:type="dxa"/>
            <w:tcBorders>
              <w:top w:val="single" w:sz="8" w:space="0" w:color="000000"/>
              <w:bottom w:val="single" w:sz="8" w:space="0" w:color="000000"/>
            </w:tcBorders>
          </w:tcPr>
          <w:p>
            <w:pPr>
              <w:pStyle w:val="TableParagraph"/>
              <w:spacing w:line="276" w:lineRule="auto" w:before="100"/>
              <w:ind w:left="106" w:right="518"/>
              <w:rPr>
                <w:sz w:val="22"/>
              </w:rPr>
            </w:pPr>
            <w:r>
              <w:rPr>
                <w:sz w:val="22"/>
              </w:rPr>
              <w:t>Société québécoise de la déficience intellectuelle</w:t>
            </w:r>
          </w:p>
        </w:tc>
        <w:tc>
          <w:tcPr>
            <w:tcW w:w="1579" w:type="dxa"/>
            <w:tcBorders>
              <w:top w:val="single" w:sz="8" w:space="0" w:color="000000"/>
              <w:bottom w:val="single" w:sz="8" w:space="0" w:color="000000"/>
            </w:tcBorders>
          </w:tcPr>
          <w:p>
            <w:pPr>
              <w:pStyle w:val="TableParagraph"/>
              <w:spacing w:before="100"/>
              <w:ind w:left="209"/>
              <w:rPr>
                <w:sz w:val="22"/>
              </w:rPr>
            </w:pPr>
            <w:r>
              <w:rPr>
                <w:sz w:val="22"/>
              </w:rPr>
              <w:t>94</w:t>
            </w:r>
          </w:p>
        </w:tc>
        <w:tc>
          <w:tcPr>
            <w:tcW w:w="1845" w:type="dxa"/>
            <w:tcBorders>
              <w:top w:val="single" w:sz="8" w:space="0" w:color="000000"/>
              <w:bottom w:val="single" w:sz="8" w:space="0" w:color="000000"/>
            </w:tcBorders>
          </w:tcPr>
          <w:p>
            <w:pPr>
              <w:pStyle w:val="TableParagraph"/>
              <w:rPr>
                <w:rFonts w:ascii="Times New Roman"/>
                <w:sz w:val="20"/>
              </w:rPr>
            </w:pPr>
          </w:p>
        </w:tc>
        <w:tc>
          <w:tcPr>
            <w:tcW w:w="1458" w:type="dxa"/>
            <w:tcBorders>
              <w:top w:val="single" w:sz="8" w:space="0" w:color="000000"/>
              <w:bottom w:val="single" w:sz="8" w:space="0" w:color="000000"/>
            </w:tcBorders>
          </w:tcPr>
          <w:p>
            <w:pPr>
              <w:pStyle w:val="TableParagraph"/>
              <w:rPr>
                <w:rFonts w:ascii="Times New Roman"/>
                <w:sz w:val="20"/>
              </w:rPr>
            </w:pPr>
          </w:p>
        </w:tc>
      </w:tr>
      <w:tr>
        <w:trPr>
          <w:trHeight w:val="1073" w:hRule="atLeast"/>
        </w:trPr>
        <w:tc>
          <w:tcPr>
            <w:tcW w:w="4155" w:type="dxa"/>
            <w:tcBorders>
              <w:top w:val="single" w:sz="8" w:space="0" w:color="000000"/>
              <w:bottom w:val="single" w:sz="8" w:space="0" w:color="000000"/>
            </w:tcBorders>
          </w:tcPr>
          <w:p>
            <w:pPr>
              <w:pStyle w:val="TableParagraph"/>
              <w:spacing w:line="276" w:lineRule="auto" w:before="100"/>
              <w:ind w:left="106" w:right="348"/>
              <w:rPr>
                <w:sz w:val="22"/>
              </w:rPr>
            </w:pPr>
            <w:r>
              <w:rPr>
                <w:sz w:val="22"/>
              </w:rPr>
              <w:t>Table des regroupements provinciaux d’organismes communautaires et bénévoles</w:t>
            </w:r>
          </w:p>
        </w:tc>
        <w:tc>
          <w:tcPr>
            <w:tcW w:w="1579" w:type="dxa"/>
            <w:tcBorders>
              <w:top w:val="single" w:sz="8" w:space="0" w:color="000000"/>
              <w:bottom w:val="single" w:sz="8" w:space="0" w:color="000000"/>
            </w:tcBorders>
          </w:tcPr>
          <w:p>
            <w:pPr>
              <w:pStyle w:val="TableParagraph"/>
              <w:spacing w:before="100"/>
              <w:ind w:left="209"/>
              <w:rPr>
                <w:sz w:val="22"/>
              </w:rPr>
            </w:pPr>
            <w:r>
              <w:rPr>
                <w:sz w:val="22"/>
              </w:rPr>
              <w:t>3000 environ</w:t>
            </w:r>
          </w:p>
        </w:tc>
        <w:tc>
          <w:tcPr>
            <w:tcW w:w="1845" w:type="dxa"/>
            <w:tcBorders>
              <w:top w:val="single" w:sz="8" w:space="0" w:color="000000"/>
              <w:bottom w:val="single" w:sz="8" w:space="0" w:color="000000"/>
            </w:tcBorders>
          </w:tcPr>
          <w:p>
            <w:pPr>
              <w:pStyle w:val="TableParagraph"/>
              <w:spacing w:before="100"/>
              <w:ind w:left="99"/>
              <w:rPr>
                <w:sz w:val="22"/>
              </w:rPr>
            </w:pPr>
            <w:r>
              <w:rPr>
                <w:sz w:val="22"/>
              </w:rPr>
              <w:t>45</w:t>
            </w:r>
          </w:p>
        </w:tc>
        <w:tc>
          <w:tcPr>
            <w:tcW w:w="1458" w:type="dxa"/>
            <w:tcBorders>
              <w:top w:val="single" w:sz="8" w:space="0" w:color="000000"/>
              <w:bottom w:val="single" w:sz="8" w:space="0" w:color="000000"/>
            </w:tcBorders>
          </w:tcPr>
          <w:p>
            <w:pPr>
              <w:pStyle w:val="TableParagraph"/>
              <w:rPr>
                <w:rFonts w:ascii="Times New Roman"/>
                <w:sz w:val="20"/>
              </w:rPr>
            </w:pPr>
          </w:p>
        </w:tc>
      </w:tr>
    </w:tbl>
    <w:sectPr>
      <w:pgSz w:w="11910" w:h="16840"/>
      <w:pgMar w:top="1040" w:bottom="280" w:left="12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200"/>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hyperlink" Target="mailto:ministre.delegue@msss.gouv.qc.ca" TargetMode="External"/><Relationship Id="rId15" Type="http://schemas.openxmlformats.org/officeDocument/2006/relationships/hyperlink" Target="mailto:horacio.arruda@msss.gouv.qc.ca" TargetMode="External"/><Relationship Id="rId16" Type="http://schemas.openxmlformats.org/officeDocument/2006/relationships/hyperlink" Target="mailto:daniel.pare@msss.gouv.qc.ca" TargetMode="External"/><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Vézina</dc:creator>
  <dcterms:created xsi:type="dcterms:W3CDTF">2021-05-30T18:22:17Z</dcterms:created>
  <dcterms:modified xsi:type="dcterms:W3CDTF">2021-05-30T18:22:17Z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Acrobat PDFMaker 20 pour Word</vt:lpwstr>
  </property>
  <property fmtid="{D5CDD505-2E9C-101B-9397-08002B2CF9AE}" pid="4" name="LastSaved">
    <vt:filetime>2021-05-30T00:00:00Z</vt:filetime>
  </property>
</Properties>
</file>