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08FDF" w14:textId="740804C1" w:rsidR="007C61FC" w:rsidRPr="00F7259A" w:rsidRDefault="00005414" w:rsidP="00F7259A">
      <w:pPr>
        <w:spacing w:before="500" w:after="500" w:line="300" w:lineRule="auto"/>
      </w:pPr>
      <w:r w:rsidRPr="00F7259A">
        <w:rPr>
          <w:noProof/>
          <w:lang w:eastAsia="fr-CA"/>
        </w:rPr>
        <w:drawing>
          <wp:inline distT="0" distB="0" distL="0" distR="0" wp14:anchorId="49771E8A" wp14:editId="79DB7AEE">
            <wp:extent cx="4810125" cy="1228725"/>
            <wp:effectExtent l="0" t="0" r="9525" b="9525"/>
            <wp:docPr id="1" name="Image 1" title="Logo de la COPHAN"/>
            <wp:cNvGraphicFramePr/>
            <a:graphic xmlns:a="http://schemas.openxmlformats.org/drawingml/2006/main">
              <a:graphicData uri="http://schemas.openxmlformats.org/drawingml/2006/picture">
                <pic:pic xmlns:pic="http://schemas.openxmlformats.org/drawingml/2006/picture">
                  <pic:nvPicPr>
                    <pic:cNvPr id="1" name="Image 1" title="Logo de la COPHAN"/>
                    <pic:cNvPicPr/>
                  </pic:nvPicPr>
                  <pic:blipFill>
                    <a:blip r:embed="rId6">
                      <a:extLst>
                        <a:ext uri="{28A0092B-C50C-407E-A947-70E740481C1C}">
                          <a14:useLocalDpi xmlns:a14="http://schemas.microsoft.com/office/drawing/2010/main" val="0"/>
                        </a:ext>
                      </a:extLst>
                    </a:blip>
                    <a:srcRect l="8199" t="12056" r="7666" b="10841"/>
                    <a:stretch>
                      <a:fillRect/>
                    </a:stretch>
                  </pic:blipFill>
                  <pic:spPr bwMode="auto">
                    <a:xfrm>
                      <a:off x="0" y="0"/>
                      <a:ext cx="4810125" cy="1228725"/>
                    </a:xfrm>
                    <a:prstGeom prst="rect">
                      <a:avLst/>
                    </a:prstGeom>
                    <a:noFill/>
                    <a:ln>
                      <a:noFill/>
                    </a:ln>
                  </pic:spPr>
                </pic:pic>
              </a:graphicData>
            </a:graphic>
          </wp:inline>
        </w:drawing>
      </w:r>
    </w:p>
    <w:p w14:paraId="73ADFACE" w14:textId="77777777" w:rsidR="00173C3D" w:rsidRDefault="00173C3D" w:rsidP="00F7259A">
      <w:pPr>
        <w:pStyle w:val="Titre1"/>
        <w:rPr>
          <w:rFonts w:ascii="Arial" w:hAnsi="Arial"/>
          <w:color w:val="000000" w:themeColor="text1"/>
          <w:sz w:val="44"/>
        </w:rPr>
      </w:pPr>
    </w:p>
    <w:p w14:paraId="44188432" w14:textId="77777777" w:rsidR="00173C3D" w:rsidRDefault="00173C3D" w:rsidP="00173C3D">
      <w:pPr>
        <w:spacing w:after="0" w:line="276" w:lineRule="auto"/>
        <w:rPr>
          <w:rFonts w:eastAsia="Arial" w:cs="Arial"/>
          <w:sz w:val="28"/>
          <w:szCs w:val="28"/>
        </w:rPr>
      </w:pPr>
    </w:p>
    <w:p w14:paraId="7B94554A" w14:textId="77777777" w:rsidR="00173C3D" w:rsidRDefault="00173C3D" w:rsidP="00173C3D">
      <w:pPr>
        <w:spacing w:after="0" w:line="276" w:lineRule="auto"/>
        <w:rPr>
          <w:rFonts w:eastAsia="Arial" w:cs="Arial"/>
          <w:sz w:val="28"/>
          <w:szCs w:val="28"/>
        </w:rPr>
      </w:pPr>
    </w:p>
    <w:p w14:paraId="0ADD5976" w14:textId="6001F37F" w:rsidR="00F7259A" w:rsidRDefault="00173C3D" w:rsidP="00173C3D">
      <w:pPr>
        <w:pStyle w:val="Titre1"/>
        <w:spacing w:before="0"/>
        <w:rPr>
          <w:rFonts w:ascii="Arial" w:hAnsi="Arial"/>
          <w:color w:val="000000" w:themeColor="text1"/>
          <w:sz w:val="44"/>
        </w:rPr>
      </w:pPr>
      <w:bookmarkStart w:id="0" w:name="_Toc58577979"/>
      <w:bookmarkStart w:id="1" w:name="_Toc58586400"/>
      <w:bookmarkStart w:id="2" w:name="_Toc58588019"/>
      <w:r>
        <w:rPr>
          <w:rFonts w:ascii="Arial" w:hAnsi="Arial"/>
          <w:color w:val="000000" w:themeColor="text1"/>
          <w:sz w:val="44"/>
        </w:rPr>
        <w:t>Avis sur les d</w:t>
      </w:r>
      <w:r w:rsidR="004E2DC3" w:rsidRPr="00F7259A">
        <w:rPr>
          <w:rFonts w:ascii="Arial" w:hAnsi="Arial"/>
          <w:color w:val="000000" w:themeColor="text1"/>
          <w:sz w:val="44"/>
        </w:rPr>
        <w:t>élais additionnels demandés par certains fournisseurs de transport pour l’application de certains articles du RTAPH</w:t>
      </w:r>
      <w:bookmarkEnd w:id="0"/>
      <w:bookmarkEnd w:id="1"/>
      <w:bookmarkEnd w:id="2"/>
    </w:p>
    <w:p w14:paraId="2CDC69CE" w14:textId="6883E474" w:rsidR="00173C3D" w:rsidRDefault="00173C3D" w:rsidP="00173C3D">
      <w:pPr>
        <w:pStyle w:val="Titre1"/>
        <w:spacing w:before="0"/>
        <w:rPr>
          <w:rFonts w:ascii="Arial" w:hAnsi="Arial"/>
          <w:color w:val="000000" w:themeColor="text1"/>
          <w:sz w:val="44"/>
        </w:rPr>
      </w:pPr>
      <w:bookmarkStart w:id="3" w:name="_Toc58577980"/>
      <w:bookmarkStart w:id="4" w:name="_Toc58586401"/>
      <w:bookmarkStart w:id="5" w:name="_Toc58588020"/>
      <w:r>
        <w:rPr>
          <w:rFonts w:ascii="Arial" w:hAnsi="Arial"/>
          <w:color w:val="000000" w:themeColor="text1"/>
          <w:sz w:val="44"/>
        </w:rPr>
        <w:t>___________________________________</w:t>
      </w:r>
      <w:bookmarkEnd w:id="3"/>
      <w:bookmarkEnd w:id="4"/>
      <w:bookmarkEnd w:id="5"/>
    </w:p>
    <w:p w14:paraId="3DE3EA70" w14:textId="77777777" w:rsidR="00173C3D" w:rsidRDefault="00173C3D" w:rsidP="00173C3D">
      <w:pPr>
        <w:pStyle w:val="Titre1"/>
        <w:rPr>
          <w:rFonts w:ascii="Arial" w:hAnsi="Arial"/>
          <w:color w:val="000000" w:themeColor="text1"/>
          <w:sz w:val="44"/>
        </w:rPr>
      </w:pPr>
    </w:p>
    <w:p w14:paraId="6195B604" w14:textId="1DB97500" w:rsidR="00173C3D" w:rsidRDefault="00173C3D" w:rsidP="00173C3D">
      <w:pPr>
        <w:pStyle w:val="Titre1"/>
        <w:rPr>
          <w:rFonts w:ascii="Arial" w:hAnsi="Arial"/>
          <w:color w:val="000000" w:themeColor="text1"/>
          <w:sz w:val="40"/>
          <w:szCs w:val="40"/>
        </w:rPr>
      </w:pPr>
      <w:bookmarkStart w:id="6" w:name="_Toc58577981"/>
      <w:bookmarkStart w:id="7" w:name="_Toc58586402"/>
      <w:bookmarkStart w:id="8" w:name="_Toc58588021"/>
      <w:r>
        <w:rPr>
          <w:rFonts w:ascii="Arial" w:hAnsi="Arial"/>
          <w:color w:val="000000" w:themeColor="text1"/>
          <w:sz w:val="40"/>
          <w:szCs w:val="40"/>
        </w:rPr>
        <w:t>Remis par la C</w:t>
      </w:r>
      <w:r w:rsidRPr="00173C3D">
        <w:rPr>
          <w:rFonts w:ascii="Arial" w:hAnsi="Arial"/>
          <w:color w:val="000000" w:themeColor="text1"/>
          <w:sz w:val="40"/>
          <w:szCs w:val="40"/>
        </w:rPr>
        <w:t>onfédération des organismes de personnes handicapées du Québec (COPHAN)</w:t>
      </w:r>
      <w:r>
        <w:rPr>
          <w:rFonts w:ascii="Arial" w:hAnsi="Arial"/>
          <w:color w:val="000000" w:themeColor="text1"/>
          <w:sz w:val="40"/>
          <w:szCs w:val="40"/>
        </w:rPr>
        <w:t xml:space="preserve"> à l’Office des transports du Canada</w:t>
      </w:r>
      <w:bookmarkEnd w:id="6"/>
      <w:bookmarkEnd w:id="7"/>
      <w:bookmarkEnd w:id="8"/>
      <w:r w:rsidR="002536FE">
        <w:rPr>
          <w:rFonts w:ascii="Arial" w:hAnsi="Arial"/>
          <w:color w:val="000000" w:themeColor="text1"/>
          <w:sz w:val="40"/>
          <w:szCs w:val="40"/>
        </w:rPr>
        <w:t xml:space="preserve"> (OTC)</w:t>
      </w:r>
    </w:p>
    <w:p w14:paraId="260DBB69" w14:textId="77777777" w:rsidR="00173C3D" w:rsidRPr="00173C3D" w:rsidRDefault="00173C3D" w:rsidP="00173C3D"/>
    <w:p w14:paraId="68ABF536" w14:textId="77777777" w:rsidR="00173C3D" w:rsidRDefault="00173C3D"/>
    <w:p w14:paraId="1C02A3FA" w14:textId="77777777" w:rsidR="00173C3D" w:rsidRDefault="00173C3D">
      <w:pPr>
        <w:rPr>
          <w:sz w:val="44"/>
          <w:szCs w:val="44"/>
        </w:rPr>
      </w:pPr>
    </w:p>
    <w:p w14:paraId="7DCAFD33" w14:textId="77777777" w:rsidR="00173C3D" w:rsidRDefault="00173C3D">
      <w:pPr>
        <w:rPr>
          <w:sz w:val="44"/>
          <w:szCs w:val="44"/>
        </w:rPr>
      </w:pPr>
    </w:p>
    <w:p w14:paraId="12636557" w14:textId="75F15CD1" w:rsidR="00173C3D" w:rsidRPr="00173C3D" w:rsidRDefault="00173C3D">
      <w:pPr>
        <w:rPr>
          <w:szCs w:val="32"/>
        </w:rPr>
      </w:pPr>
      <w:r w:rsidRPr="00173C3D">
        <w:rPr>
          <w:szCs w:val="32"/>
        </w:rPr>
        <w:t>11 décembre 2020</w:t>
      </w:r>
      <w:r w:rsidRPr="00173C3D">
        <w:rPr>
          <w:szCs w:val="32"/>
        </w:rPr>
        <w:br w:type="page"/>
      </w:r>
    </w:p>
    <w:p w14:paraId="3698C21F" w14:textId="77777777" w:rsidR="00173C3D" w:rsidRDefault="00173C3D" w:rsidP="00173C3D">
      <w:pPr>
        <w:spacing w:line="276" w:lineRule="auto"/>
        <w:rPr>
          <w:rFonts w:eastAsia="Arial" w:cs="Arial"/>
          <w:b/>
        </w:rPr>
      </w:pPr>
    </w:p>
    <w:p w14:paraId="6DEB9B0B" w14:textId="77777777" w:rsidR="00173C3D" w:rsidRDefault="00173C3D" w:rsidP="00173C3D">
      <w:pPr>
        <w:spacing w:line="276" w:lineRule="auto"/>
        <w:rPr>
          <w:rFonts w:eastAsia="Arial" w:cs="Arial"/>
          <w:b/>
        </w:rPr>
      </w:pPr>
    </w:p>
    <w:p w14:paraId="7F5CC3F2" w14:textId="77777777" w:rsidR="00173C3D" w:rsidRDefault="00173C3D" w:rsidP="00173C3D">
      <w:pPr>
        <w:spacing w:line="276" w:lineRule="auto"/>
        <w:rPr>
          <w:rFonts w:eastAsia="Arial" w:cs="Arial"/>
          <w:b/>
        </w:rPr>
      </w:pPr>
    </w:p>
    <w:p w14:paraId="4DEFBC88" w14:textId="76AFB0BB" w:rsidR="00173C3D" w:rsidRDefault="00173C3D" w:rsidP="003D33C0">
      <w:pPr>
        <w:spacing w:after="0" w:line="276" w:lineRule="auto"/>
        <w:rPr>
          <w:rFonts w:eastAsia="Arial" w:cs="Arial"/>
          <w:sz w:val="24"/>
          <w:szCs w:val="24"/>
        </w:rPr>
      </w:pPr>
      <w:r>
        <w:rPr>
          <w:noProof/>
        </w:rPr>
        <w:drawing>
          <wp:anchor distT="0" distB="0" distL="114300" distR="114300" simplePos="0" relativeHeight="251661312" behindDoc="0" locked="0" layoutInCell="1" allowOverlap="1" wp14:anchorId="40FB9C4B" wp14:editId="0FA7B8E6">
            <wp:simplePos x="0" y="0"/>
            <wp:positionH relativeFrom="margin">
              <wp:align>right</wp:align>
            </wp:positionH>
            <wp:positionV relativeFrom="margin">
              <wp:align>top</wp:align>
            </wp:positionV>
            <wp:extent cx="2522220" cy="1009015"/>
            <wp:effectExtent l="0" t="0" r="0" b="635"/>
            <wp:wrapSquare wrapText="bothSides"/>
            <wp:docPr id="2" name="Image 2" descr="Logo COP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Logo COPH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2220" cy="1009015"/>
                    </a:xfrm>
                    <a:prstGeom prst="rect">
                      <a:avLst/>
                    </a:prstGeom>
                    <a:noFill/>
                  </pic:spPr>
                </pic:pic>
              </a:graphicData>
            </a:graphic>
            <wp14:sizeRelH relativeFrom="page">
              <wp14:pctWidth>0</wp14:pctWidth>
            </wp14:sizeRelH>
            <wp14:sizeRelV relativeFrom="page">
              <wp14:pctHeight>0</wp14:pctHeight>
            </wp14:sizeRelV>
          </wp:anchor>
        </w:drawing>
      </w:r>
      <w:r>
        <w:rPr>
          <w:rFonts w:eastAsia="Arial" w:cs="Arial"/>
          <w:b/>
        </w:rPr>
        <w:t>R</w:t>
      </w:r>
      <w:r>
        <w:rPr>
          <w:rFonts w:eastAsia="Arial" w:cs="Arial"/>
          <w:b/>
          <w:smallCaps/>
          <w:sz w:val="28"/>
          <w:szCs w:val="28"/>
        </w:rPr>
        <w:t>édaction</w:t>
      </w:r>
    </w:p>
    <w:p w14:paraId="0120872D" w14:textId="3DA5CD1E" w:rsidR="00173C3D" w:rsidRDefault="00173C3D" w:rsidP="00173C3D">
      <w:pPr>
        <w:spacing w:after="0" w:line="276" w:lineRule="auto"/>
        <w:rPr>
          <w:rFonts w:eastAsia="Arial" w:cs="Arial"/>
          <w:sz w:val="24"/>
          <w:szCs w:val="24"/>
        </w:rPr>
      </w:pPr>
      <w:r>
        <w:rPr>
          <w:rFonts w:eastAsia="Arial" w:cs="Arial"/>
          <w:sz w:val="24"/>
          <w:szCs w:val="24"/>
        </w:rPr>
        <w:t>Jérôme Plante, responsable de dossiers</w:t>
      </w:r>
    </w:p>
    <w:p w14:paraId="57EE6DB0" w14:textId="77777777" w:rsidR="00173C3D" w:rsidRDefault="00173C3D" w:rsidP="00173C3D">
      <w:pPr>
        <w:spacing w:after="0" w:line="276" w:lineRule="auto"/>
        <w:rPr>
          <w:rFonts w:eastAsia="Arial" w:cs="Arial"/>
          <w:sz w:val="24"/>
          <w:szCs w:val="24"/>
        </w:rPr>
      </w:pPr>
    </w:p>
    <w:p w14:paraId="70F2D672" w14:textId="77777777" w:rsidR="00173C3D" w:rsidRDefault="00173C3D" w:rsidP="00173C3D">
      <w:pPr>
        <w:spacing w:after="0" w:line="276" w:lineRule="auto"/>
        <w:rPr>
          <w:rFonts w:eastAsia="Arial" w:cs="Arial"/>
          <w:sz w:val="24"/>
          <w:szCs w:val="24"/>
        </w:rPr>
      </w:pPr>
    </w:p>
    <w:p w14:paraId="0CC406FB" w14:textId="79F40352" w:rsidR="00173C3D" w:rsidRDefault="00173C3D" w:rsidP="00173C3D">
      <w:pPr>
        <w:spacing w:after="0" w:line="276" w:lineRule="auto"/>
        <w:rPr>
          <w:rFonts w:eastAsia="Arial" w:cs="Arial"/>
          <w:b/>
          <w:bCs/>
          <w:caps/>
          <w:sz w:val="24"/>
          <w:szCs w:val="24"/>
        </w:rPr>
      </w:pPr>
      <w:r>
        <w:rPr>
          <w:rFonts w:eastAsia="Arial" w:cs="Arial"/>
          <w:b/>
          <w:bCs/>
          <w:caps/>
          <w:sz w:val="24"/>
          <w:szCs w:val="24"/>
        </w:rPr>
        <w:t>Sous la supervision DE</w:t>
      </w:r>
    </w:p>
    <w:p w14:paraId="21304785" w14:textId="1E5AB80E" w:rsidR="002B7A12" w:rsidRPr="002B7A12" w:rsidRDefault="002B7A12" w:rsidP="00173C3D">
      <w:pPr>
        <w:spacing w:after="0" w:line="276" w:lineRule="auto"/>
        <w:rPr>
          <w:rFonts w:eastAsia="Arial" w:cs="Arial"/>
          <w:sz w:val="24"/>
          <w:szCs w:val="24"/>
        </w:rPr>
      </w:pPr>
      <w:r w:rsidRPr="002B7A12">
        <w:rPr>
          <w:rFonts w:eastAsia="Arial" w:cs="Arial"/>
          <w:sz w:val="24"/>
          <w:szCs w:val="24"/>
        </w:rPr>
        <w:t xml:space="preserve">Véronique Vézina, </w:t>
      </w:r>
      <w:r>
        <w:rPr>
          <w:rFonts w:eastAsia="Arial" w:cs="Arial"/>
          <w:sz w:val="24"/>
          <w:szCs w:val="24"/>
        </w:rPr>
        <w:t>directrice générale par intérim</w:t>
      </w:r>
    </w:p>
    <w:p w14:paraId="574C74B1" w14:textId="77777777" w:rsidR="00173C3D" w:rsidRDefault="00173C3D" w:rsidP="00173C3D">
      <w:pPr>
        <w:spacing w:after="0" w:line="276" w:lineRule="auto"/>
        <w:rPr>
          <w:rFonts w:eastAsia="Arial" w:cs="Arial"/>
          <w:sz w:val="24"/>
          <w:szCs w:val="24"/>
        </w:rPr>
      </w:pPr>
    </w:p>
    <w:p w14:paraId="2B259C45" w14:textId="77777777" w:rsidR="00173C3D" w:rsidRDefault="00173C3D" w:rsidP="00173C3D">
      <w:pPr>
        <w:spacing w:after="0" w:line="276" w:lineRule="auto"/>
        <w:rPr>
          <w:rFonts w:eastAsia="Arial" w:cs="Arial"/>
          <w:b/>
          <w:smallCaps/>
          <w:sz w:val="28"/>
          <w:szCs w:val="28"/>
        </w:rPr>
      </w:pPr>
    </w:p>
    <w:p w14:paraId="684511EE" w14:textId="4A4B38B5" w:rsidR="00173C3D" w:rsidRDefault="00173C3D" w:rsidP="00173C3D">
      <w:pPr>
        <w:spacing w:after="0" w:line="276" w:lineRule="auto"/>
        <w:rPr>
          <w:rFonts w:eastAsia="Arial" w:cs="Arial"/>
          <w:b/>
          <w:smallCaps/>
          <w:sz w:val="28"/>
          <w:szCs w:val="28"/>
        </w:rPr>
      </w:pPr>
      <w:r>
        <w:rPr>
          <w:rFonts w:eastAsia="Arial" w:cs="Arial"/>
          <w:b/>
          <w:smallCaps/>
          <w:sz w:val="28"/>
          <w:szCs w:val="28"/>
        </w:rPr>
        <w:t>Avec la collaboration de</w:t>
      </w:r>
      <w:r w:rsidR="002536FE">
        <w:rPr>
          <w:rFonts w:eastAsia="Arial" w:cs="Arial"/>
          <w:b/>
          <w:smallCaps/>
          <w:sz w:val="28"/>
          <w:szCs w:val="28"/>
        </w:rPr>
        <w:t> :</w:t>
      </w:r>
    </w:p>
    <w:p w14:paraId="42CB5005" w14:textId="77777777" w:rsidR="002536FE" w:rsidRPr="00BF6688" w:rsidRDefault="002536FE" w:rsidP="00173C3D">
      <w:pPr>
        <w:spacing w:after="0" w:line="276" w:lineRule="auto"/>
        <w:rPr>
          <w:rFonts w:eastAsia="Arial" w:cs="Arial"/>
          <w:b/>
          <w:smallCaps/>
          <w:sz w:val="28"/>
          <w:szCs w:val="28"/>
        </w:rPr>
      </w:pPr>
    </w:p>
    <w:p w14:paraId="3CCDD198" w14:textId="002E7C7A" w:rsidR="00173C3D" w:rsidRDefault="00173C3D" w:rsidP="00173C3D">
      <w:pPr>
        <w:spacing w:after="0" w:line="276" w:lineRule="auto"/>
        <w:rPr>
          <w:rFonts w:eastAsia="Arial" w:cs="Arial"/>
          <w:sz w:val="24"/>
          <w:szCs w:val="24"/>
        </w:rPr>
      </w:pPr>
      <w:r w:rsidRPr="00F81B56">
        <w:rPr>
          <w:rFonts w:eastAsia="Arial" w:cs="Arial"/>
          <w:sz w:val="24"/>
          <w:szCs w:val="24"/>
        </w:rPr>
        <w:t>Comité d’action des personnes vivant des situations de handicap (CAPVISH)</w:t>
      </w:r>
    </w:p>
    <w:p w14:paraId="126A0BB2" w14:textId="094F6810" w:rsidR="002B7A12" w:rsidRDefault="002B7A12" w:rsidP="00173C3D">
      <w:pPr>
        <w:spacing w:after="0" w:line="276" w:lineRule="auto"/>
        <w:rPr>
          <w:rFonts w:eastAsia="Arial" w:cs="Arial"/>
          <w:sz w:val="24"/>
          <w:szCs w:val="24"/>
        </w:rPr>
      </w:pPr>
    </w:p>
    <w:p w14:paraId="4657D8BA" w14:textId="488E7C8A" w:rsidR="002B7A12" w:rsidRPr="00F81B56" w:rsidRDefault="002B7A12" w:rsidP="00173C3D">
      <w:pPr>
        <w:spacing w:after="0" w:line="276" w:lineRule="auto"/>
        <w:rPr>
          <w:rFonts w:eastAsia="Arial" w:cs="Arial"/>
          <w:sz w:val="24"/>
          <w:szCs w:val="24"/>
        </w:rPr>
      </w:pPr>
      <w:r>
        <w:rPr>
          <w:rFonts w:eastAsia="Arial" w:cs="Arial"/>
          <w:sz w:val="24"/>
          <w:szCs w:val="24"/>
        </w:rPr>
        <w:t>Kéroul</w:t>
      </w:r>
    </w:p>
    <w:p w14:paraId="297E49F8" w14:textId="77777777" w:rsidR="00173C3D" w:rsidRDefault="00173C3D" w:rsidP="00173C3D">
      <w:pPr>
        <w:spacing w:after="0" w:line="276" w:lineRule="auto"/>
        <w:rPr>
          <w:rFonts w:eastAsia="Arial" w:cs="Arial"/>
          <w:sz w:val="24"/>
          <w:szCs w:val="24"/>
        </w:rPr>
      </w:pPr>
    </w:p>
    <w:p w14:paraId="1CBBE145" w14:textId="2F9802A2" w:rsidR="002B7A12" w:rsidRDefault="002B7A12" w:rsidP="00173C3D">
      <w:pPr>
        <w:spacing w:after="0" w:line="276" w:lineRule="auto"/>
        <w:rPr>
          <w:rFonts w:eastAsia="Arial" w:cs="Arial"/>
          <w:sz w:val="24"/>
          <w:szCs w:val="24"/>
        </w:rPr>
      </w:pPr>
      <w:r>
        <w:rPr>
          <w:rFonts w:eastAsia="Arial" w:cs="Arial"/>
          <w:sz w:val="24"/>
          <w:szCs w:val="24"/>
        </w:rPr>
        <w:t>Regroupement des activistes pour l’inclusion au Québec (RAPLIQ)</w:t>
      </w:r>
    </w:p>
    <w:p w14:paraId="03603CDE" w14:textId="77777777" w:rsidR="002B7A12" w:rsidRDefault="002B7A12" w:rsidP="00173C3D">
      <w:pPr>
        <w:spacing w:after="0" w:line="276" w:lineRule="auto"/>
        <w:rPr>
          <w:rFonts w:eastAsia="Arial" w:cs="Arial"/>
          <w:sz w:val="24"/>
          <w:szCs w:val="24"/>
        </w:rPr>
      </w:pPr>
    </w:p>
    <w:p w14:paraId="6CE86B55" w14:textId="6EBDD34E" w:rsidR="00173C3D" w:rsidRDefault="00173C3D" w:rsidP="00173C3D">
      <w:pPr>
        <w:spacing w:after="0" w:line="276" w:lineRule="auto"/>
        <w:rPr>
          <w:rFonts w:eastAsia="Arial" w:cs="Arial"/>
          <w:sz w:val="24"/>
          <w:szCs w:val="24"/>
        </w:rPr>
      </w:pPr>
      <w:r>
        <w:rPr>
          <w:rFonts w:eastAsia="Arial" w:cs="Arial"/>
          <w:sz w:val="24"/>
          <w:szCs w:val="24"/>
        </w:rPr>
        <w:t>Regroupement des aveugles et amblyopes du Québec (RAAQ)</w:t>
      </w:r>
    </w:p>
    <w:p w14:paraId="2B6A9D95" w14:textId="77777777" w:rsidR="00173C3D" w:rsidRDefault="00173C3D" w:rsidP="00173C3D">
      <w:pPr>
        <w:spacing w:after="0" w:line="276" w:lineRule="auto"/>
        <w:rPr>
          <w:rFonts w:eastAsia="Arial" w:cs="Arial"/>
          <w:sz w:val="24"/>
          <w:szCs w:val="24"/>
        </w:rPr>
      </w:pPr>
    </w:p>
    <w:p w14:paraId="342C20CA" w14:textId="1953A850" w:rsidR="00173C3D" w:rsidRDefault="00173C3D" w:rsidP="00173C3D">
      <w:pPr>
        <w:spacing w:after="0" w:line="276" w:lineRule="auto"/>
        <w:rPr>
          <w:rFonts w:eastAsia="Arial" w:cs="Arial"/>
          <w:sz w:val="24"/>
          <w:szCs w:val="24"/>
        </w:rPr>
      </w:pPr>
      <w:r>
        <w:rPr>
          <w:rFonts w:eastAsia="Arial" w:cs="Arial"/>
          <w:sz w:val="24"/>
          <w:szCs w:val="24"/>
        </w:rPr>
        <w:t xml:space="preserve">Regroupement des organismes de personnes handicapées de la région 03 (ROP03) </w:t>
      </w:r>
    </w:p>
    <w:p w14:paraId="396CB385" w14:textId="1A2FC079" w:rsidR="002B7A12" w:rsidRDefault="002B7A12" w:rsidP="00173C3D">
      <w:pPr>
        <w:spacing w:after="0" w:line="276" w:lineRule="auto"/>
        <w:rPr>
          <w:rFonts w:eastAsia="Arial" w:cs="Arial"/>
          <w:sz w:val="24"/>
          <w:szCs w:val="24"/>
        </w:rPr>
      </w:pPr>
    </w:p>
    <w:p w14:paraId="34F79C8D" w14:textId="69E425C3" w:rsidR="002B7A12" w:rsidRDefault="002B7A12" w:rsidP="00173C3D">
      <w:pPr>
        <w:spacing w:after="0" w:line="276" w:lineRule="auto"/>
        <w:rPr>
          <w:rFonts w:eastAsia="Arial" w:cs="Arial"/>
          <w:sz w:val="24"/>
          <w:szCs w:val="24"/>
        </w:rPr>
      </w:pPr>
      <w:r>
        <w:rPr>
          <w:rFonts w:eastAsia="Arial" w:cs="Arial"/>
          <w:sz w:val="24"/>
          <w:szCs w:val="24"/>
        </w:rPr>
        <w:t>Regroupement des utilisateurs du transport adapté et accessible de Montréal (RUTA Montréal)</w:t>
      </w:r>
    </w:p>
    <w:p w14:paraId="7089ABC3" w14:textId="6C8F56B1" w:rsidR="002B7A12" w:rsidRDefault="002B7A12" w:rsidP="00173C3D">
      <w:pPr>
        <w:spacing w:after="0" w:line="276" w:lineRule="auto"/>
        <w:rPr>
          <w:rFonts w:eastAsia="Arial" w:cs="Arial"/>
          <w:sz w:val="24"/>
          <w:szCs w:val="24"/>
        </w:rPr>
      </w:pPr>
    </w:p>
    <w:p w14:paraId="51FDB212" w14:textId="0CA53A6D" w:rsidR="002B7A12" w:rsidRDefault="002B7A12" w:rsidP="00173C3D">
      <w:pPr>
        <w:spacing w:after="0" w:line="276" w:lineRule="auto"/>
        <w:rPr>
          <w:rFonts w:eastAsia="Arial" w:cs="Arial"/>
          <w:sz w:val="24"/>
          <w:szCs w:val="24"/>
        </w:rPr>
      </w:pPr>
    </w:p>
    <w:p w14:paraId="39BF31ED" w14:textId="76EB3220" w:rsidR="002B7A12" w:rsidRDefault="002B7A12" w:rsidP="00173C3D">
      <w:pPr>
        <w:spacing w:after="0" w:line="276" w:lineRule="auto"/>
        <w:rPr>
          <w:rFonts w:eastAsia="Arial" w:cs="Arial"/>
          <w:sz w:val="24"/>
          <w:szCs w:val="24"/>
        </w:rPr>
      </w:pPr>
    </w:p>
    <w:p w14:paraId="37EEFE72" w14:textId="66A428F6" w:rsidR="002B7A12" w:rsidRDefault="002B7A12" w:rsidP="00173C3D">
      <w:pPr>
        <w:spacing w:after="0" w:line="276" w:lineRule="auto"/>
        <w:rPr>
          <w:rFonts w:eastAsia="Arial" w:cs="Arial"/>
          <w:sz w:val="24"/>
          <w:szCs w:val="24"/>
        </w:rPr>
      </w:pPr>
    </w:p>
    <w:p w14:paraId="42C4657F" w14:textId="037683D8" w:rsidR="002B7A12" w:rsidRDefault="002B7A12" w:rsidP="00173C3D">
      <w:pPr>
        <w:spacing w:after="0" w:line="276" w:lineRule="auto"/>
        <w:rPr>
          <w:rFonts w:eastAsia="Arial" w:cs="Arial"/>
          <w:sz w:val="24"/>
          <w:szCs w:val="24"/>
        </w:rPr>
      </w:pPr>
    </w:p>
    <w:p w14:paraId="74ACAC9D" w14:textId="1F66F740" w:rsidR="002B7A12" w:rsidRDefault="002B7A12" w:rsidP="00173C3D">
      <w:pPr>
        <w:spacing w:after="0" w:line="276" w:lineRule="auto"/>
        <w:rPr>
          <w:rFonts w:eastAsia="Arial" w:cs="Arial"/>
          <w:sz w:val="24"/>
          <w:szCs w:val="24"/>
        </w:rPr>
      </w:pPr>
    </w:p>
    <w:p w14:paraId="516DE9DB" w14:textId="77777777" w:rsidR="003D33C0" w:rsidRDefault="003D33C0" w:rsidP="00173C3D">
      <w:pPr>
        <w:spacing w:after="0" w:line="276" w:lineRule="auto"/>
        <w:rPr>
          <w:rFonts w:eastAsia="Arial" w:cs="Arial"/>
          <w:b/>
          <w:bCs/>
          <w:sz w:val="24"/>
          <w:szCs w:val="24"/>
        </w:rPr>
      </w:pPr>
    </w:p>
    <w:p w14:paraId="2C0A5A60" w14:textId="332F3377" w:rsidR="003D33C0" w:rsidRDefault="003D33C0" w:rsidP="00173C3D">
      <w:pPr>
        <w:spacing w:after="0" w:line="276" w:lineRule="auto"/>
        <w:rPr>
          <w:rFonts w:eastAsia="Arial" w:cs="Arial"/>
          <w:b/>
          <w:bCs/>
          <w:sz w:val="24"/>
          <w:szCs w:val="24"/>
        </w:rPr>
      </w:pPr>
    </w:p>
    <w:p w14:paraId="34D61CD2" w14:textId="77777777" w:rsidR="00BF6688" w:rsidRDefault="00BF6688" w:rsidP="00173C3D">
      <w:pPr>
        <w:spacing w:after="0" w:line="276" w:lineRule="auto"/>
        <w:rPr>
          <w:rFonts w:eastAsia="Arial" w:cs="Arial"/>
          <w:b/>
          <w:bCs/>
          <w:sz w:val="24"/>
          <w:szCs w:val="24"/>
        </w:rPr>
      </w:pPr>
    </w:p>
    <w:p w14:paraId="4C282199" w14:textId="00B14756" w:rsidR="002B7A12" w:rsidRPr="002B7A12" w:rsidRDefault="002B7A12" w:rsidP="00173C3D">
      <w:pPr>
        <w:spacing w:after="0" w:line="276" w:lineRule="auto"/>
        <w:rPr>
          <w:rFonts w:eastAsia="Arial" w:cs="Arial"/>
          <w:b/>
          <w:bCs/>
          <w:sz w:val="24"/>
          <w:szCs w:val="24"/>
        </w:rPr>
      </w:pPr>
      <w:r w:rsidRPr="002B7A12">
        <w:rPr>
          <w:rFonts w:eastAsia="Arial" w:cs="Arial"/>
          <w:b/>
          <w:bCs/>
          <w:sz w:val="24"/>
          <w:szCs w:val="24"/>
        </w:rPr>
        <w:t>DATE DE TRANSMISSION</w:t>
      </w:r>
    </w:p>
    <w:p w14:paraId="1BA9848C" w14:textId="3F6E949B" w:rsidR="002B7A12" w:rsidRDefault="002B7A12" w:rsidP="00173C3D">
      <w:pPr>
        <w:spacing w:after="0" w:line="276" w:lineRule="auto"/>
        <w:rPr>
          <w:rFonts w:eastAsia="Arial" w:cs="Arial"/>
          <w:sz w:val="24"/>
          <w:szCs w:val="24"/>
        </w:rPr>
      </w:pPr>
      <w:r>
        <w:rPr>
          <w:rFonts w:eastAsia="Arial" w:cs="Arial"/>
          <w:sz w:val="24"/>
          <w:szCs w:val="24"/>
        </w:rPr>
        <w:t>11 décembre 2020</w:t>
      </w:r>
    </w:p>
    <w:p w14:paraId="1047CAAA" w14:textId="77777777" w:rsidR="002B7A12" w:rsidRDefault="002B7A12">
      <w:pPr>
        <w:rPr>
          <w:rFonts w:eastAsia="Arial" w:cs="Arial"/>
          <w:sz w:val="24"/>
          <w:szCs w:val="24"/>
        </w:rPr>
      </w:pPr>
      <w:r>
        <w:rPr>
          <w:rFonts w:eastAsia="Arial" w:cs="Arial"/>
          <w:sz w:val="24"/>
          <w:szCs w:val="24"/>
        </w:rPr>
        <w:br w:type="page"/>
      </w:r>
    </w:p>
    <w:p w14:paraId="21A8DC64" w14:textId="77777777" w:rsidR="002B7A12" w:rsidRDefault="002B7A12" w:rsidP="002B7A12">
      <w:pPr>
        <w:rPr>
          <w:rFonts w:eastAsia="Arial" w:cs="Arial"/>
          <w:sz w:val="24"/>
          <w:szCs w:val="24"/>
        </w:rPr>
      </w:pPr>
      <w:r>
        <w:rPr>
          <w:rFonts w:eastAsia="Arial" w:cs="Arial"/>
          <w:i/>
          <w:sz w:val="24"/>
          <w:szCs w:val="24"/>
        </w:rPr>
        <w:lastRenderedPageBreak/>
        <w:t>La Confédération des organismes de personnes handicapées du Québec (COPHAN), organisme à but non lucratif incorporé en 1985, a pour mission de rendre le Québec inclusif afin d’assurer la participation sociale pleine et entière des personnes ayant des limitations fonctionnelles et de leur famille. Elle regroupe plus de 40 organismes et regroupements nationaux et régionaux de personnes ayant tout type de limitations fonctionnelles</w:t>
      </w:r>
      <w:r>
        <w:rPr>
          <w:rFonts w:eastAsia="Arial" w:cs="Arial"/>
          <w:sz w:val="24"/>
          <w:szCs w:val="24"/>
        </w:rPr>
        <w:t>.</w:t>
      </w:r>
    </w:p>
    <w:p w14:paraId="661BBFD8" w14:textId="77777777" w:rsidR="002B7A12" w:rsidRDefault="002B7A12" w:rsidP="002B7A12">
      <w:pPr>
        <w:spacing w:after="0" w:line="276" w:lineRule="auto"/>
        <w:rPr>
          <w:rFonts w:eastAsia="Arial" w:cs="Arial"/>
          <w:sz w:val="24"/>
          <w:szCs w:val="24"/>
        </w:rPr>
        <w:sectPr w:rsidR="002B7A12">
          <w:pgSz w:w="12240" w:h="15840"/>
          <w:pgMar w:top="1440" w:right="1080" w:bottom="1440" w:left="1080" w:header="708" w:footer="267" w:gutter="0"/>
          <w:cols w:space="720"/>
        </w:sectPr>
      </w:pPr>
    </w:p>
    <w:sdt>
      <w:sdtPr>
        <w:rPr>
          <w:rFonts w:ascii="Arial" w:eastAsiaTheme="minorHAnsi" w:hAnsi="Arial" w:cs="Arial"/>
          <w:color w:val="000000" w:themeColor="text1"/>
          <w:szCs w:val="22"/>
          <w:lang w:val="fr-FR" w:eastAsia="en-US"/>
        </w:rPr>
        <w:id w:val="-229008631"/>
        <w:docPartObj>
          <w:docPartGallery w:val="Table of Contents"/>
          <w:docPartUnique/>
        </w:docPartObj>
      </w:sdtPr>
      <w:sdtEndPr>
        <w:rPr>
          <w:rFonts w:cstheme="minorBidi"/>
          <w:b/>
          <w:bCs/>
          <w:sz w:val="24"/>
          <w:szCs w:val="24"/>
        </w:rPr>
      </w:sdtEndPr>
      <w:sdtContent>
        <w:p w14:paraId="615F28F1" w14:textId="77777777" w:rsidR="002E1AA9" w:rsidRDefault="004C1C5A" w:rsidP="00FB5A14">
          <w:pPr>
            <w:pStyle w:val="En-ttedetabledesmatires"/>
            <w:rPr>
              <w:noProof/>
            </w:rPr>
          </w:pPr>
          <w:r w:rsidRPr="003D33C0">
            <w:rPr>
              <w:rFonts w:ascii="Arial" w:hAnsi="Arial" w:cs="Arial"/>
              <w:lang w:val="fr-FR"/>
            </w:rPr>
            <w:t>Table des matières</w:t>
          </w:r>
          <w:r w:rsidRPr="002B7A12">
            <w:rPr>
              <w:sz w:val="24"/>
              <w:szCs w:val="24"/>
            </w:rPr>
            <w:fldChar w:fldCharType="begin"/>
          </w:r>
          <w:r w:rsidRPr="002B7A12">
            <w:rPr>
              <w:sz w:val="24"/>
              <w:szCs w:val="24"/>
            </w:rPr>
            <w:instrText xml:space="preserve"> TOC \o "1-3" \h \z \u </w:instrText>
          </w:r>
          <w:r w:rsidRPr="002B7A12">
            <w:rPr>
              <w:sz w:val="24"/>
              <w:szCs w:val="24"/>
            </w:rPr>
            <w:fldChar w:fldCharType="separate"/>
          </w:r>
        </w:p>
        <w:p w14:paraId="4CCCB42F" w14:textId="4713EC9B" w:rsidR="002E1AA9" w:rsidRPr="002536FE" w:rsidRDefault="003B3A23">
          <w:pPr>
            <w:pStyle w:val="TM2"/>
            <w:tabs>
              <w:tab w:val="right" w:leader="dot" w:pos="8630"/>
            </w:tabs>
            <w:rPr>
              <w:rFonts w:asciiTheme="minorHAnsi" w:eastAsiaTheme="minorEastAsia" w:hAnsiTheme="minorHAnsi"/>
              <w:noProof/>
              <w:color w:val="auto"/>
              <w:sz w:val="24"/>
              <w:szCs w:val="24"/>
              <w:lang w:eastAsia="fr-CA"/>
            </w:rPr>
          </w:pPr>
          <w:hyperlink w:anchor="_Toc58588022" w:history="1">
            <w:r w:rsidR="002E1AA9" w:rsidRPr="002536FE">
              <w:rPr>
                <w:rStyle w:val="Lienhypertexte"/>
                <w:b/>
                <w:bCs/>
                <w:noProof/>
                <w:sz w:val="24"/>
                <w:szCs w:val="24"/>
              </w:rPr>
              <w:t>Introduction</w:t>
            </w:r>
            <w:r w:rsidR="002E1AA9" w:rsidRPr="002536FE">
              <w:rPr>
                <w:noProof/>
                <w:webHidden/>
                <w:sz w:val="24"/>
                <w:szCs w:val="24"/>
              </w:rPr>
              <w:tab/>
            </w:r>
            <w:r w:rsidR="002E1AA9" w:rsidRPr="002536FE">
              <w:rPr>
                <w:noProof/>
                <w:webHidden/>
                <w:sz w:val="24"/>
                <w:szCs w:val="24"/>
              </w:rPr>
              <w:fldChar w:fldCharType="begin"/>
            </w:r>
            <w:r w:rsidR="002E1AA9" w:rsidRPr="002536FE">
              <w:rPr>
                <w:noProof/>
                <w:webHidden/>
                <w:sz w:val="24"/>
                <w:szCs w:val="24"/>
              </w:rPr>
              <w:instrText xml:space="preserve"> PAGEREF _Toc58588022 \h </w:instrText>
            </w:r>
            <w:r w:rsidR="002E1AA9" w:rsidRPr="002536FE">
              <w:rPr>
                <w:noProof/>
                <w:webHidden/>
                <w:sz w:val="24"/>
                <w:szCs w:val="24"/>
              </w:rPr>
            </w:r>
            <w:r w:rsidR="002E1AA9" w:rsidRPr="002536FE">
              <w:rPr>
                <w:noProof/>
                <w:webHidden/>
                <w:sz w:val="24"/>
                <w:szCs w:val="24"/>
              </w:rPr>
              <w:fldChar w:fldCharType="separate"/>
            </w:r>
            <w:r w:rsidR="002E1AA9" w:rsidRPr="002536FE">
              <w:rPr>
                <w:noProof/>
                <w:webHidden/>
                <w:sz w:val="24"/>
                <w:szCs w:val="24"/>
              </w:rPr>
              <w:t>5</w:t>
            </w:r>
            <w:r w:rsidR="002E1AA9" w:rsidRPr="002536FE">
              <w:rPr>
                <w:noProof/>
                <w:webHidden/>
                <w:sz w:val="24"/>
                <w:szCs w:val="24"/>
              </w:rPr>
              <w:fldChar w:fldCharType="end"/>
            </w:r>
          </w:hyperlink>
        </w:p>
        <w:p w14:paraId="642957F9" w14:textId="05E18CBB" w:rsidR="002E1AA9" w:rsidRPr="002536FE" w:rsidRDefault="003B3A23">
          <w:pPr>
            <w:pStyle w:val="TM2"/>
            <w:tabs>
              <w:tab w:val="right" w:leader="dot" w:pos="8630"/>
            </w:tabs>
            <w:rPr>
              <w:rFonts w:asciiTheme="minorHAnsi" w:eastAsiaTheme="minorEastAsia" w:hAnsiTheme="minorHAnsi"/>
              <w:noProof/>
              <w:color w:val="auto"/>
              <w:sz w:val="24"/>
              <w:szCs w:val="24"/>
              <w:lang w:eastAsia="fr-CA"/>
            </w:rPr>
          </w:pPr>
          <w:hyperlink w:anchor="_Toc58588023" w:history="1">
            <w:r w:rsidR="002E1AA9" w:rsidRPr="002536FE">
              <w:rPr>
                <w:rStyle w:val="Lienhypertexte"/>
                <w:b/>
                <w:bCs/>
                <w:noProof/>
                <w:sz w:val="24"/>
                <w:szCs w:val="24"/>
              </w:rPr>
              <w:t>Commentaires de la COPHAN</w:t>
            </w:r>
            <w:r w:rsidR="002E1AA9" w:rsidRPr="002536FE">
              <w:rPr>
                <w:noProof/>
                <w:webHidden/>
                <w:sz w:val="24"/>
                <w:szCs w:val="24"/>
              </w:rPr>
              <w:tab/>
            </w:r>
            <w:r w:rsidR="002E1AA9" w:rsidRPr="002536FE">
              <w:rPr>
                <w:noProof/>
                <w:webHidden/>
                <w:sz w:val="24"/>
                <w:szCs w:val="24"/>
              </w:rPr>
              <w:fldChar w:fldCharType="begin"/>
            </w:r>
            <w:r w:rsidR="002E1AA9" w:rsidRPr="002536FE">
              <w:rPr>
                <w:noProof/>
                <w:webHidden/>
                <w:sz w:val="24"/>
                <w:szCs w:val="24"/>
              </w:rPr>
              <w:instrText xml:space="preserve"> PAGEREF _Toc58588023 \h </w:instrText>
            </w:r>
            <w:r w:rsidR="002E1AA9" w:rsidRPr="002536FE">
              <w:rPr>
                <w:noProof/>
                <w:webHidden/>
                <w:sz w:val="24"/>
                <w:szCs w:val="24"/>
              </w:rPr>
            </w:r>
            <w:r w:rsidR="002E1AA9" w:rsidRPr="002536FE">
              <w:rPr>
                <w:noProof/>
                <w:webHidden/>
                <w:sz w:val="24"/>
                <w:szCs w:val="24"/>
              </w:rPr>
              <w:fldChar w:fldCharType="separate"/>
            </w:r>
            <w:r w:rsidR="002E1AA9" w:rsidRPr="002536FE">
              <w:rPr>
                <w:noProof/>
                <w:webHidden/>
                <w:sz w:val="24"/>
                <w:szCs w:val="24"/>
              </w:rPr>
              <w:t>6</w:t>
            </w:r>
            <w:r w:rsidR="002E1AA9" w:rsidRPr="002536FE">
              <w:rPr>
                <w:noProof/>
                <w:webHidden/>
                <w:sz w:val="24"/>
                <w:szCs w:val="24"/>
              </w:rPr>
              <w:fldChar w:fldCharType="end"/>
            </w:r>
          </w:hyperlink>
        </w:p>
        <w:p w14:paraId="2120D0B0" w14:textId="21BC4BD9" w:rsidR="002E1AA9" w:rsidRPr="002536FE" w:rsidRDefault="003B3A23">
          <w:pPr>
            <w:pStyle w:val="TM3"/>
            <w:tabs>
              <w:tab w:val="right" w:leader="dot" w:pos="8630"/>
            </w:tabs>
            <w:rPr>
              <w:rFonts w:asciiTheme="minorHAnsi" w:eastAsiaTheme="minorEastAsia" w:hAnsiTheme="minorHAnsi"/>
              <w:noProof/>
              <w:color w:val="auto"/>
              <w:sz w:val="24"/>
              <w:szCs w:val="24"/>
              <w:lang w:eastAsia="fr-CA"/>
            </w:rPr>
          </w:pPr>
          <w:hyperlink w:anchor="_Toc58588024" w:history="1">
            <w:r w:rsidR="002E1AA9" w:rsidRPr="002536FE">
              <w:rPr>
                <w:rStyle w:val="Lienhypertexte"/>
                <w:b/>
                <w:bCs/>
                <w:noProof/>
                <w:sz w:val="24"/>
                <w:szCs w:val="24"/>
              </w:rPr>
              <w:t>Opposition quant à l’adoption, en bloc, d’un délai supplémentaire</w:t>
            </w:r>
            <w:r w:rsidR="002E1AA9" w:rsidRPr="002536FE">
              <w:rPr>
                <w:noProof/>
                <w:webHidden/>
                <w:sz w:val="24"/>
                <w:szCs w:val="24"/>
              </w:rPr>
              <w:tab/>
            </w:r>
            <w:r w:rsidR="002E1AA9" w:rsidRPr="002536FE">
              <w:rPr>
                <w:noProof/>
                <w:webHidden/>
                <w:sz w:val="24"/>
                <w:szCs w:val="24"/>
              </w:rPr>
              <w:fldChar w:fldCharType="begin"/>
            </w:r>
            <w:r w:rsidR="002E1AA9" w:rsidRPr="002536FE">
              <w:rPr>
                <w:noProof/>
                <w:webHidden/>
                <w:sz w:val="24"/>
                <w:szCs w:val="24"/>
              </w:rPr>
              <w:instrText xml:space="preserve"> PAGEREF _Toc58588024 \h </w:instrText>
            </w:r>
            <w:r w:rsidR="002E1AA9" w:rsidRPr="002536FE">
              <w:rPr>
                <w:noProof/>
                <w:webHidden/>
                <w:sz w:val="24"/>
                <w:szCs w:val="24"/>
              </w:rPr>
            </w:r>
            <w:r w:rsidR="002E1AA9" w:rsidRPr="002536FE">
              <w:rPr>
                <w:noProof/>
                <w:webHidden/>
                <w:sz w:val="24"/>
                <w:szCs w:val="24"/>
              </w:rPr>
              <w:fldChar w:fldCharType="separate"/>
            </w:r>
            <w:r w:rsidR="002E1AA9" w:rsidRPr="002536FE">
              <w:rPr>
                <w:noProof/>
                <w:webHidden/>
                <w:sz w:val="24"/>
                <w:szCs w:val="24"/>
              </w:rPr>
              <w:t>6</w:t>
            </w:r>
            <w:r w:rsidR="002E1AA9" w:rsidRPr="002536FE">
              <w:rPr>
                <w:noProof/>
                <w:webHidden/>
                <w:sz w:val="24"/>
                <w:szCs w:val="24"/>
              </w:rPr>
              <w:fldChar w:fldCharType="end"/>
            </w:r>
          </w:hyperlink>
        </w:p>
        <w:p w14:paraId="02F2B2A1" w14:textId="1A2D4EAA" w:rsidR="002E1AA9" w:rsidRPr="002536FE" w:rsidRDefault="003B3A23">
          <w:pPr>
            <w:pStyle w:val="TM3"/>
            <w:tabs>
              <w:tab w:val="right" w:leader="dot" w:pos="8630"/>
            </w:tabs>
            <w:rPr>
              <w:rFonts w:asciiTheme="minorHAnsi" w:eastAsiaTheme="minorEastAsia" w:hAnsiTheme="minorHAnsi"/>
              <w:noProof/>
              <w:color w:val="auto"/>
              <w:sz w:val="24"/>
              <w:szCs w:val="24"/>
              <w:lang w:eastAsia="fr-CA"/>
            </w:rPr>
          </w:pPr>
          <w:hyperlink w:anchor="_Toc58588025" w:history="1">
            <w:r w:rsidR="002E1AA9" w:rsidRPr="002536FE">
              <w:rPr>
                <w:rStyle w:val="Lienhypertexte"/>
                <w:b/>
                <w:bCs/>
                <w:noProof/>
                <w:sz w:val="24"/>
                <w:szCs w:val="24"/>
              </w:rPr>
              <w:t>Les personnes handicapées ont assez attendu</w:t>
            </w:r>
            <w:r w:rsidR="002E1AA9" w:rsidRPr="002536FE">
              <w:rPr>
                <w:noProof/>
                <w:webHidden/>
                <w:sz w:val="24"/>
                <w:szCs w:val="24"/>
              </w:rPr>
              <w:tab/>
            </w:r>
            <w:r w:rsidR="002E1AA9" w:rsidRPr="002536FE">
              <w:rPr>
                <w:noProof/>
                <w:webHidden/>
                <w:sz w:val="24"/>
                <w:szCs w:val="24"/>
              </w:rPr>
              <w:fldChar w:fldCharType="begin"/>
            </w:r>
            <w:r w:rsidR="002E1AA9" w:rsidRPr="002536FE">
              <w:rPr>
                <w:noProof/>
                <w:webHidden/>
                <w:sz w:val="24"/>
                <w:szCs w:val="24"/>
              </w:rPr>
              <w:instrText xml:space="preserve"> PAGEREF _Toc58588025 \h </w:instrText>
            </w:r>
            <w:r w:rsidR="002E1AA9" w:rsidRPr="002536FE">
              <w:rPr>
                <w:noProof/>
                <w:webHidden/>
                <w:sz w:val="24"/>
                <w:szCs w:val="24"/>
              </w:rPr>
            </w:r>
            <w:r w:rsidR="002E1AA9" w:rsidRPr="002536FE">
              <w:rPr>
                <w:noProof/>
                <w:webHidden/>
                <w:sz w:val="24"/>
                <w:szCs w:val="24"/>
              </w:rPr>
              <w:fldChar w:fldCharType="separate"/>
            </w:r>
            <w:r w:rsidR="002E1AA9" w:rsidRPr="002536FE">
              <w:rPr>
                <w:noProof/>
                <w:webHidden/>
                <w:sz w:val="24"/>
                <w:szCs w:val="24"/>
              </w:rPr>
              <w:t>6</w:t>
            </w:r>
            <w:r w:rsidR="002E1AA9" w:rsidRPr="002536FE">
              <w:rPr>
                <w:noProof/>
                <w:webHidden/>
                <w:sz w:val="24"/>
                <w:szCs w:val="24"/>
              </w:rPr>
              <w:fldChar w:fldCharType="end"/>
            </w:r>
          </w:hyperlink>
        </w:p>
        <w:p w14:paraId="33BB70ED" w14:textId="6935BF10" w:rsidR="002E1AA9" w:rsidRPr="002536FE" w:rsidRDefault="003B3A23">
          <w:pPr>
            <w:pStyle w:val="TM3"/>
            <w:tabs>
              <w:tab w:val="right" w:leader="dot" w:pos="8630"/>
            </w:tabs>
            <w:rPr>
              <w:rFonts w:asciiTheme="minorHAnsi" w:eastAsiaTheme="minorEastAsia" w:hAnsiTheme="minorHAnsi"/>
              <w:noProof/>
              <w:color w:val="auto"/>
              <w:sz w:val="24"/>
              <w:szCs w:val="24"/>
              <w:lang w:eastAsia="fr-CA"/>
            </w:rPr>
          </w:pPr>
          <w:hyperlink w:anchor="_Toc58588026" w:history="1">
            <w:r w:rsidR="002E1AA9" w:rsidRPr="002536FE">
              <w:rPr>
                <w:rStyle w:val="Lienhypertexte"/>
                <w:b/>
                <w:bCs/>
                <w:noProof/>
                <w:sz w:val="24"/>
                <w:szCs w:val="24"/>
              </w:rPr>
              <w:t>Utilisation des expertises du milieu communautaire des personnes handicapées et dérogations à la pièce</w:t>
            </w:r>
            <w:r w:rsidR="002E1AA9" w:rsidRPr="002536FE">
              <w:rPr>
                <w:noProof/>
                <w:webHidden/>
                <w:sz w:val="24"/>
                <w:szCs w:val="24"/>
              </w:rPr>
              <w:tab/>
            </w:r>
            <w:r w:rsidR="002E1AA9" w:rsidRPr="002536FE">
              <w:rPr>
                <w:noProof/>
                <w:webHidden/>
                <w:sz w:val="24"/>
                <w:szCs w:val="24"/>
              </w:rPr>
              <w:fldChar w:fldCharType="begin"/>
            </w:r>
            <w:r w:rsidR="002E1AA9" w:rsidRPr="002536FE">
              <w:rPr>
                <w:noProof/>
                <w:webHidden/>
                <w:sz w:val="24"/>
                <w:szCs w:val="24"/>
              </w:rPr>
              <w:instrText xml:space="preserve"> PAGEREF _Toc58588026 \h </w:instrText>
            </w:r>
            <w:r w:rsidR="002E1AA9" w:rsidRPr="002536FE">
              <w:rPr>
                <w:noProof/>
                <w:webHidden/>
                <w:sz w:val="24"/>
                <w:szCs w:val="24"/>
              </w:rPr>
            </w:r>
            <w:r w:rsidR="002E1AA9" w:rsidRPr="002536FE">
              <w:rPr>
                <w:noProof/>
                <w:webHidden/>
                <w:sz w:val="24"/>
                <w:szCs w:val="24"/>
              </w:rPr>
              <w:fldChar w:fldCharType="separate"/>
            </w:r>
            <w:r w:rsidR="002E1AA9" w:rsidRPr="002536FE">
              <w:rPr>
                <w:noProof/>
                <w:webHidden/>
                <w:sz w:val="24"/>
                <w:szCs w:val="24"/>
              </w:rPr>
              <w:t>8</w:t>
            </w:r>
            <w:r w:rsidR="002E1AA9" w:rsidRPr="002536FE">
              <w:rPr>
                <w:noProof/>
                <w:webHidden/>
                <w:sz w:val="24"/>
                <w:szCs w:val="24"/>
              </w:rPr>
              <w:fldChar w:fldCharType="end"/>
            </w:r>
          </w:hyperlink>
        </w:p>
        <w:p w14:paraId="38E814E8" w14:textId="6BDE018C" w:rsidR="002E1AA9" w:rsidRPr="002536FE" w:rsidRDefault="003B3A23">
          <w:pPr>
            <w:pStyle w:val="TM2"/>
            <w:tabs>
              <w:tab w:val="right" w:leader="dot" w:pos="8630"/>
            </w:tabs>
            <w:rPr>
              <w:rFonts w:asciiTheme="minorHAnsi" w:eastAsiaTheme="minorEastAsia" w:hAnsiTheme="minorHAnsi"/>
              <w:noProof/>
              <w:color w:val="auto"/>
              <w:sz w:val="24"/>
              <w:szCs w:val="24"/>
              <w:lang w:eastAsia="fr-CA"/>
            </w:rPr>
          </w:pPr>
          <w:hyperlink w:anchor="_Toc58588027" w:history="1">
            <w:r w:rsidR="002E1AA9" w:rsidRPr="002536FE">
              <w:rPr>
                <w:rStyle w:val="Lienhypertexte"/>
                <w:b/>
                <w:bCs/>
                <w:noProof/>
                <w:sz w:val="24"/>
                <w:szCs w:val="24"/>
              </w:rPr>
              <w:t>Conclusion</w:t>
            </w:r>
            <w:r w:rsidR="002E1AA9" w:rsidRPr="002536FE">
              <w:rPr>
                <w:noProof/>
                <w:webHidden/>
                <w:sz w:val="24"/>
                <w:szCs w:val="24"/>
              </w:rPr>
              <w:tab/>
            </w:r>
            <w:r w:rsidR="002E1AA9" w:rsidRPr="002536FE">
              <w:rPr>
                <w:noProof/>
                <w:webHidden/>
                <w:sz w:val="24"/>
                <w:szCs w:val="24"/>
              </w:rPr>
              <w:fldChar w:fldCharType="begin"/>
            </w:r>
            <w:r w:rsidR="002E1AA9" w:rsidRPr="002536FE">
              <w:rPr>
                <w:noProof/>
                <w:webHidden/>
                <w:sz w:val="24"/>
                <w:szCs w:val="24"/>
              </w:rPr>
              <w:instrText xml:space="preserve"> PAGEREF _Toc58588027 \h </w:instrText>
            </w:r>
            <w:r w:rsidR="002E1AA9" w:rsidRPr="002536FE">
              <w:rPr>
                <w:noProof/>
                <w:webHidden/>
                <w:sz w:val="24"/>
                <w:szCs w:val="24"/>
              </w:rPr>
            </w:r>
            <w:r w:rsidR="002E1AA9" w:rsidRPr="002536FE">
              <w:rPr>
                <w:noProof/>
                <w:webHidden/>
                <w:sz w:val="24"/>
                <w:szCs w:val="24"/>
              </w:rPr>
              <w:fldChar w:fldCharType="separate"/>
            </w:r>
            <w:r w:rsidR="002E1AA9" w:rsidRPr="002536FE">
              <w:rPr>
                <w:noProof/>
                <w:webHidden/>
                <w:sz w:val="24"/>
                <w:szCs w:val="24"/>
              </w:rPr>
              <w:t>10</w:t>
            </w:r>
            <w:r w:rsidR="002E1AA9" w:rsidRPr="002536FE">
              <w:rPr>
                <w:noProof/>
                <w:webHidden/>
                <w:sz w:val="24"/>
                <w:szCs w:val="24"/>
              </w:rPr>
              <w:fldChar w:fldCharType="end"/>
            </w:r>
          </w:hyperlink>
        </w:p>
        <w:p w14:paraId="3A76ECD6" w14:textId="335EAF3C" w:rsidR="002E1AA9" w:rsidRPr="002536FE" w:rsidRDefault="003B3A23">
          <w:pPr>
            <w:pStyle w:val="TM2"/>
            <w:tabs>
              <w:tab w:val="right" w:leader="dot" w:pos="8630"/>
            </w:tabs>
            <w:rPr>
              <w:rFonts w:asciiTheme="minorHAnsi" w:eastAsiaTheme="minorEastAsia" w:hAnsiTheme="minorHAnsi"/>
              <w:noProof/>
              <w:color w:val="auto"/>
              <w:sz w:val="24"/>
              <w:szCs w:val="24"/>
              <w:lang w:eastAsia="fr-CA"/>
            </w:rPr>
          </w:pPr>
          <w:hyperlink w:anchor="_Toc58588028" w:history="1">
            <w:r w:rsidR="002E1AA9" w:rsidRPr="002536FE">
              <w:rPr>
                <w:rStyle w:val="Lienhypertexte"/>
                <w:b/>
                <w:noProof/>
                <w:sz w:val="24"/>
                <w:szCs w:val="24"/>
              </w:rPr>
              <w:t>Liste des recommandations</w:t>
            </w:r>
            <w:r w:rsidR="002E1AA9" w:rsidRPr="002536FE">
              <w:rPr>
                <w:noProof/>
                <w:webHidden/>
                <w:sz w:val="24"/>
                <w:szCs w:val="24"/>
              </w:rPr>
              <w:tab/>
            </w:r>
            <w:r w:rsidR="002E1AA9" w:rsidRPr="002536FE">
              <w:rPr>
                <w:noProof/>
                <w:webHidden/>
                <w:sz w:val="24"/>
                <w:szCs w:val="24"/>
              </w:rPr>
              <w:fldChar w:fldCharType="begin"/>
            </w:r>
            <w:r w:rsidR="002E1AA9" w:rsidRPr="002536FE">
              <w:rPr>
                <w:noProof/>
                <w:webHidden/>
                <w:sz w:val="24"/>
                <w:szCs w:val="24"/>
              </w:rPr>
              <w:instrText xml:space="preserve"> PAGEREF _Toc58588028 \h </w:instrText>
            </w:r>
            <w:r w:rsidR="002E1AA9" w:rsidRPr="002536FE">
              <w:rPr>
                <w:noProof/>
                <w:webHidden/>
                <w:sz w:val="24"/>
                <w:szCs w:val="24"/>
              </w:rPr>
            </w:r>
            <w:r w:rsidR="002E1AA9" w:rsidRPr="002536FE">
              <w:rPr>
                <w:noProof/>
                <w:webHidden/>
                <w:sz w:val="24"/>
                <w:szCs w:val="24"/>
              </w:rPr>
              <w:fldChar w:fldCharType="separate"/>
            </w:r>
            <w:r w:rsidR="002E1AA9" w:rsidRPr="002536FE">
              <w:rPr>
                <w:noProof/>
                <w:webHidden/>
                <w:sz w:val="24"/>
                <w:szCs w:val="24"/>
              </w:rPr>
              <w:t>11</w:t>
            </w:r>
            <w:r w:rsidR="002E1AA9" w:rsidRPr="002536FE">
              <w:rPr>
                <w:noProof/>
                <w:webHidden/>
                <w:sz w:val="24"/>
                <w:szCs w:val="24"/>
              </w:rPr>
              <w:fldChar w:fldCharType="end"/>
            </w:r>
          </w:hyperlink>
        </w:p>
        <w:p w14:paraId="10A05359" w14:textId="43AEACD0" w:rsidR="004C1C5A" w:rsidRPr="002B7A12" w:rsidRDefault="004C1C5A" w:rsidP="00F7259A">
          <w:pPr>
            <w:rPr>
              <w:sz w:val="24"/>
              <w:szCs w:val="24"/>
            </w:rPr>
          </w:pPr>
          <w:r w:rsidRPr="002B7A12">
            <w:rPr>
              <w:b/>
              <w:bCs/>
              <w:sz w:val="24"/>
              <w:szCs w:val="24"/>
              <w:lang w:val="fr-FR"/>
            </w:rPr>
            <w:fldChar w:fldCharType="end"/>
          </w:r>
        </w:p>
      </w:sdtContent>
    </w:sdt>
    <w:p w14:paraId="5C01F77E" w14:textId="77777777" w:rsidR="00DA6617" w:rsidRPr="002B7A12" w:rsidRDefault="00DA6617">
      <w:pPr>
        <w:rPr>
          <w:rFonts w:eastAsiaTheme="majorEastAsia" w:cstheme="majorBidi"/>
          <w:sz w:val="24"/>
          <w:szCs w:val="24"/>
        </w:rPr>
      </w:pPr>
      <w:r w:rsidRPr="002B7A12">
        <w:rPr>
          <w:sz w:val="24"/>
          <w:szCs w:val="24"/>
        </w:rPr>
        <w:br w:type="page"/>
      </w:r>
    </w:p>
    <w:p w14:paraId="0405E757" w14:textId="7B67E67B" w:rsidR="00A1164B" w:rsidRPr="005375D9" w:rsidRDefault="00A1164B" w:rsidP="00A1164B">
      <w:pPr>
        <w:pStyle w:val="Titre2"/>
        <w:spacing w:before="500" w:after="500" w:line="300" w:lineRule="auto"/>
        <w:rPr>
          <w:rFonts w:ascii="Arial" w:hAnsi="Arial"/>
          <w:b/>
          <w:bCs/>
          <w:color w:val="000000" w:themeColor="text1"/>
          <w:sz w:val="32"/>
          <w:szCs w:val="32"/>
        </w:rPr>
      </w:pPr>
      <w:bookmarkStart w:id="9" w:name="_Toc58588022"/>
      <w:r w:rsidRPr="005375D9">
        <w:rPr>
          <w:rFonts w:ascii="Arial" w:hAnsi="Arial"/>
          <w:b/>
          <w:bCs/>
          <w:color w:val="000000" w:themeColor="text1"/>
          <w:sz w:val="32"/>
          <w:szCs w:val="32"/>
        </w:rPr>
        <w:lastRenderedPageBreak/>
        <w:t>Introduction</w:t>
      </w:r>
      <w:bookmarkEnd w:id="9"/>
    </w:p>
    <w:p w14:paraId="2B607374" w14:textId="5E0EFED6" w:rsidR="00537404" w:rsidRPr="002B7A12" w:rsidRDefault="009E047B" w:rsidP="002B7A12">
      <w:pPr>
        <w:jc w:val="both"/>
        <w:rPr>
          <w:sz w:val="24"/>
          <w:szCs w:val="24"/>
        </w:rPr>
      </w:pPr>
      <w:r w:rsidRPr="002B7A12">
        <w:rPr>
          <w:sz w:val="24"/>
          <w:szCs w:val="24"/>
        </w:rPr>
        <w:t>Par la présente, la Confédération des organismes de personnes handicapées du Québec (COPHAN) souhaite vous faire part de ses commentaires</w:t>
      </w:r>
      <w:r w:rsidR="00815B4F" w:rsidRPr="002B7A12">
        <w:rPr>
          <w:sz w:val="24"/>
          <w:szCs w:val="24"/>
        </w:rPr>
        <w:t xml:space="preserve"> dans le cadre d’</w:t>
      </w:r>
      <w:r w:rsidRPr="002B7A12">
        <w:rPr>
          <w:sz w:val="24"/>
          <w:szCs w:val="24"/>
        </w:rPr>
        <w:t>une consultation de l’Office des transports du Canada (OTC) présentement en cours. En effet, nous avons été sollicités, dans les dernières semaines, pour donner notre opinion quant à une demande de certains fournisseurs de transports, qui vous a été formulée, dans le but d’accorder des délais additionnels pour l’application de certains articles du Règlement sur les transports accessibles aux personnes handicapées (RTAPH).</w:t>
      </w:r>
    </w:p>
    <w:p w14:paraId="2B9CE828" w14:textId="77777777" w:rsidR="002B7A12" w:rsidRDefault="002B7A12">
      <w:pPr>
        <w:rPr>
          <w:rFonts w:eastAsiaTheme="majorEastAsia" w:cstheme="majorBidi"/>
          <w:sz w:val="24"/>
          <w:szCs w:val="24"/>
        </w:rPr>
      </w:pPr>
      <w:r>
        <w:rPr>
          <w:sz w:val="24"/>
          <w:szCs w:val="24"/>
        </w:rPr>
        <w:br w:type="page"/>
      </w:r>
    </w:p>
    <w:p w14:paraId="54972478" w14:textId="3E3425B3" w:rsidR="00A1164B" w:rsidRPr="00394AD5" w:rsidRDefault="0010210A" w:rsidP="00A1164B">
      <w:pPr>
        <w:pStyle w:val="Titre2"/>
        <w:spacing w:before="500" w:after="500" w:line="300" w:lineRule="auto"/>
        <w:rPr>
          <w:rFonts w:ascii="Arial" w:hAnsi="Arial"/>
          <w:b/>
          <w:bCs/>
          <w:color w:val="000000" w:themeColor="text1"/>
          <w:sz w:val="32"/>
          <w:szCs w:val="32"/>
        </w:rPr>
      </w:pPr>
      <w:bookmarkStart w:id="10" w:name="_Toc58588023"/>
      <w:r>
        <w:rPr>
          <w:rFonts w:ascii="Arial" w:hAnsi="Arial"/>
          <w:b/>
          <w:bCs/>
          <w:color w:val="000000" w:themeColor="text1"/>
          <w:sz w:val="32"/>
          <w:szCs w:val="32"/>
        </w:rPr>
        <w:t>C</w:t>
      </w:r>
      <w:r w:rsidR="00A1164B" w:rsidRPr="00394AD5">
        <w:rPr>
          <w:rFonts w:ascii="Arial" w:hAnsi="Arial"/>
          <w:b/>
          <w:bCs/>
          <w:color w:val="000000" w:themeColor="text1"/>
          <w:sz w:val="32"/>
          <w:szCs w:val="32"/>
        </w:rPr>
        <w:t>ommentaires</w:t>
      </w:r>
      <w:r>
        <w:rPr>
          <w:rFonts w:ascii="Arial" w:hAnsi="Arial"/>
          <w:b/>
          <w:bCs/>
          <w:color w:val="000000" w:themeColor="text1"/>
          <w:sz w:val="32"/>
          <w:szCs w:val="32"/>
        </w:rPr>
        <w:t xml:space="preserve"> de la COPHAN</w:t>
      </w:r>
      <w:bookmarkEnd w:id="10"/>
    </w:p>
    <w:p w14:paraId="3FC3FA03" w14:textId="29F0F5E6" w:rsidR="0010210A" w:rsidRPr="005375D9" w:rsidRDefault="00394AD5" w:rsidP="005375D9">
      <w:pPr>
        <w:pStyle w:val="Titre3"/>
        <w:spacing w:before="0" w:line="300" w:lineRule="auto"/>
        <w:rPr>
          <w:rFonts w:ascii="Arial" w:hAnsi="Arial"/>
          <w:b/>
          <w:bCs/>
          <w:color w:val="000000" w:themeColor="text1"/>
          <w:sz w:val="28"/>
          <w:szCs w:val="28"/>
        </w:rPr>
      </w:pPr>
      <w:bookmarkStart w:id="11" w:name="_Toc58588024"/>
      <w:r w:rsidRPr="005375D9">
        <w:rPr>
          <w:rFonts w:ascii="Arial" w:hAnsi="Arial"/>
          <w:b/>
          <w:bCs/>
          <w:color w:val="000000" w:themeColor="text1"/>
          <w:sz w:val="28"/>
          <w:szCs w:val="28"/>
        </w:rPr>
        <w:t>Opposition quant à l</w:t>
      </w:r>
      <w:r w:rsidR="0010210A" w:rsidRPr="005375D9">
        <w:rPr>
          <w:rFonts w:ascii="Arial" w:hAnsi="Arial"/>
          <w:b/>
          <w:bCs/>
          <w:color w:val="000000" w:themeColor="text1"/>
          <w:sz w:val="28"/>
          <w:szCs w:val="28"/>
        </w:rPr>
        <w:t xml:space="preserve">’adoption, </w:t>
      </w:r>
      <w:r w:rsidR="00F97CD3">
        <w:rPr>
          <w:rFonts w:ascii="Arial" w:hAnsi="Arial"/>
          <w:b/>
          <w:bCs/>
          <w:color w:val="000000" w:themeColor="text1"/>
          <w:sz w:val="28"/>
          <w:szCs w:val="28"/>
        </w:rPr>
        <w:t>en bloc</w:t>
      </w:r>
      <w:r w:rsidR="0010210A" w:rsidRPr="005375D9">
        <w:rPr>
          <w:rFonts w:ascii="Arial" w:hAnsi="Arial"/>
          <w:b/>
          <w:bCs/>
          <w:color w:val="000000" w:themeColor="text1"/>
          <w:sz w:val="28"/>
          <w:szCs w:val="28"/>
        </w:rPr>
        <w:t>, d’un délai supplémentaire</w:t>
      </w:r>
      <w:bookmarkEnd w:id="11"/>
    </w:p>
    <w:p w14:paraId="46516E6F" w14:textId="4B427FF5" w:rsidR="00F3608F" w:rsidRDefault="0010210A" w:rsidP="00026FA8">
      <w:pPr>
        <w:jc w:val="both"/>
        <w:rPr>
          <w:sz w:val="24"/>
          <w:szCs w:val="24"/>
        </w:rPr>
      </w:pPr>
      <w:r>
        <w:rPr>
          <w:sz w:val="24"/>
          <w:szCs w:val="24"/>
        </w:rPr>
        <w:t>La COPHAN s’oppose clairement</w:t>
      </w:r>
      <w:r w:rsidR="00B518D9" w:rsidRPr="002B7A12">
        <w:rPr>
          <w:sz w:val="24"/>
          <w:szCs w:val="24"/>
        </w:rPr>
        <w:t xml:space="preserve"> à l’adoption, tel que proposé, d</w:t>
      </w:r>
      <w:r>
        <w:rPr>
          <w:sz w:val="24"/>
          <w:szCs w:val="24"/>
        </w:rPr>
        <w:t>’un</w:t>
      </w:r>
      <w:r w:rsidR="00B518D9" w:rsidRPr="002B7A12">
        <w:rPr>
          <w:sz w:val="24"/>
          <w:szCs w:val="24"/>
        </w:rPr>
        <w:t xml:space="preserve"> délai supplémentaire. En ce sens, nous soutenons sans réserve la position prise par plusieurs des organismes communautaires canadiens membres du comité consultatif sur l’accessibilité de l’OTC. De ces organismes, quatre vous ont </w:t>
      </w:r>
      <w:r w:rsidR="00537404" w:rsidRPr="002B7A12">
        <w:rPr>
          <w:sz w:val="24"/>
          <w:szCs w:val="24"/>
        </w:rPr>
        <w:t xml:space="preserve">officiellement </w:t>
      </w:r>
      <w:r w:rsidR="00B518D9" w:rsidRPr="002B7A12">
        <w:rPr>
          <w:sz w:val="24"/>
          <w:szCs w:val="24"/>
        </w:rPr>
        <w:t xml:space="preserve">fait parvenir une lettre le 25 novembre dernier. Il s’agit du Conseil canadien des aveugles (CCA), du Conseil des Canadiens avec déficiences (CCD), du National Coalition of People who use Guide and Service Dogs et de l’Alliance for Equality of Blind Canadians (AEBC). </w:t>
      </w:r>
      <w:r w:rsidR="00537404" w:rsidRPr="002B7A12">
        <w:rPr>
          <w:sz w:val="24"/>
          <w:szCs w:val="24"/>
        </w:rPr>
        <w:t>Leur position rejoint les commentaires formulés par nos membres. No</w:t>
      </w:r>
      <w:r>
        <w:rPr>
          <w:sz w:val="24"/>
          <w:szCs w:val="24"/>
        </w:rPr>
        <w:t>s</w:t>
      </w:r>
      <w:r w:rsidR="00537404" w:rsidRPr="002B7A12">
        <w:rPr>
          <w:sz w:val="24"/>
          <w:szCs w:val="24"/>
        </w:rPr>
        <w:t xml:space="preserve"> commentaires se base</w:t>
      </w:r>
      <w:r>
        <w:rPr>
          <w:sz w:val="24"/>
          <w:szCs w:val="24"/>
        </w:rPr>
        <w:t>nt</w:t>
      </w:r>
      <w:r w:rsidR="00537404" w:rsidRPr="002B7A12">
        <w:rPr>
          <w:sz w:val="24"/>
          <w:szCs w:val="24"/>
        </w:rPr>
        <w:t xml:space="preserve"> sur la position formulée dans cette lettre, sur nos consultations auprès de nos membres et sur les commentaires émis par les différents organismes communautaires présents lors de la rencontre du comité consultatif sur l’accessibilité de l’OTC du 4 décembre dernier.</w:t>
      </w:r>
      <w:r w:rsidR="00026FA8">
        <w:rPr>
          <w:sz w:val="24"/>
          <w:szCs w:val="24"/>
        </w:rPr>
        <w:t xml:space="preserve"> </w:t>
      </w:r>
      <w:r w:rsidR="000E3DE4" w:rsidRPr="00026FA8">
        <w:rPr>
          <w:sz w:val="24"/>
          <w:szCs w:val="24"/>
        </w:rPr>
        <w:t>N</w:t>
      </w:r>
      <w:r w:rsidR="00B518D9" w:rsidRPr="00026FA8">
        <w:rPr>
          <w:sz w:val="24"/>
          <w:szCs w:val="24"/>
        </w:rPr>
        <w:t>ous ne disposons pas de</w:t>
      </w:r>
      <w:r w:rsidR="00156579" w:rsidRPr="00026FA8">
        <w:rPr>
          <w:sz w:val="24"/>
          <w:szCs w:val="24"/>
        </w:rPr>
        <w:t xml:space="preserve"> l’information détaillée </w:t>
      </w:r>
      <w:r w:rsidR="00B518D9" w:rsidRPr="00026FA8">
        <w:rPr>
          <w:sz w:val="24"/>
          <w:szCs w:val="24"/>
        </w:rPr>
        <w:t>nous permettant de prendre une décision éclairée.</w:t>
      </w:r>
      <w:r w:rsidR="00156579" w:rsidRPr="00026FA8">
        <w:rPr>
          <w:sz w:val="24"/>
          <w:szCs w:val="24"/>
        </w:rPr>
        <w:t xml:space="preserve"> </w:t>
      </w:r>
      <w:r w:rsidR="007D2812" w:rsidRPr="00026FA8">
        <w:rPr>
          <w:sz w:val="24"/>
          <w:szCs w:val="24"/>
        </w:rPr>
        <w:t xml:space="preserve">On nous demande d’approuver un chèque en blanc, ce que </w:t>
      </w:r>
      <w:r w:rsidRPr="00026FA8">
        <w:rPr>
          <w:sz w:val="24"/>
          <w:szCs w:val="24"/>
        </w:rPr>
        <w:t>la COPHAN</w:t>
      </w:r>
      <w:r w:rsidR="007D2812" w:rsidRPr="00026FA8">
        <w:rPr>
          <w:sz w:val="24"/>
          <w:szCs w:val="24"/>
        </w:rPr>
        <w:t xml:space="preserve"> ne p</w:t>
      </w:r>
      <w:r w:rsidRPr="00026FA8">
        <w:rPr>
          <w:sz w:val="24"/>
          <w:szCs w:val="24"/>
        </w:rPr>
        <w:t>eut</w:t>
      </w:r>
      <w:r w:rsidR="007D2812" w:rsidRPr="00026FA8">
        <w:rPr>
          <w:sz w:val="24"/>
          <w:szCs w:val="24"/>
        </w:rPr>
        <w:t xml:space="preserve"> accepter.</w:t>
      </w:r>
    </w:p>
    <w:p w14:paraId="7EACE5DA" w14:textId="77777777" w:rsidR="00BF6688" w:rsidRDefault="00026FA8" w:rsidP="00026FA8">
      <w:pPr>
        <w:jc w:val="both"/>
        <w:rPr>
          <w:sz w:val="24"/>
          <w:szCs w:val="24"/>
        </w:rPr>
      </w:pPr>
      <w:r w:rsidRPr="00BF6688">
        <w:rPr>
          <w:b/>
          <w:bCs/>
          <w:sz w:val="24"/>
          <w:szCs w:val="24"/>
        </w:rPr>
        <w:t>Recommandation</w:t>
      </w:r>
      <w:r w:rsidR="003A0D46" w:rsidRPr="00BF6688">
        <w:rPr>
          <w:b/>
          <w:bCs/>
          <w:sz w:val="24"/>
          <w:szCs w:val="24"/>
        </w:rPr>
        <w:t xml:space="preserve"> 1</w:t>
      </w:r>
      <w:r w:rsidRPr="00BF6688">
        <w:rPr>
          <w:b/>
          <w:bCs/>
          <w:sz w:val="24"/>
          <w:szCs w:val="24"/>
        </w:rPr>
        <w:t> :</w:t>
      </w:r>
      <w:r>
        <w:rPr>
          <w:sz w:val="24"/>
          <w:szCs w:val="24"/>
        </w:rPr>
        <w:t xml:space="preserve"> </w:t>
      </w:r>
    </w:p>
    <w:p w14:paraId="658C40CF" w14:textId="151C6DCC" w:rsidR="00156579" w:rsidRPr="00F3608F" w:rsidRDefault="00026FA8" w:rsidP="00026FA8">
      <w:pPr>
        <w:jc w:val="both"/>
        <w:rPr>
          <w:sz w:val="24"/>
          <w:szCs w:val="24"/>
        </w:rPr>
      </w:pPr>
      <w:r>
        <w:rPr>
          <w:sz w:val="24"/>
          <w:szCs w:val="24"/>
        </w:rPr>
        <w:t xml:space="preserve">Pour que la COPHAN puisse prendre une décision éclairée quant à la demande </w:t>
      </w:r>
      <w:r w:rsidR="00BB43D7">
        <w:rPr>
          <w:sz w:val="24"/>
          <w:szCs w:val="24"/>
        </w:rPr>
        <w:t>de délais supplémentaires qui nous est formulée, i</w:t>
      </w:r>
      <w:r w:rsidR="00156579" w:rsidRPr="00F3608F">
        <w:rPr>
          <w:sz w:val="24"/>
          <w:szCs w:val="24"/>
        </w:rPr>
        <w:t>l nous faudrait</w:t>
      </w:r>
      <w:r w:rsidR="007F5692">
        <w:rPr>
          <w:sz w:val="24"/>
          <w:szCs w:val="24"/>
        </w:rPr>
        <w:t xml:space="preserve"> </w:t>
      </w:r>
      <w:r w:rsidR="00156579" w:rsidRPr="00F3608F">
        <w:rPr>
          <w:sz w:val="24"/>
          <w:szCs w:val="24"/>
        </w:rPr>
        <w:t>savoir :</w:t>
      </w:r>
    </w:p>
    <w:p w14:paraId="709452C6" w14:textId="2E21ECA6" w:rsidR="00156579" w:rsidRPr="004822D5" w:rsidRDefault="00156579" w:rsidP="004822D5">
      <w:pPr>
        <w:pStyle w:val="Paragraphedeliste"/>
        <w:numPr>
          <w:ilvl w:val="0"/>
          <w:numId w:val="6"/>
        </w:numPr>
        <w:jc w:val="both"/>
        <w:rPr>
          <w:sz w:val="24"/>
          <w:szCs w:val="24"/>
        </w:rPr>
      </w:pPr>
      <w:r w:rsidRPr="004822D5">
        <w:rPr>
          <w:sz w:val="24"/>
          <w:szCs w:val="24"/>
        </w:rPr>
        <w:t>Quels fournisseurs de transport ont été en mesure de s</w:t>
      </w:r>
      <w:r w:rsidR="000E3DE4" w:rsidRPr="004822D5">
        <w:rPr>
          <w:sz w:val="24"/>
          <w:szCs w:val="24"/>
        </w:rPr>
        <w:t xml:space="preserve">e conformer </w:t>
      </w:r>
      <w:r w:rsidRPr="004822D5">
        <w:rPr>
          <w:sz w:val="24"/>
          <w:szCs w:val="24"/>
        </w:rPr>
        <w:t>aux dispositions des articles du règlement dont on demande le report?</w:t>
      </w:r>
    </w:p>
    <w:p w14:paraId="186C41CB" w14:textId="77777777" w:rsidR="004822D5" w:rsidRPr="004822D5" w:rsidRDefault="00156579" w:rsidP="004822D5">
      <w:pPr>
        <w:pStyle w:val="Paragraphedeliste"/>
        <w:numPr>
          <w:ilvl w:val="0"/>
          <w:numId w:val="6"/>
        </w:numPr>
        <w:jc w:val="both"/>
        <w:rPr>
          <w:sz w:val="24"/>
          <w:szCs w:val="24"/>
        </w:rPr>
      </w:pPr>
      <w:r w:rsidRPr="004822D5">
        <w:rPr>
          <w:sz w:val="24"/>
          <w:szCs w:val="24"/>
        </w:rPr>
        <w:t>Quels fournisseurs n’ont pas été en mesure de s</w:t>
      </w:r>
      <w:r w:rsidR="000E3DE4" w:rsidRPr="004822D5">
        <w:rPr>
          <w:sz w:val="24"/>
          <w:szCs w:val="24"/>
        </w:rPr>
        <w:t xml:space="preserve">e conformer </w:t>
      </w:r>
      <w:r w:rsidRPr="004822D5">
        <w:rPr>
          <w:sz w:val="24"/>
          <w:szCs w:val="24"/>
        </w:rPr>
        <w:t>à ces articles et pourquoi? On doit retrouver des informations détaillées expliquant les démarches faites en vue de se conformer au règlement ainsi que les obstacles rencontrés.</w:t>
      </w:r>
    </w:p>
    <w:p w14:paraId="70807151" w14:textId="57349CB2" w:rsidR="00156579" w:rsidRPr="004822D5" w:rsidRDefault="00156579" w:rsidP="004822D5">
      <w:pPr>
        <w:pStyle w:val="Paragraphedeliste"/>
        <w:numPr>
          <w:ilvl w:val="0"/>
          <w:numId w:val="6"/>
        </w:numPr>
        <w:jc w:val="both"/>
        <w:rPr>
          <w:sz w:val="24"/>
          <w:szCs w:val="24"/>
        </w:rPr>
      </w:pPr>
      <w:r w:rsidRPr="004822D5">
        <w:rPr>
          <w:sz w:val="24"/>
          <w:szCs w:val="24"/>
        </w:rPr>
        <w:t xml:space="preserve">Pour chaque fournisseur de transport qui n’a pas réussi à se conformer au règlement, quel est le plan pour y parvenir? On doit y retrouver un échéancier </w:t>
      </w:r>
      <w:r w:rsidR="000E3DE4" w:rsidRPr="004822D5">
        <w:rPr>
          <w:sz w:val="24"/>
          <w:szCs w:val="24"/>
        </w:rPr>
        <w:t xml:space="preserve">des étapes suivies et le plan doit pouvoir être réalisé dans un </w:t>
      </w:r>
      <w:r w:rsidR="002B7A12" w:rsidRPr="004822D5">
        <w:rPr>
          <w:sz w:val="24"/>
          <w:szCs w:val="24"/>
        </w:rPr>
        <w:t>court délai</w:t>
      </w:r>
      <w:r w:rsidR="000E3DE4" w:rsidRPr="004822D5">
        <w:rPr>
          <w:sz w:val="24"/>
          <w:szCs w:val="24"/>
        </w:rPr>
        <w:t>.</w:t>
      </w:r>
    </w:p>
    <w:p w14:paraId="782E66EC" w14:textId="6B5FC290" w:rsidR="0010210A" w:rsidRPr="005375D9" w:rsidRDefault="0010210A" w:rsidP="005375D9">
      <w:pPr>
        <w:pStyle w:val="Titre3"/>
        <w:spacing w:before="0" w:line="300" w:lineRule="auto"/>
        <w:rPr>
          <w:rFonts w:ascii="Arial" w:hAnsi="Arial"/>
          <w:b/>
          <w:bCs/>
          <w:color w:val="000000" w:themeColor="text1"/>
          <w:sz w:val="28"/>
          <w:szCs w:val="28"/>
        </w:rPr>
      </w:pPr>
      <w:bookmarkStart w:id="12" w:name="_Toc58588025"/>
      <w:r w:rsidRPr="005375D9">
        <w:rPr>
          <w:rFonts w:ascii="Arial" w:hAnsi="Arial"/>
          <w:b/>
          <w:bCs/>
          <w:color w:val="000000" w:themeColor="text1"/>
          <w:sz w:val="28"/>
          <w:szCs w:val="28"/>
        </w:rPr>
        <w:t xml:space="preserve">Les </w:t>
      </w:r>
      <w:r w:rsidR="00597EBC" w:rsidRPr="005375D9">
        <w:rPr>
          <w:rFonts w:ascii="Arial" w:hAnsi="Arial"/>
          <w:b/>
          <w:bCs/>
          <w:color w:val="000000" w:themeColor="text1"/>
          <w:sz w:val="28"/>
          <w:szCs w:val="28"/>
        </w:rPr>
        <w:t>personnes handicapées ont assez attendu</w:t>
      </w:r>
      <w:bookmarkEnd w:id="12"/>
    </w:p>
    <w:p w14:paraId="5B3104E2" w14:textId="21C716EE" w:rsidR="00B518D9" w:rsidRPr="002B7A12" w:rsidRDefault="0010210A" w:rsidP="00394AD5">
      <w:pPr>
        <w:jc w:val="both"/>
        <w:rPr>
          <w:sz w:val="24"/>
          <w:szCs w:val="24"/>
        </w:rPr>
      </w:pPr>
      <w:r>
        <w:rPr>
          <w:sz w:val="24"/>
          <w:szCs w:val="24"/>
        </w:rPr>
        <w:t>La COPHAN est</w:t>
      </w:r>
      <w:r w:rsidR="000E3DE4" w:rsidRPr="002B7A12">
        <w:rPr>
          <w:sz w:val="24"/>
          <w:szCs w:val="24"/>
        </w:rPr>
        <w:t xml:space="preserve"> </w:t>
      </w:r>
      <w:r>
        <w:rPr>
          <w:sz w:val="24"/>
          <w:szCs w:val="24"/>
        </w:rPr>
        <w:t>consciente</w:t>
      </w:r>
      <w:r w:rsidR="000E3DE4" w:rsidRPr="002B7A12">
        <w:rPr>
          <w:sz w:val="24"/>
          <w:szCs w:val="24"/>
        </w:rPr>
        <w:t xml:space="preserve"> du chamboulement énorme</w:t>
      </w:r>
      <w:r>
        <w:rPr>
          <w:sz w:val="24"/>
          <w:szCs w:val="24"/>
        </w:rPr>
        <w:t xml:space="preserve"> causé par la pandémie </w:t>
      </w:r>
      <w:r w:rsidR="007545ED">
        <w:rPr>
          <w:sz w:val="24"/>
          <w:szCs w:val="24"/>
        </w:rPr>
        <w:t>de</w:t>
      </w:r>
      <w:r>
        <w:rPr>
          <w:sz w:val="24"/>
          <w:szCs w:val="24"/>
        </w:rPr>
        <w:t xml:space="preserve"> la COVID-19</w:t>
      </w:r>
      <w:r w:rsidR="000E3DE4" w:rsidRPr="002B7A12">
        <w:rPr>
          <w:sz w:val="24"/>
          <w:szCs w:val="24"/>
        </w:rPr>
        <w:t xml:space="preserve"> pour l’industrie du transp</w:t>
      </w:r>
      <w:r>
        <w:rPr>
          <w:sz w:val="24"/>
          <w:szCs w:val="24"/>
        </w:rPr>
        <w:t>ort</w:t>
      </w:r>
      <w:r w:rsidR="000E3DE4" w:rsidRPr="002B7A12">
        <w:rPr>
          <w:sz w:val="24"/>
          <w:szCs w:val="24"/>
        </w:rPr>
        <w:t xml:space="preserve">. Les fournisseurs ont perdu, au cours des derniers mois, l’essentiel de leurs revenus. </w:t>
      </w:r>
      <w:r w:rsidR="00DF6481" w:rsidRPr="002B7A12">
        <w:rPr>
          <w:sz w:val="24"/>
          <w:szCs w:val="24"/>
        </w:rPr>
        <w:t>Cependant</w:t>
      </w:r>
      <w:r w:rsidR="00A21D44" w:rsidRPr="002B7A12">
        <w:rPr>
          <w:sz w:val="24"/>
          <w:szCs w:val="24"/>
        </w:rPr>
        <w:t xml:space="preserve">, la pandémie n’explique pas tout. En effet, dès l’automne 2018, l’OTC consultait en vue de l’élaboration d’un futur règlement sur les transports accessibles aux personnes handicapées. Le règlement, rédigé tel que nous le connaissons, était en ligne </w:t>
      </w:r>
      <w:r w:rsidR="00AE406D" w:rsidRPr="002B7A12">
        <w:rPr>
          <w:sz w:val="24"/>
          <w:szCs w:val="24"/>
        </w:rPr>
        <w:t xml:space="preserve">pour consultation </w:t>
      </w:r>
      <w:r w:rsidR="00A21D44" w:rsidRPr="002B7A12">
        <w:rPr>
          <w:sz w:val="24"/>
          <w:szCs w:val="24"/>
        </w:rPr>
        <w:t>au printemps 2019 et a été adopté en juin 2019. Les fournisseurs de transport disposaient donc d’un an pour se conformer avant la mise en vigueur des articles du règlement, le 25 juin 2020. De plus, étant donné les impacts de la pandémie sur les fournisseurs, l’OTC a consenti à retarder l’entrée en vigueur de certains articles du règlement au 1</w:t>
      </w:r>
      <w:r w:rsidR="00A21D44" w:rsidRPr="002B7A12">
        <w:rPr>
          <w:sz w:val="24"/>
          <w:szCs w:val="24"/>
          <w:vertAlign w:val="superscript"/>
        </w:rPr>
        <w:t>er</w:t>
      </w:r>
      <w:r w:rsidR="00A21D44" w:rsidRPr="002B7A12">
        <w:rPr>
          <w:sz w:val="24"/>
          <w:szCs w:val="24"/>
        </w:rPr>
        <w:t xml:space="preserve"> janvier 2021, donnant ainsi six mois supplémentaires aux entreprises pour se conformer. Malheureusement, force est de constater que certains fournisseurs n’ont pas réussi, malgré cette longue période de préparation</w:t>
      </w:r>
      <w:r>
        <w:rPr>
          <w:sz w:val="24"/>
          <w:szCs w:val="24"/>
        </w:rPr>
        <w:t xml:space="preserve">, </w:t>
      </w:r>
      <w:r w:rsidR="00A21D44" w:rsidRPr="002B7A12">
        <w:rPr>
          <w:sz w:val="24"/>
          <w:szCs w:val="24"/>
        </w:rPr>
        <w:t>à mettre en place les conditions nécessaires pour se conformer à ces articles.</w:t>
      </w:r>
    </w:p>
    <w:p w14:paraId="081FE1B5" w14:textId="36FECC80" w:rsidR="00A1164B" w:rsidRPr="002B7A12" w:rsidRDefault="00A21D44" w:rsidP="00394AD5">
      <w:pPr>
        <w:jc w:val="both"/>
        <w:rPr>
          <w:sz w:val="24"/>
          <w:szCs w:val="24"/>
        </w:rPr>
      </w:pPr>
      <w:r w:rsidRPr="002B7A12">
        <w:rPr>
          <w:sz w:val="24"/>
          <w:szCs w:val="24"/>
        </w:rPr>
        <w:t xml:space="preserve">Dans ces circonstances, et tenant compte du peu d’informations dont nous disposons, </w:t>
      </w:r>
      <w:r w:rsidR="0010210A">
        <w:rPr>
          <w:sz w:val="24"/>
          <w:szCs w:val="24"/>
        </w:rPr>
        <w:t>la COPHAN ne peut</w:t>
      </w:r>
      <w:r w:rsidRPr="002B7A12">
        <w:rPr>
          <w:sz w:val="24"/>
          <w:szCs w:val="24"/>
        </w:rPr>
        <w:t xml:space="preserve"> accepter un délai</w:t>
      </w:r>
      <w:r w:rsidR="00597EBC">
        <w:rPr>
          <w:sz w:val="24"/>
          <w:szCs w:val="24"/>
        </w:rPr>
        <w:t xml:space="preserve"> supplémentaire</w:t>
      </w:r>
      <w:r w:rsidRPr="002B7A12">
        <w:rPr>
          <w:sz w:val="24"/>
          <w:szCs w:val="24"/>
        </w:rPr>
        <w:t xml:space="preserve">. Du reste, de quel délai exactement parle-t-on? Nulle part n’est-il indiqué, dans la sollicitation que nous avons </w:t>
      </w:r>
      <w:r w:rsidR="00DF6481" w:rsidRPr="002B7A12">
        <w:rPr>
          <w:sz w:val="24"/>
          <w:szCs w:val="24"/>
        </w:rPr>
        <w:t>reçue</w:t>
      </w:r>
      <w:r w:rsidRPr="002B7A12">
        <w:rPr>
          <w:sz w:val="24"/>
          <w:szCs w:val="24"/>
        </w:rPr>
        <w:t xml:space="preserve">, </w:t>
      </w:r>
      <w:r w:rsidR="00C26C2B" w:rsidRPr="002B7A12">
        <w:rPr>
          <w:sz w:val="24"/>
          <w:szCs w:val="24"/>
        </w:rPr>
        <w:t>jusqu’à quelle date précisément un tel report devrait s’appliquer. Ce point est important pour deux raisons</w:t>
      </w:r>
      <w:r w:rsidR="00A260E9" w:rsidRPr="002B7A12">
        <w:rPr>
          <w:sz w:val="24"/>
          <w:szCs w:val="24"/>
        </w:rPr>
        <w:t>.</w:t>
      </w:r>
    </w:p>
    <w:p w14:paraId="113FE5E3" w14:textId="1BFE5C19" w:rsidR="00A21D44" w:rsidRPr="00394AD5" w:rsidRDefault="00A260E9" w:rsidP="00394AD5">
      <w:pPr>
        <w:jc w:val="both"/>
        <w:rPr>
          <w:sz w:val="24"/>
          <w:szCs w:val="24"/>
        </w:rPr>
      </w:pPr>
      <w:r w:rsidRPr="00394AD5">
        <w:rPr>
          <w:sz w:val="24"/>
          <w:szCs w:val="24"/>
        </w:rPr>
        <w:t>T</w:t>
      </w:r>
      <w:r w:rsidR="00C26C2B" w:rsidRPr="00394AD5">
        <w:rPr>
          <w:sz w:val="24"/>
          <w:szCs w:val="24"/>
        </w:rPr>
        <w:t xml:space="preserve">out d’abord, ce report aura un effet d’entraînement sur d’autres dispositions du RTAPH qui ne sont pas encore en vigueur </w:t>
      </w:r>
      <w:r w:rsidR="002C24D2" w:rsidRPr="00394AD5">
        <w:rPr>
          <w:sz w:val="24"/>
          <w:szCs w:val="24"/>
        </w:rPr>
        <w:t>et qui doivent commencer à s’appliquer en 2021 ou 2022. Des délais additionnels concernant certaines de ces dispositions vous sont déjà demandés, d’autres suivront sûrement.</w:t>
      </w:r>
    </w:p>
    <w:p w14:paraId="0C01AFD9" w14:textId="77777777" w:rsidR="00195610" w:rsidRPr="002B7A12" w:rsidRDefault="002C24D2" w:rsidP="00394AD5">
      <w:pPr>
        <w:jc w:val="both"/>
        <w:rPr>
          <w:sz w:val="24"/>
          <w:szCs w:val="24"/>
        </w:rPr>
      </w:pPr>
      <w:r w:rsidRPr="002B7A12">
        <w:rPr>
          <w:sz w:val="24"/>
          <w:szCs w:val="24"/>
        </w:rPr>
        <w:t xml:space="preserve">Plus fondamentalement encore, nous avons attendu assez longtemps! Toutes les organisations représentant les personnes handicapées de partout au Canada </w:t>
      </w:r>
      <w:r w:rsidR="00BA4612" w:rsidRPr="002B7A12">
        <w:rPr>
          <w:sz w:val="24"/>
          <w:szCs w:val="24"/>
        </w:rPr>
        <w:t xml:space="preserve">militent </w:t>
      </w:r>
      <w:r w:rsidR="00A260E9" w:rsidRPr="002B7A12">
        <w:rPr>
          <w:sz w:val="24"/>
          <w:szCs w:val="24"/>
        </w:rPr>
        <w:t xml:space="preserve">depuis longtemps </w:t>
      </w:r>
      <w:r w:rsidR="00BA4612" w:rsidRPr="002B7A12">
        <w:rPr>
          <w:sz w:val="24"/>
          <w:szCs w:val="24"/>
        </w:rPr>
        <w:t xml:space="preserve">avec détermination </w:t>
      </w:r>
      <w:r w:rsidR="00A260E9" w:rsidRPr="002B7A12">
        <w:rPr>
          <w:sz w:val="24"/>
          <w:szCs w:val="24"/>
        </w:rPr>
        <w:t xml:space="preserve">et acharnement </w:t>
      </w:r>
      <w:r w:rsidR="00BA4612" w:rsidRPr="002B7A12">
        <w:rPr>
          <w:sz w:val="24"/>
          <w:szCs w:val="24"/>
        </w:rPr>
        <w:t>pour que les transports deviennent accessibles aux personnes handicapées. Au fil du temps, des plaintes ont été déposées à diverses instances, des décisions rendues obligeant les fournisseurs fautifs à mettre en place des mesures en ce sens, tout en dédommageant les clients dont les droits avaient été lésés. Du côté de l’OTC</w:t>
      </w:r>
      <w:r w:rsidR="00DD0D78" w:rsidRPr="002B7A12">
        <w:rPr>
          <w:sz w:val="24"/>
          <w:szCs w:val="24"/>
        </w:rPr>
        <w:t>,</w:t>
      </w:r>
      <w:r w:rsidR="00BA4612" w:rsidRPr="002B7A12">
        <w:rPr>
          <w:sz w:val="24"/>
          <w:szCs w:val="24"/>
        </w:rPr>
        <w:t xml:space="preserve"> des lignes directrices et des codes de pratique avaient été mis en place, qui incitaient les fournisseurs de transport à aplanir les obstacles rencontrés par les personnes handicapées, mais sans que ces codes ne soient obligatoires. Il y eût bien le Règlement sur le</w:t>
      </w:r>
      <w:r w:rsidR="00DD0D78" w:rsidRPr="002B7A12">
        <w:rPr>
          <w:sz w:val="24"/>
          <w:szCs w:val="24"/>
        </w:rPr>
        <w:t>s</w:t>
      </w:r>
      <w:r w:rsidR="00BA4612" w:rsidRPr="002B7A12">
        <w:rPr>
          <w:sz w:val="24"/>
          <w:szCs w:val="24"/>
        </w:rPr>
        <w:t xml:space="preserve"> transport</w:t>
      </w:r>
      <w:r w:rsidR="00DD0D78" w:rsidRPr="002B7A12">
        <w:rPr>
          <w:sz w:val="24"/>
          <w:szCs w:val="24"/>
        </w:rPr>
        <w:t>s</w:t>
      </w:r>
      <w:r w:rsidR="00BA4612" w:rsidRPr="002B7A12">
        <w:rPr>
          <w:sz w:val="24"/>
          <w:szCs w:val="24"/>
        </w:rPr>
        <w:t xml:space="preserve"> aérien</w:t>
      </w:r>
      <w:r w:rsidR="00DD0D78" w:rsidRPr="002B7A12">
        <w:rPr>
          <w:sz w:val="24"/>
          <w:szCs w:val="24"/>
        </w:rPr>
        <w:t>s</w:t>
      </w:r>
      <w:r w:rsidR="00BA4612" w:rsidRPr="002B7A12">
        <w:rPr>
          <w:sz w:val="24"/>
          <w:szCs w:val="24"/>
        </w:rPr>
        <w:t xml:space="preserve"> ainsi que le Règlement sur la formation du personnel, mais ces deux règlements ne couvraient pas tous les fournisseurs de transport et semblaient manquer de mordant. En 2016, l’OTC a entrepris de moderniser sa réglementation et nous avons participé à toutes les étapes du processus depuis ce temps.</w:t>
      </w:r>
    </w:p>
    <w:p w14:paraId="443B2C42" w14:textId="2421A892" w:rsidR="002C24D2" w:rsidRDefault="00597EBC" w:rsidP="00394AD5">
      <w:pPr>
        <w:jc w:val="both"/>
        <w:rPr>
          <w:sz w:val="24"/>
          <w:szCs w:val="24"/>
        </w:rPr>
      </w:pPr>
      <w:r>
        <w:rPr>
          <w:sz w:val="24"/>
          <w:szCs w:val="24"/>
        </w:rPr>
        <w:t>La COPHAN salue</w:t>
      </w:r>
      <w:r w:rsidR="00BA4612" w:rsidRPr="002B7A12">
        <w:rPr>
          <w:sz w:val="24"/>
          <w:szCs w:val="24"/>
        </w:rPr>
        <w:t xml:space="preserve"> la volonté de l’OTC, ces dernières années, de travailler vers une plus grande accessibilité </w:t>
      </w:r>
      <w:r w:rsidR="00900E24" w:rsidRPr="002B7A12">
        <w:rPr>
          <w:sz w:val="24"/>
          <w:szCs w:val="24"/>
        </w:rPr>
        <w:t>des transports pour les personnes handicapées</w:t>
      </w:r>
      <w:r w:rsidR="00DD0D78" w:rsidRPr="002B7A12">
        <w:rPr>
          <w:sz w:val="24"/>
          <w:szCs w:val="24"/>
        </w:rPr>
        <w:t>. M</w:t>
      </w:r>
      <w:r w:rsidR="00900E24" w:rsidRPr="002B7A12">
        <w:rPr>
          <w:sz w:val="24"/>
          <w:szCs w:val="24"/>
        </w:rPr>
        <w:t xml:space="preserve">algré les conséquences majeures de la pandémie pour </w:t>
      </w:r>
      <w:r w:rsidR="00DD0D78" w:rsidRPr="002B7A12">
        <w:rPr>
          <w:sz w:val="24"/>
          <w:szCs w:val="24"/>
        </w:rPr>
        <w:t xml:space="preserve">les fournisseurs de transport, </w:t>
      </w:r>
      <w:r w:rsidR="00900E24" w:rsidRPr="002B7A12">
        <w:rPr>
          <w:sz w:val="24"/>
          <w:szCs w:val="24"/>
        </w:rPr>
        <w:t>nous ne devons pas baisser la garde et accepter un retard de plusieurs années dans l’application du RTAPH dans son entièreté</w:t>
      </w:r>
      <w:r w:rsidR="008347BB" w:rsidRPr="002B7A12">
        <w:rPr>
          <w:sz w:val="24"/>
          <w:szCs w:val="24"/>
        </w:rPr>
        <w:t>.</w:t>
      </w:r>
      <w:r w:rsidR="00195610" w:rsidRPr="002B7A12">
        <w:rPr>
          <w:sz w:val="24"/>
          <w:szCs w:val="24"/>
        </w:rPr>
        <w:t xml:space="preserve"> </w:t>
      </w:r>
      <w:r>
        <w:rPr>
          <w:sz w:val="24"/>
          <w:szCs w:val="24"/>
        </w:rPr>
        <w:t>Nous fondons</w:t>
      </w:r>
      <w:r w:rsidR="00195610" w:rsidRPr="002B7A12">
        <w:rPr>
          <w:sz w:val="24"/>
          <w:szCs w:val="24"/>
        </w:rPr>
        <w:t xml:space="preserve"> beaucoup d’espoir dans </w:t>
      </w:r>
      <w:r w:rsidR="000E2CA7" w:rsidRPr="002B7A12">
        <w:rPr>
          <w:sz w:val="24"/>
          <w:szCs w:val="24"/>
        </w:rPr>
        <w:t xml:space="preserve">le cadre applicable qui nous a été présenté ainsi que dans </w:t>
      </w:r>
      <w:r w:rsidR="00195610" w:rsidRPr="002B7A12">
        <w:rPr>
          <w:sz w:val="24"/>
          <w:szCs w:val="24"/>
        </w:rPr>
        <w:t>la volonté clairement exprimée par le président et premier dirigeant de l’OTC, dans un discours prononcé lors du symposium mondial de l’IATA sur l’accessibilité du 27 octobre dernier qui s’intitulait « Accessibilité et reprise : Éliminer les obstacles aux déplacements des voyageurs handicapés à mesure que le secteur du transport aérien reprend son essor ». Dans ce discours, il présente un argumentaire pour convaincre les entreprises du secteur du transport aérien de travailler pour rendre leurs transports accessibles en utilisant des arguments philosophiques et économiques. Nous souhaitons y ajouter un argument essentiel, les droits de la personne. N’oublions pas que l</w:t>
      </w:r>
      <w:r w:rsidR="008347BB" w:rsidRPr="002B7A12">
        <w:rPr>
          <w:sz w:val="24"/>
          <w:szCs w:val="24"/>
        </w:rPr>
        <w:t>e droit à des transports accessibles est reconnu dans la Convention</w:t>
      </w:r>
      <w:r w:rsidR="00195610" w:rsidRPr="002B7A12">
        <w:rPr>
          <w:sz w:val="24"/>
          <w:szCs w:val="24"/>
        </w:rPr>
        <w:t xml:space="preserve"> </w:t>
      </w:r>
      <w:r w:rsidR="008347BB" w:rsidRPr="002B7A12">
        <w:rPr>
          <w:sz w:val="24"/>
          <w:szCs w:val="24"/>
        </w:rPr>
        <w:t xml:space="preserve">relative aux droits des personnes handicapées de l’ONU </w:t>
      </w:r>
      <w:r w:rsidR="00195610" w:rsidRPr="002B7A12">
        <w:rPr>
          <w:sz w:val="24"/>
          <w:szCs w:val="24"/>
        </w:rPr>
        <w:t xml:space="preserve">(article 9) </w:t>
      </w:r>
      <w:r w:rsidR="008347BB" w:rsidRPr="002B7A12">
        <w:rPr>
          <w:sz w:val="24"/>
          <w:szCs w:val="24"/>
        </w:rPr>
        <w:t>ainsi que dans la Charte canadienne des droits et libertés</w:t>
      </w:r>
      <w:r w:rsidR="00A1164B" w:rsidRPr="002B7A12">
        <w:rPr>
          <w:sz w:val="24"/>
          <w:szCs w:val="24"/>
        </w:rPr>
        <w:t xml:space="preserve"> (articles 6 et 15)</w:t>
      </w:r>
      <w:r w:rsidR="008347BB" w:rsidRPr="002B7A12">
        <w:rPr>
          <w:sz w:val="24"/>
          <w:szCs w:val="24"/>
        </w:rPr>
        <w:t xml:space="preserve">. La jurisprudence le prouvant ne manque pas. Maintenant que nous avons un cadre réglementaire à notre disposition pour obliger les fournisseurs </w:t>
      </w:r>
      <w:r w:rsidR="00195610" w:rsidRPr="002B7A12">
        <w:rPr>
          <w:sz w:val="24"/>
          <w:szCs w:val="24"/>
        </w:rPr>
        <w:t xml:space="preserve">à offrir des </w:t>
      </w:r>
      <w:r w:rsidR="008347BB" w:rsidRPr="002B7A12">
        <w:rPr>
          <w:sz w:val="24"/>
          <w:szCs w:val="24"/>
        </w:rPr>
        <w:t>transport</w:t>
      </w:r>
      <w:r w:rsidR="00195610" w:rsidRPr="002B7A12">
        <w:rPr>
          <w:sz w:val="24"/>
          <w:szCs w:val="24"/>
        </w:rPr>
        <w:t>s</w:t>
      </w:r>
      <w:r w:rsidR="008347BB" w:rsidRPr="002B7A12">
        <w:rPr>
          <w:sz w:val="24"/>
          <w:szCs w:val="24"/>
        </w:rPr>
        <w:t xml:space="preserve"> accessibles aux personnes handicapées, nous devons nous assurer que ce règlement soit appliqué en entier aussi vite que possible.</w:t>
      </w:r>
    </w:p>
    <w:p w14:paraId="347C2E1E" w14:textId="77777777" w:rsidR="00BF6688" w:rsidRPr="00BF6688" w:rsidRDefault="0039267C" w:rsidP="00394AD5">
      <w:pPr>
        <w:jc w:val="both"/>
        <w:rPr>
          <w:b/>
          <w:bCs/>
          <w:sz w:val="24"/>
          <w:szCs w:val="24"/>
        </w:rPr>
      </w:pPr>
      <w:r w:rsidRPr="00BF6688">
        <w:rPr>
          <w:b/>
          <w:bCs/>
          <w:sz w:val="24"/>
          <w:szCs w:val="24"/>
        </w:rPr>
        <w:t xml:space="preserve">Recommandation 2 : </w:t>
      </w:r>
    </w:p>
    <w:p w14:paraId="3A4CAF9F" w14:textId="49FAC59F" w:rsidR="0039267C" w:rsidRPr="002B7A12" w:rsidRDefault="0039267C" w:rsidP="00394AD5">
      <w:pPr>
        <w:jc w:val="both"/>
        <w:rPr>
          <w:sz w:val="24"/>
          <w:szCs w:val="24"/>
        </w:rPr>
      </w:pPr>
      <w:r>
        <w:rPr>
          <w:sz w:val="24"/>
          <w:szCs w:val="24"/>
        </w:rPr>
        <w:t>Le RTAPH doit être appliqué dans son entièreté le plus rapidement possible, pour aplanir les obstacles rencontrés par les personnes handicapé</w:t>
      </w:r>
      <w:r w:rsidR="005D0F55">
        <w:rPr>
          <w:sz w:val="24"/>
          <w:szCs w:val="24"/>
        </w:rPr>
        <w:t>e</w:t>
      </w:r>
      <w:r>
        <w:rPr>
          <w:sz w:val="24"/>
          <w:szCs w:val="24"/>
        </w:rPr>
        <w:t xml:space="preserve">s </w:t>
      </w:r>
      <w:r w:rsidR="00487F74">
        <w:rPr>
          <w:sz w:val="24"/>
          <w:szCs w:val="24"/>
        </w:rPr>
        <w:t>lorsqu’</w:t>
      </w:r>
      <w:r w:rsidR="005D0F55">
        <w:rPr>
          <w:sz w:val="24"/>
          <w:szCs w:val="24"/>
        </w:rPr>
        <w:t>elles</w:t>
      </w:r>
      <w:r w:rsidR="00487F74">
        <w:rPr>
          <w:sz w:val="24"/>
          <w:szCs w:val="24"/>
        </w:rPr>
        <w:t xml:space="preserve"> utilisent les services des fournisseurs de transport et pour respecter les droits de la personne.</w:t>
      </w:r>
    </w:p>
    <w:p w14:paraId="5C0F5B9F" w14:textId="14A46625" w:rsidR="00AE406D" w:rsidRPr="00597EBC" w:rsidRDefault="00EB0FEF" w:rsidP="00394AD5">
      <w:pPr>
        <w:pStyle w:val="Titre3"/>
        <w:spacing w:before="0" w:line="300" w:lineRule="auto"/>
        <w:rPr>
          <w:rFonts w:ascii="Arial" w:hAnsi="Arial"/>
          <w:b/>
          <w:bCs/>
          <w:color w:val="000000" w:themeColor="text1"/>
          <w:sz w:val="28"/>
          <w:szCs w:val="28"/>
        </w:rPr>
      </w:pPr>
      <w:bookmarkStart w:id="13" w:name="_Toc58588026"/>
      <w:r w:rsidRPr="00597EBC">
        <w:rPr>
          <w:rFonts w:ascii="Arial" w:hAnsi="Arial"/>
          <w:b/>
          <w:bCs/>
          <w:color w:val="000000" w:themeColor="text1"/>
          <w:sz w:val="28"/>
          <w:szCs w:val="28"/>
        </w:rPr>
        <w:t xml:space="preserve">Utilisation des expertises du milieu communautaire </w:t>
      </w:r>
      <w:r w:rsidR="006A43AB" w:rsidRPr="00597EBC">
        <w:rPr>
          <w:rFonts w:ascii="Arial" w:hAnsi="Arial"/>
          <w:b/>
          <w:bCs/>
          <w:color w:val="000000" w:themeColor="text1"/>
          <w:sz w:val="28"/>
          <w:szCs w:val="28"/>
        </w:rPr>
        <w:t>des personnes handicapées et dérogations à la pièce</w:t>
      </w:r>
      <w:bookmarkEnd w:id="13"/>
    </w:p>
    <w:p w14:paraId="0C9E477E" w14:textId="2F3CC3AC" w:rsidR="00B6793D" w:rsidRPr="002B7A12" w:rsidRDefault="00836DFF" w:rsidP="00394AD5">
      <w:pPr>
        <w:jc w:val="both"/>
        <w:rPr>
          <w:sz w:val="24"/>
          <w:szCs w:val="24"/>
        </w:rPr>
      </w:pPr>
      <w:r w:rsidRPr="002B7A12">
        <w:rPr>
          <w:sz w:val="24"/>
          <w:szCs w:val="24"/>
        </w:rPr>
        <w:t>Nous</w:t>
      </w:r>
      <w:r w:rsidR="007A48B3" w:rsidRPr="002B7A12">
        <w:rPr>
          <w:sz w:val="24"/>
          <w:szCs w:val="24"/>
        </w:rPr>
        <w:t xml:space="preserve"> ne pouvons accepter en bloc les demandes de délais supplémentaires qui</w:t>
      </w:r>
      <w:r w:rsidR="002215F2" w:rsidRPr="002B7A12">
        <w:rPr>
          <w:sz w:val="24"/>
          <w:szCs w:val="24"/>
        </w:rPr>
        <w:t xml:space="preserve"> nous sont formulées. Cela dit, nous pourrions envisager que de tels délais puissent être accordés </w:t>
      </w:r>
      <w:r w:rsidR="00185A47" w:rsidRPr="002B7A12">
        <w:rPr>
          <w:sz w:val="24"/>
          <w:szCs w:val="24"/>
        </w:rPr>
        <w:t xml:space="preserve">à des fournisseurs de transport, à la pièce. Pour ce faire, les expertises du milieu communautaire </w:t>
      </w:r>
      <w:r w:rsidR="000E4837" w:rsidRPr="002B7A12">
        <w:rPr>
          <w:sz w:val="24"/>
          <w:szCs w:val="24"/>
        </w:rPr>
        <w:t xml:space="preserve">des personnes handicapées doivent être mises à contribution. Nous </w:t>
      </w:r>
      <w:r w:rsidR="00922449" w:rsidRPr="002B7A12">
        <w:rPr>
          <w:sz w:val="24"/>
          <w:szCs w:val="24"/>
        </w:rPr>
        <w:t xml:space="preserve">demandons </w:t>
      </w:r>
      <w:r w:rsidR="000E4837" w:rsidRPr="002B7A12">
        <w:rPr>
          <w:sz w:val="24"/>
          <w:szCs w:val="24"/>
        </w:rPr>
        <w:t xml:space="preserve">que </w:t>
      </w:r>
      <w:r w:rsidR="0037505E" w:rsidRPr="002B7A12">
        <w:rPr>
          <w:sz w:val="24"/>
          <w:szCs w:val="24"/>
        </w:rPr>
        <w:t>l’OTC</w:t>
      </w:r>
      <w:r w:rsidR="00E0762E" w:rsidRPr="002B7A12">
        <w:rPr>
          <w:sz w:val="24"/>
          <w:szCs w:val="24"/>
        </w:rPr>
        <w:t xml:space="preserve"> développe le réflexe de consulter </w:t>
      </w:r>
      <w:r w:rsidR="0037505E" w:rsidRPr="002B7A12">
        <w:rPr>
          <w:sz w:val="24"/>
          <w:szCs w:val="24"/>
        </w:rPr>
        <w:t>les organis</w:t>
      </w:r>
      <w:r w:rsidR="005F5501" w:rsidRPr="002B7A12">
        <w:rPr>
          <w:sz w:val="24"/>
          <w:szCs w:val="24"/>
        </w:rPr>
        <w:t xml:space="preserve">mes communautaires ayant une expertise plus pointue </w:t>
      </w:r>
      <w:r w:rsidR="00F6156C" w:rsidRPr="002B7A12">
        <w:rPr>
          <w:sz w:val="24"/>
          <w:szCs w:val="24"/>
        </w:rPr>
        <w:t xml:space="preserve">pour statuer sur </w:t>
      </w:r>
      <w:r w:rsidR="00824110" w:rsidRPr="002B7A12">
        <w:rPr>
          <w:sz w:val="24"/>
          <w:szCs w:val="24"/>
        </w:rPr>
        <w:t xml:space="preserve">chaque </w:t>
      </w:r>
      <w:r w:rsidR="00F6156C" w:rsidRPr="002B7A12">
        <w:rPr>
          <w:sz w:val="24"/>
          <w:szCs w:val="24"/>
        </w:rPr>
        <w:t>cas de demande de dérogation en particulier.</w:t>
      </w:r>
      <w:r w:rsidR="00BB00FE" w:rsidRPr="002B7A12">
        <w:rPr>
          <w:sz w:val="24"/>
          <w:szCs w:val="24"/>
        </w:rPr>
        <w:t xml:space="preserve"> </w:t>
      </w:r>
      <w:r w:rsidR="00C73EB4" w:rsidRPr="002B7A12">
        <w:rPr>
          <w:sz w:val="24"/>
          <w:szCs w:val="24"/>
        </w:rPr>
        <w:t xml:space="preserve">Cela pourrait se faire par des sollicitations que l’OTC ferait directement </w:t>
      </w:r>
      <w:r w:rsidR="00BD7DF7" w:rsidRPr="002B7A12">
        <w:rPr>
          <w:sz w:val="24"/>
          <w:szCs w:val="24"/>
        </w:rPr>
        <w:t xml:space="preserve">auprès de </w:t>
      </w:r>
      <w:r w:rsidR="00C73EB4" w:rsidRPr="002B7A12">
        <w:rPr>
          <w:sz w:val="24"/>
          <w:szCs w:val="24"/>
        </w:rPr>
        <w:t xml:space="preserve">ces organismes, </w:t>
      </w:r>
      <w:r w:rsidR="00BD7DF7" w:rsidRPr="002B7A12">
        <w:rPr>
          <w:sz w:val="24"/>
          <w:szCs w:val="24"/>
        </w:rPr>
        <w:t xml:space="preserve">en utilisant le canal de communication qui existe déjà au comité consultatif </w:t>
      </w:r>
      <w:r w:rsidR="007C08E5" w:rsidRPr="002B7A12">
        <w:rPr>
          <w:sz w:val="24"/>
          <w:szCs w:val="24"/>
        </w:rPr>
        <w:t xml:space="preserve">sur l’accessibilité de l’OTC ou en créant des comités </w:t>
      </w:r>
      <w:r w:rsidR="002D66C0" w:rsidRPr="002B7A12">
        <w:rPr>
          <w:sz w:val="24"/>
          <w:szCs w:val="24"/>
        </w:rPr>
        <w:t>de travail</w:t>
      </w:r>
      <w:r w:rsidR="007C08E5" w:rsidRPr="002B7A12">
        <w:rPr>
          <w:sz w:val="24"/>
          <w:szCs w:val="24"/>
        </w:rPr>
        <w:t xml:space="preserve"> pour examiner chaque demande lorsque requis. Lors de ces discussions, on retrouverait </w:t>
      </w:r>
      <w:r w:rsidR="00E561C5" w:rsidRPr="002B7A12">
        <w:rPr>
          <w:sz w:val="24"/>
          <w:szCs w:val="24"/>
        </w:rPr>
        <w:t xml:space="preserve">le fournisseur de transport souhaitant une dérogation, un ou des organismes du milieu communautaire des personnes handicapées ayant une expertise particulière dans les matières pour lesquelles le fournisseur demande une dérogation et </w:t>
      </w:r>
      <w:r w:rsidR="008F7EB3" w:rsidRPr="002B7A12">
        <w:rPr>
          <w:sz w:val="24"/>
          <w:szCs w:val="24"/>
        </w:rPr>
        <w:t xml:space="preserve">étant en mesure de </w:t>
      </w:r>
      <w:r w:rsidR="00E561C5" w:rsidRPr="002B7A12">
        <w:rPr>
          <w:sz w:val="24"/>
          <w:szCs w:val="24"/>
        </w:rPr>
        <w:t>se prononcer, ainsi que des représentants de l’OTC.</w:t>
      </w:r>
      <w:r w:rsidR="00241151" w:rsidRPr="002B7A12">
        <w:rPr>
          <w:sz w:val="24"/>
          <w:szCs w:val="24"/>
        </w:rPr>
        <w:t xml:space="preserve"> </w:t>
      </w:r>
      <w:r w:rsidR="00AE406D" w:rsidRPr="002B7A12">
        <w:rPr>
          <w:sz w:val="24"/>
          <w:szCs w:val="24"/>
        </w:rPr>
        <w:t>Dans le respect des accords de confidentialité applicables</w:t>
      </w:r>
      <w:r w:rsidR="005C07F8" w:rsidRPr="002B7A12">
        <w:rPr>
          <w:sz w:val="24"/>
          <w:szCs w:val="24"/>
        </w:rPr>
        <w:t xml:space="preserve"> s’il y a lieu</w:t>
      </w:r>
      <w:r w:rsidR="00AE406D" w:rsidRPr="002B7A12">
        <w:rPr>
          <w:sz w:val="24"/>
          <w:szCs w:val="24"/>
        </w:rPr>
        <w:t xml:space="preserve">, </w:t>
      </w:r>
      <w:r w:rsidR="005C07F8" w:rsidRPr="002B7A12">
        <w:rPr>
          <w:sz w:val="24"/>
          <w:szCs w:val="24"/>
        </w:rPr>
        <w:t>c</w:t>
      </w:r>
      <w:r w:rsidR="00367AFD" w:rsidRPr="002B7A12">
        <w:rPr>
          <w:sz w:val="24"/>
          <w:szCs w:val="24"/>
        </w:rPr>
        <w:t>e</w:t>
      </w:r>
      <w:r w:rsidR="008D66D3" w:rsidRPr="002B7A12">
        <w:rPr>
          <w:sz w:val="24"/>
          <w:szCs w:val="24"/>
        </w:rPr>
        <w:t xml:space="preserve">s personnes disposeraient </w:t>
      </w:r>
      <w:r w:rsidR="00367AFD" w:rsidRPr="002B7A12">
        <w:rPr>
          <w:sz w:val="24"/>
          <w:szCs w:val="24"/>
        </w:rPr>
        <w:t>de toute l’information requise pour prendre une décision éclairée</w:t>
      </w:r>
      <w:r w:rsidR="00EB41FB" w:rsidRPr="002B7A12">
        <w:rPr>
          <w:sz w:val="24"/>
          <w:szCs w:val="24"/>
        </w:rPr>
        <w:t xml:space="preserve">. On </w:t>
      </w:r>
      <w:r w:rsidR="009A21BC" w:rsidRPr="002B7A12">
        <w:rPr>
          <w:sz w:val="24"/>
          <w:szCs w:val="24"/>
        </w:rPr>
        <w:t>pourrait y recommander</w:t>
      </w:r>
      <w:r w:rsidR="00367AFD" w:rsidRPr="002B7A12">
        <w:rPr>
          <w:sz w:val="24"/>
          <w:szCs w:val="24"/>
        </w:rPr>
        <w:t> :</w:t>
      </w:r>
    </w:p>
    <w:p w14:paraId="4C6A4753" w14:textId="24459E3B" w:rsidR="00367AFD" w:rsidRPr="002B7A12" w:rsidRDefault="00D625A2" w:rsidP="00394AD5">
      <w:pPr>
        <w:pStyle w:val="Paragraphedeliste"/>
        <w:numPr>
          <w:ilvl w:val="0"/>
          <w:numId w:val="3"/>
        </w:numPr>
        <w:jc w:val="both"/>
        <w:rPr>
          <w:sz w:val="24"/>
          <w:szCs w:val="24"/>
        </w:rPr>
      </w:pPr>
      <w:r w:rsidRPr="002B7A12">
        <w:rPr>
          <w:sz w:val="24"/>
          <w:szCs w:val="24"/>
        </w:rPr>
        <w:t>d</w:t>
      </w:r>
      <w:r w:rsidR="00367AFD" w:rsidRPr="002B7A12">
        <w:rPr>
          <w:sz w:val="24"/>
          <w:szCs w:val="24"/>
        </w:rPr>
        <w:t>’accepter tous les délais demandés par un fournisseur, tou</w:t>
      </w:r>
      <w:r w:rsidRPr="002B7A12">
        <w:rPr>
          <w:sz w:val="24"/>
          <w:szCs w:val="24"/>
        </w:rPr>
        <w:t>t</w:t>
      </w:r>
      <w:r w:rsidR="00367AFD" w:rsidRPr="002B7A12">
        <w:rPr>
          <w:sz w:val="24"/>
          <w:szCs w:val="24"/>
        </w:rPr>
        <w:t xml:space="preserve"> en validant le plan proposé ainsi que l’échéancier pour se conformer aux articles du RTAPH;</w:t>
      </w:r>
    </w:p>
    <w:p w14:paraId="2189C1E4" w14:textId="645E5B05" w:rsidR="00367AFD" w:rsidRPr="002B7A12" w:rsidRDefault="00D625A2" w:rsidP="00394AD5">
      <w:pPr>
        <w:pStyle w:val="Paragraphedeliste"/>
        <w:numPr>
          <w:ilvl w:val="0"/>
          <w:numId w:val="3"/>
        </w:numPr>
        <w:jc w:val="both"/>
        <w:rPr>
          <w:sz w:val="24"/>
          <w:szCs w:val="24"/>
        </w:rPr>
      </w:pPr>
      <w:r w:rsidRPr="002B7A12">
        <w:rPr>
          <w:sz w:val="24"/>
          <w:szCs w:val="24"/>
        </w:rPr>
        <w:t>d</w:t>
      </w:r>
      <w:r w:rsidR="00367AFD" w:rsidRPr="002B7A12">
        <w:rPr>
          <w:sz w:val="24"/>
          <w:szCs w:val="24"/>
        </w:rPr>
        <w:t xml:space="preserve">’accepter en partie les délais demandés, en étayant </w:t>
      </w:r>
      <w:r w:rsidR="00C92AA4" w:rsidRPr="002B7A12">
        <w:rPr>
          <w:sz w:val="24"/>
          <w:szCs w:val="24"/>
        </w:rPr>
        <w:t>nos</w:t>
      </w:r>
      <w:r w:rsidR="00367AFD" w:rsidRPr="002B7A12">
        <w:rPr>
          <w:sz w:val="24"/>
          <w:szCs w:val="24"/>
        </w:rPr>
        <w:t xml:space="preserve"> recommandations et en validant le plan et l’échéancier proposé;</w:t>
      </w:r>
    </w:p>
    <w:p w14:paraId="209B2A3F" w14:textId="48E249C4" w:rsidR="00367AFD" w:rsidRPr="002B7A12" w:rsidRDefault="00D625A2" w:rsidP="00394AD5">
      <w:pPr>
        <w:pStyle w:val="Paragraphedeliste"/>
        <w:numPr>
          <w:ilvl w:val="0"/>
          <w:numId w:val="3"/>
        </w:numPr>
        <w:jc w:val="both"/>
        <w:rPr>
          <w:sz w:val="24"/>
          <w:szCs w:val="24"/>
        </w:rPr>
      </w:pPr>
      <w:r w:rsidRPr="002B7A12">
        <w:rPr>
          <w:sz w:val="24"/>
          <w:szCs w:val="24"/>
        </w:rPr>
        <w:t>d</w:t>
      </w:r>
      <w:r w:rsidR="00367AFD" w:rsidRPr="002B7A12">
        <w:rPr>
          <w:sz w:val="24"/>
          <w:szCs w:val="24"/>
        </w:rPr>
        <w:t xml:space="preserve">e ne pas accepter aucun délai supplémentaire pour un fournisseur, en étayant </w:t>
      </w:r>
      <w:r w:rsidR="00C92AA4" w:rsidRPr="002B7A12">
        <w:rPr>
          <w:sz w:val="24"/>
          <w:szCs w:val="24"/>
        </w:rPr>
        <w:t>notre</w:t>
      </w:r>
      <w:r w:rsidR="00367AFD" w:rsidRPr="002B7A12">
        <w:rPr>
          <w:sz w:val="24"/>
          <w:szCs w:val="24"/>
        </w:rPr>
        <w:t xml:space="preserve"> réponse et en rappelant au fournisseur concerné les sanctions administratives pécuniaires auxquelles il s’expose en </w:t>
      </w:r>
      <w:r w:rsidRPr="002B7A12">
        <w:rPr>
          <w:sz w:val="24"/>
          <w:szCs w:val="24"/>
        </w:rPr>
        <w:t>ne se conformant pas au RTAPH.</w:t>
      </w:r>
    </w:p>
    <w:p w14:paraId="24D57E4A" w14:textId="5B1B8CB1" w:rsidR="005C07F8" w:rsidRPr="002B7A12" w:rsidRDefault="005C07F8" w:rsidP="00394AD5">
      <w:pPr>
        <w:jc w:val="both"/>
        <w:rPr>
          <w:sz w:val="24"/>
          <w:szCs w:val="24"/>
        </w:rPr>
      </w:pPr>
      <w:r w:rsidRPr="002B7A12">
        <w:rPr>
          <w:sz w:val="24"/>
          <w:szCs w:val="24"/>
        </w:rPr>
        <w:t>Ce</w:t>
      </w:r>
      <w:r w:rsidR="00A24A22" w:rsidRPr="002B7A12">
        <w:rPr>
          <w:sz w:val="24"/>
          <w:szCs w:val="24"/>
        </w:rPr>
        <w:t>s échanges permettraient</w:t>
      </w:r>
      <w:r w:rsidRPr="002B7A12">
        <w:rPr>
          <w:sz w:val="24"/>
          <w:szCs w:val="24"/>
        </w:rPr>
        <w:t xml:space="preserve"> </w:t>
      </w:r>
      <w:r w:rsidR="009734C8" w:rsidRPr="002B7A12">
        <w:rPr>
          <w:sz w:val="24"/>
          <w:szCs w:val="24"/>
        </w:rPr>
        <w:t xml:space="preserve">de décider </w:t>
      </w:r>
      <w:r w:rsidRPr="002B7A12">
        <w:rPr>
          <w:sz w:val="24"/>
          <w:szCs w:val="24"/>
        </w:rPr>
        <w:t xml:space="preserve">à la pièce des délais pouvant être accordés à chaque fournisseur de transport en faisant la demande. Tout en tenant compte du contexte particulier de chaque fournisseur, il faudrait démontrer la contrainte excessive en termes économiques et même dans ce cas, </w:t>
      </w:r>
      <w:r w:rsidR="0063676E" w:rsidRPr="002B7A12">
        <w:rPr>
          <w:sz w:val="24"/>
          <w:szCs w:val="24"/>
        </w:rPr>
        <w:t xml:space="preserve">il faudrait </w:t>
      </w:r>
      <w:r w:rsidRPr="002B7A12">
        <w:rPr>
          <w:sz w:val="24"/>
          <w:szCs w:val="24"/>
        </w:rPr>
        <w:t>balancer la contrainte excessive avec d’autres facteurs, tout particulièrement le respect des droits de la personne handicapée de pouvoir bénéficier de transports accessibles. Dans de tels cas de figure, d’autres solutions pourraient être envisagées pour permettre au fournisseur de se conformer, par exemple l’obtention d’une subvention gouvernementale devant être utilisée à cette fin et incluant une reddition de comptes pour s’en assurer.</w:t>
      </w:r>
    </w:p>
    <w:p w14:paraId="48B2CC7A" w14:textId="1BEFEAE3" w:rsidR="0085229C" w:rsidRPr="002B7A12" w:rsidRDefault="00E67417" w:rsidP="00394AD5">
      <w:pPr>
        <w:jc w:val="both"/>
        <w:rPr>
          <w:sz w:val="24"/>
          <w:szCs w:val="24"/>
        </w:rPr>
      </w:pPr>
      <w:r w:rsidRPr="002B7A12">
        <w:rPr>
          <w:sz w:val="24"/>
          <w:szCs w:val="24"/>
        </w:rPr>
        <w:t xml:space="preserve">Également, </w:t>
      </w:r>
      <w:r w:rsidR="0038073C" w:rsidRPr="002B7A12">
        <w:rPr>
          <w:sz w:val="24"/>
          <w:szCs w:val="24"/>
        </w:rPr>
        <w:t xml:space="preserve">approfondir les </w:t>
      </w:r>
      <w:r w:rsidR="00A24444" w:rsidRPr="002B7A12">
        <w:rPr>
          <w:sz w:val="24"/>
          <w:szCs w:val="24"/>
        </w:rPr>
        <w:t>canaux d’échanges</w:t>
      </w:r>
      <w:r w:rsidR="00BB40C1" w:rsidRPr="002B7A12">
        <w:rPr>
          <w:sz w:val="24"/>
          <w:szCs w:val="24"/>
        </w:rPr>
        <w:t xml:space="preserve"> entre l’OTC et le milieu communautaire des personnes handicapées</w:t>
      </w:r>
      <w:r w:rsidR="0038073C" w:rsidRPr="002B7A12">
        <w:rPr>
          <w:sz w:val="24"/>
          <w:szCs w:val="24"/>
        </w:rPr>
        <w:t xml:space="preserve"> </w:t>
      </w:r>
      <w:r w:rsidR="00931CF7" w:rsidRPr="002B7A12">
        <w:rPr>
          <w:sz w:val="24"/>
          <w:szCs w:val="24"/>
        </w:rPr>
        <w:t xml:space="preserve">nous </w:t>
      </w:r>
      <w:r w:rsidR="00325764" w:rsidRPr="002B7A12">
        <w:rPr>
          <w:sz w:val="24"/>
          <w:szCs w:val="24"/>
        </w:rPr>
        <w:t xml:space="preserve">faciliterait la tâche pour </w:t>
      </w:r>
      <w:r w:rsidR="0085229C" w:rsidRPr="002B7A12">
        <w:rPr>
          <w:sz w:val="24"/>
          <w:szCs w:val="24"/>
        </w:rPr>
        <w:t xml:space="preserve">proposer des améliorations au </w:t>
      </w:r>
      <w:r w:rsidR="00B82330">
        <w:rPr>
          <w:sz w:val="24"/>
          <w:szCs w:val="24"/>
        </w:rPr>
        <w:t>R</w:t>
      </w:r>
      <w:r w:rsidR="0085229C" w:rsidRPr="002B7A12">
        <w:rPr>
          <w:sz w:val="24"/>
          <w:szCs w:val="24"/>
        </w:rPr>
        <w:t xml:space="preserve">èglement. Nous souhaitons, par exemple, qu’un formulaire </w:t>
      </w:r>
      <w:r w:rsidR="006F247B" w:rsidRPr="002B7A12">
        <w:rPr>
          <w:sz w:val="24"/>
          <w:szCs w:val="24"/>
        </w:rPr>
        <w:t xml:space="preserve">de déclaration médicale standardisé soit créé, qui serait utilisé par tous les fournisseurs de transport, évitant ainsi aux clients handicapés de devoir fournir de nouveau leurs informations </w:t>
      </w:r>
      <w:r w:rsidR="00C55F03" w:rsidRPr="002B7A12">
        <w:rPr>
          <w:sz w:val="24"/>
          <w:szCs w:val="24"/>
        </w:rPr>
        <w:t>sur leurs limitations fonctionnelles et leurs informations médicales à chaque entreprise</w:t>
      </w:r>
      <w:r w:rsidR="00B43BA2" w:rsidRPr="002B7A12">
        <w:rPr>
          <w:sz w:val="24"/>
          <w:szCs w:val="24"/>
        </w:rPr>
        <w:t xml:space="preserve"> avec laquelle ils devront transiger.</w:t>
      </w:r>
    </w:p>
    <w:p w14:paraId="698DF837" w14:textId="5D451021" w:rsidR="00D625A2" w:rsidRDefault="00D625A2" w:rsidP="00394AD5">
      <w:pPr>
        <w:jc w:val="both"/>
        <w:rPr>
          <w:sz w:val="24"/>
          <w:szCs w:val="24"/>
        </w:rPr>
      </w:pPr>
      <w:r w:rsidRPr="002B7A12">
        <w:rPr>
          <w:sz w:val="24"/>
          <w:szCs w:val="24"/>
        </w:rPr>
        <w:t xml:space="preserve">Enfin, </w:t>
      </w:r>
      <w:r w:rsidR="00597EBC">
        <w:rPr>
          <w:sz w:val="24"/>
          <w:szCs w:val="24"/>
        </w:rPr>
        <w:t>la COPHAN insiste</w:t>
      </w:r>
      <w:r w:rsidRPr="002B7A12">
        <w:rPr>
          <w:sz w:val="24"/>
          <w:szCs w:val="24"/>
        </w:rPr>
        <w:t xml:space="preserve"> sur une dernière remarque : si des délais sont accordés aux fournisseurs de transport quant à l’application de certains articles du RTAPH, on doit s’assurer que dans le cas où </w:t>
      </w:r>
      <w:r w:rsidR="00093063" w:rsidRPr="002B7A12">
        <w:rPr>
          <w:sz w:val="24"/>
          <w:szCs w:val="24"/>
        </w:rPr>
        <w:t xml:space="preserve">des passagers sont lésés dans leurs droits concernant ces mêmes dispositions, ces personnes ne perdent pas leur droit de porter plainte contre l’entreprise </w:t>
      </w:r>
      <w:r w:rsidR="005C07F8" w:rsidRPr="002B7A12">
        <w:rPr>
          <w:sz w:val="24"/>
          <w:szCs w:val="24"/>
        </w:rPr>
        <w:t xml:space="preserve">fautive </w:t>
      </w:r>
      <w:r w:rsidR="00093063" w:rsidRPr="002B7A12">
        <w:rPr>
          <w:sz w:val="24"/>
          <w:szCs w:val="24"/>
        </w:rPr>
        <w:t>et d’être indemnisées en fonction du préjudice subi, en tenant compte de la jurisprudence applicable.</w:t>
      </w:r>
    </w:p>
    <w:p w14:paraId="37FC65D8" w14:textId="77777777" w:rsidR="00BF6688" w:rsidRDefault="00C676A1" w:rsidP="00394AD5">
      <w:pPr>
        <w:jc w:val="both"/>
        <w:rPr>
          <w:sz w:val="24"/>
          <w:szCs w:val="24"/>
        </w:rPr>
      </w:pPr>
      <w:r w:rsidRPr="00BF6688">
        <w:rPr>
          <w:b/>
          <w:bCs/>
          <w:sz w:val="24"/>
          <w:szCs w:val="24"/>
        </w:rPr>
        <w:t>Recommandation 3 :</w:t>
      </w:r>
      <w:r>
        <w:rPr>
          <w:sz w:val="24"/>
          <w:szCs w:val="24"/>
        </w:rPr>
        <w:t xml:space="preserve"> </w:t>
      </w:r>
    </w:p>
    <w:p w14:paraId="3D88B8C0" w14:textId="1B020812" w:rsidR="00C676A1" w:rsidRPr="002B7A12" w:rsidRDefault="00C676A1" w:rsidP="00394AD5">
      <w:pPr>
        <w:jc w:val="both"/>
        <w:rPr>
          <w:sz w:val="24"/>
          <w:szCs w:val="24"/>
        </w:rPr>
      </w:pPr>
      <w:r>
        <w:rPr>
          <w:sz w:val="24"/>
          <w:szCs w:val="24"/>
        </w:rPr>
        <w:t xml:space="preserve">Évaluer les demandes </w:t>
      </w:r>
      <w:r w:rsidR="0018205F">
        <w:rPr>
          <w:sz w:val="24"/>
          <w:szCs w:val="24"/>
        </w:rPr>
        <w:t>de délais additionnels à la pièce et utiliser les expertises des organismes communautaire du milieu des personnes handicapées pour éclairer les décisions de l’OTC en ces matières.</w:t>
      </w:r>
    </w:p>
    <w:p w14:paraId="740DDD8C" w14:textId="77777777" w:rsidR="00AD1C96" w:rsidRPr="002B7A12" w:rsidRDefault="00AD1C96">
      <w:pPr>
        <w:rPr>
          <w:rFonts w:eastAsiaTheme="majorEastAsia" w:cstheme="majorBidi"/>
          <w:sz w:val="24"/>
          <w:szCs w:val="24"/>
        </w:rPr>
      </w:pPr>
      <w:r w:rsidRPr="002B7A12">
        <w:rPr>
          <w:sz w:val="24"/>
          <w:szCs w:val="24"/>
        </w:rPr>
        <w:br w:type="page"/>
      </w:r>
    </w:p>
    <w:p w14:paraId="1322FD46" w14:textId="4ECB9B33" w:rsidR="00C56FC7" w:rsidRPr="00394AD5" w:rsidRDefault="00C56FC7" w:rsidP="00C56FC7">
      <w:pPr>
        <w:pStyle w:val="Titre2"/>
        <w:spacing w:before="500" w:after="500" w:line="300" w:lineRule="auto"/>
        <w:rPr>
          <w:rFonts w:ascii="Arial" w:hAnsi="Arial"/>
          <w:b/>
          <w:bCs/>
          <w:color w:val="000000" w:themeColor="text1"/>
          <w:sz w:val="32"/>
          <w:szCs w:val="32"/>
        </w:rPr>
      </w:pPr>
      <w:bookmarkStart w:id="14" w:name="_Toc58588027"/>
      <w:r w:rsidRPr="00394AD5">
        <w:rPr>
          <w:rFonts w:ascii="Arial" w:hAnsi="Arial"/>
          <w:b/>
          <w:bCs/>
          <w:color w:val="000000" w:themeColor="text1"/>
          <w:sz w:val="32"/>
          <w:szCs w:val="32"/>
        </w:rPr>
        <w:t>Conclusion</w:t>
      </w:r>
      <w:bookmarkEnd w:id="14"/>
    </w:p>
    <w:p w14:paraId="3F6BAA82" w14:textId="4110050E" w:rsidR="00C5374B" w:rsidRDefault="00597EBC" w:rsidP="00394AD5">
      <w:pPr>
        <w:jc w:val="both"/>
        <w:rPr>
          <w:sz w:val="24"/>
          <w:szCs w:val="24"/>
        </w:rPr>
      </w:pPr>
      <w:r>
        <w:rPr>
          <w:sz w:val="24"/>
          <w:szCs w:val="24"/>
        </w:rPr>
        <w:t>La COPHAN est</w:t>
      </w:r>
      <w:r w:rsidR="00C56FC7" w:rsidRPr="002B7A12">
        <w:rPr>
          <w:sz w:val="24"/>
          <w:szCs w:val="24"/>
        </w:rPr>
        <w:t xml:space="preserve"> disposé</w:t>
      </w:r>
      <w:r>
        <w:rPr>
          <w:sz w:val="24"/>
          <w:szCs w:val="24"/>
        </w:rPr>
        <w:t>e</w:t>
      </w:r>
      <w:r w:rsidR="00C56FC7" w:rsidRPr="002B7A12">
        <w:rPr>
          <w:sz w:val="24"/>
          <w:szCs w:val="24"/>
        </w:rPr>
        <w:t xml:space="preserve"> à </w:t>
      </w:r>
      <w:r w:rsidR="0063676E" w:rsidRPr="002B7A12">
        <w:rPr>
          <w:sz w:val="24"/>
          <w:szCs w:val="24"/>
        </w:rPr>
        <w:t xml:space="preserve">poursuivre notre travail </w:t>
      </w:r>
      <w:r w:rsidR="00C56FC7" w:rsidRPr="002B7A12">
        <w:rPr>
          <w:sz w:val="24"/>
          <w:szCs w:val="24"/>
        </w:rPr>
        <w:t>avec l’OTC, avec d’autres organisations travaillant auprès des personnes handicapées de partout au Canada et avec les entreprises de l’industrie du transport pour rendre le transport davantage accessible aux personnes handicapées et pour atteindre les objectifs du RTAPH et de la Loi canadienne sur l’accessibilité.</w:t>
      </w:r>
      <w:r w:rsidR="0063676E" w:rsidRPr="002B7A12">
        <w:rPr>
          <w:sz w:val="24"/>
          <w:szCs w:val="24"/>
        </w:rPr>
        <w:t xml:space="preserve"> En ce sens, nous sommes disposés à </w:t>
      </w:r>
      <w:r w:rsidR="00296C31" w:rsidRPr="002B7A12">
        <w:rPr>
          <w:sz w:val="24"/>
          <w:szCs w:val="24"/>
        </w:rPr>
        <w:t xml:space="preserve">nous impliquer dans les instances qui pourront être mises en place pour évaluer </w:t>
      </w:r>
      <w:r w:rsidR="00C11A6F" w:rsidRPr="002B7A12">
        <w:rPr>
          <w:sz w:val="24"/>
          <w:szCs w:val="24"/>
        </w:rPr>
        <w:t xml:space="preserve">les dérogations pouvant être accordées à des fournisseurs et nous pouvons vous référer des organismes communautaires </w:t>
      </w:r>
      <w:r w:rsidR="006B607A" w:rsidRPr="002B7A12">
        <w:rPr>
          <w:sz w:val="24"/>
          <w:szCs w:val="24"/>
        </w:rPr>
        <w:t xml:space="preserve">représentant les personnes handicapées qui pourront vous </w:t>
      </w:r>
      <w:r w:rsidR="003B1BCB" w:rsidRPr="002B7A12">
        <w:rPr>
          <w:sz w:val="24"/>
          <w:szCs w:val="24"/>
        </w:rPr>
        <w:t>assister dans ces travaux. N</w:t>
      </w:r>
      <w:r w:rsidR="0063676E" w:rsidRPr="002B7A12">
        <w:rPr>
          <w:sz w:val="24"/>
          <w:szCs w:val="24"/>
        </w:rPr>
        <w:t xml:space="preserve">ous poursuivrons </w:t>
      </w:r>
      <w:r w:rsidR="003B1BCB" w:rsidRPr="002B7A12">
        <w:rPr>
          <w:sz w:val="24"/>
          <w:szCs w:val="24"/>
        </w:rPr>
        <w:t xml:space="preserve">également </w:t>
      </w:r>
      <w:r w:rsidR="0063676E" w:rsidRPr="002B7A12">
        <w:rPr>
          <w:sz w:val="24"/>
          <w:szCs w:val="24"/>
        </w:rPr>
        <w:t>notre participation aux instances de l’OTC sur lesquelles nous sommes déjà impliqués.</w:t>
      </w:r>
    </w:p>
    <w:p w14:paraId="1E9EB923" w14:textId="77777777" w:rsidR="00C5374B" w:rsidRDefault="00C5374B">
      <w:pPr>
        <w:rPr>
          <w:sz w:val="24"/>
          <w:szCs w:val="24"/>
        </w:rPr>
      </w:pPr>
      <w:r>
        <w:rPr>
          <w:sz w:val="24"/>
          <w:szCs w:val="24"/>
        </w:rPr>
        <w:br w:type="page"/>
      </w:r>
    </w:p>
    <w:p w14:paraId="7BC7F507" w14:textId="7C4D783C" w:rsidR="00B05CDE" w:rsidRDefault="00C5374B" w:rsidP="00C5374B">
      <w:pPr>
        <w:pStyle w:val="Titre2"/>
        <w:rPr>
          <w:rFonts w:ascii="Arial" w:hAnsi="Arial"/>
          <w:b/>
          <w:color w:val="000000" w:themeColor="text1"/>
          <w:sz w:val="32"/>
        </w:rPr>
      </w:pPr>
      <w:bookmarkStart w:id="15" w:name="_Toc58588028"/>
      <w:r w:rsidRPr="00C5374B">
        <w:rPr>
          <w:rFonts w:ascii="Arial" w:hAnsi="Arial"/>
          <w:b/>
          <w:color w:val="000000" w:themeColor="text1"/>
          <w:sz w:val="32"/>
        </w:rPr>
        <w:t>Liste des recommandations</w:t>
      </w:r>
      <w:bookmarkEnd w:id="15"/>
    </w:p>
    <w:p w14:paraId="09E6DBC8" w14:textId="77777777" w:rsidR="00830316" w:rsidRPr="00CD3915" w:rsidRDefault="00830316" w:rsidP="00CD3915">
      <w:pPr>
        <w:pStyle w:val="Paragraphedeliste"/>
        <w:numPr>
          <w:ilvl w:val="0"/>
          <w:numId w:val="7"/>
        </w:numPr>
        <w:jc w:val="both"/>
        <w:rPr>
          <w:sz w:val="24"/>
          <w:szCs w:val="24"/>
        </w:rPr>
      </w:pPr>
      <w:r w:rsidRPr="00BF6688">
        <w:rPr>
          <w:b/>
          <w:bCs/>
          <w:sz w:val="24"/>
          <w:szCs w:val="24"/>
        </w:rPr>
        <w:t>Recommandation 1 :</w:t>
      </w:r>
      <w:r w:rsidRPr="00CD3915">
        <w:rPr>
          <w:sz w:val="24"/>
          <w:szCs w:val="24"/>
        </w:rPr>
        <w:t xml:space="preserve"> Pour que la COPHAN puisse prendre une décision éclairée quant à la demande de délais supplémentaires qui nous est formulée, il nous faudrait savoir :</w:t>
      </w:r>
    </w:p>
    <w:p w14:paraId="788A2FAA" w14:textId="77777777" w:rsidR="00830316" w:rsidRPr="00CD3915" w:rsidRDefault="00830316" w:rsidP="00CD3915">
      <w:pPr>
        <w:pStyle w:val="Paragraphedeliste"/>
        <w:numPr>
          <w:ilvl w:val="1"/>
          <w:numId w:val="7"/>
        </w:numPr>
        <w:jc w:val="both"/>
        <w:rPr>
          <w:sz w:val="24"/>
          <w:szCs w:val="24"/>
        </w:rPr>
      </w:pPr>
      <w:r w:rsidRPr="00CD3915">
        <w:rPr>
          <w:sz w:val="24"/>
          <w:szCs w:val="24"/>
        </w:rPr>
        <w:t>Quels fournisseurs de transport ont été en mesure de se conformer aux dispositions des articles du règlement dont on demande le report?</w:t>
      </w:r>
    </w:p>
    <w:p w14:paraId="68538CCF" w14:textId="77777777" w:rsidR="00830316" w:rsidRPr="00CD3915" w:rsidRDefault="00830316" w:rsidP="00CD3915">
      <w:pPr>
        <w:pStyle w:val="Paragraphedeliste"/>
        <w:numPr>
          <w:ilvl w:val="1"/>
          <w:numId w:val="7"/>
        </w:numPr>
        <w:jc w:val="both"/>
        <w:rPr>
          <w:sz w:val="24"/>
          <w:szCs w:val="24"/>
        </w:rPr>
      </w:pPr>
      <w:r w:rsidRPr="00CD3915">
        <w:rPr>
          <w:sz w:val="24"/>
          <w:szCs w:val="24"/>
        </w:rPr>
        <w:t>Quels fournisseurs n’ont pas été en mesure de se conformer à ces articles et pourquoi? On doit retrouver des informations détaillées expliquant les démarches faites en vue de se conformer au règlement ainsi que les obstacles rencontrés.</w:t>
      </w:r>
    </w:p>
    <w:p w14:paraId="430AA19D" w14:textId="1FB6E40C" w:rsidR="00830316" w:rsidRPr="00CD3915" w:rsidRDefault="00830316" w:rsidP="002E1AA9">
      <w:pPr>
        <w:pStyle w:val="Paragraphedeliste"/>
        <w:numPr>
          <w:ilvl w:val="1"/>
          <w:numId w:val="7"/>
        </w:numPr>
        <w:jc w:val="both"/>
        <w:rPr>
          <w:sz w:val="24"/>
          <w:szCs w:val="24"/>
        </w:rPr>
      </w:pPr>
      <w:r w:rsidRPr="00CD3915">
        <w:rPr>
          <w:sz w:val="24"/>
          <w:szCs w:val="24"/>
        </w:rPr>
        <w:t>Pour chaque fournisseur de transport qui n’a pas réussi à se conformer au règlement, quel est le plan pour y parvenir? On doit y retrouver un échéancier des étapes suivies et le plan doit pouvoir être réalisé dans un court délai.</w:t>
      </w:r>
    </w:p>
    <w:p w14:paraId="32307220" w14:textId="2F3EA9E0" w:rsidR="009D2B0C" w:rsidRPr="00CD3915" w:rsidRDefault="00686416" w:rsidP="00CD3915">
      <w:pPr>
        <w:pStyle w:val="Paragraphedeliste"/>
        <w:numPr>
          <w:ilvl w:val="0"/>
          <w:numId w:val="7"/>
        </w:numPr>
        <w:jc w:val="both"/>
        <w:rPr>
          <w:sz w:val="24"/>
          <w:szCs w:val="24"/>
        </w:rPr>
      </w:pPr>
      <w:r w:rsidRPr="00BF6688">
        <w:rPr>
          <w:b/>
          <w:bCs/>
          <w:sz w:val="24"/>
          <w:szCs w:val="24"/>
        </w:rPr>
        <w:t>Recommandation 2 :</w:t>
      </w:r>
      <w:r w:rsidRPr="00CD3915">
        <w:rPr>
          <w:sz w:val="24"/>
          <w:szCs w:val="24"/>
        </w:rPr>
        <w:t xml:space="preserve"> Le RTAPH doit être appliqué dans son entièreté le plus rapidement possible, pour aplanir les obstacles rencontrés par les personnes handicapées lorsqu’elles utilisent les services des fournisseurs de transport et pour respecter les droits de la personne.</w:t>
      </w:r>
    </w:p>
    <w:p w14:paraId="1207D084" w14:textId="099BD970" w:rsidR="009D2B0C" w:rsidRPr="00CD3915" w:rsidRDefault="0085625E" w:rsidP="00CD3915">
      <w:pPr>
        <w:pStyle w:val="Paragraphedeliste"/>
        <w:numPr>
          <w:ilvl w:val="0"/>
          <w:numId w:val="7"/>
        </w:numPr>
        <w:jc w:val="both"/>
        <w:rPr>
          <w:sz w:val="24"/>
          <w:szCs w:val="24"/>
        </w:rPr>
      </w:pPr>
      <w:r w:rsidRPr="00BF6688">
        <w:rPr>
          <w:b/>
          <w:bCs/>
          <w:sz w:val="24"/>
          <w:szCs w:val="24"/>
        </w:rPr>
        <w:t>Recommandation 3 :</w:t>
      </w:r>
      <w:r w:rsidRPr="00CD3915">
        <w:rPr>
          <w:sz w:val="24"/>
          <w:szCs w:val="24"/>
        </w:rPr>
        <w:t xml:space="preserve"> Évaluer les demandes de délais additionnels à la pièce et utiliser les expertises des organismes communautaire du milieu des personnes handicapées pour éclairer les décisions de l’OTC en ces matières.</w:t>
      </w:r>
    </w:p>
    <w:sectPr w:rsidR="009D2B0C" w:rsidRPr="00CD391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C36"/>
    <w:multiLevelType w:val="hybridMultilevel"/>
    <w:tmpl w:val="9E26A6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0FB2ACD"/>
    <w:multiLevelType w:val="hybridMultilevel"/>
    <w:tmpl w:val="655271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3A559CA"/>
    <w:multiLevelType w:val="hybridMultilevel"/>
    <w:tmpl w:val="E58CAB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5090DDF"/>
    <w:multiLevelType w:val="hybridMultilevel"/>
    <w:tmpl w:val="BAFA960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87351B2"/>
    <w:multiLevelType w:val="hybridMultilevel"/>
    <w:tmpl w:val="C168411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C9B6E24"/>
    <w:multiLevelType w:val="hybridMultilevel"/>
    <w:tmpl w:val="73DAF52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48E6B05"/>
    <w:multiLevelType w:val="hybridMultilevel"/>
    <w:tmpl w:val="DD80F1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414"/>
    <w:rsid w:val="00005414"/>
    <w:rsid w:val="00026FA8"/>
    <w:rsid w:val="00093063"/>
    <w:rsid w:val="000B160F"/>
    <w:rsid w:val="000C10FF"/>
    <w:rsid w:val="000E2CA7"/>
    <w:rsid w:val="000E3DE4"/>
    <w:rsid w:val="000E4837"/>
    <w:rsid w:val="0010210A"/>
    <w:rsid w:val="00156579"/>
    <w:rsid w:val="00173C3D"/>
    <w:rsid w:val="0018205F"/>
    <w:rsid w:val="00185A47"/>
    <w:rsid w:val="00195610"/>
    <w:rsid w:val="002215F2"/>
    <w:rsid w:val="00241151"/>
    <w:rsid w:val="002536FE"/>
    <w:rsid w:val="00266D54"/>
    <w:rsid w:val="00296C31"/>
    <w:rsid w:val="002B7A12"/>
    <w:rsid w:val="002C24D2"/>
    <w:rsid w:val="002D5175"/>
    <w:rsid w:val="002D66C0"/>
    <w:rsid w:val="002E1AA9"/>
    <w:rsid w:val="002F45C9"/>
    <w:rsid w:val="00325764"/>
    <w:rsid w:val="00367AFD"/>
    <w:rsid w:val="0037505E"/>
    <w:rsid w:val="0038073C"/>
    <w:rsid w:val="0039267C"/>
    <w:rsid w:val="00394AD5"/>
    <w:rsid w:val="003A0D46"/>
    <w:rsid w:val="003B1BCB"/>
    <w:rsid w:val="003B3A23"/>
    <w:rsid w:val="003D33C0"/>
    <w:rsid w:val="004822D5"/>
    <w:rsid w:val="00487F74"/>
    <w:rsid w:val="004C1C5A"/>
    <w:rsid w:val="004D2585"/>
    <w:rsid w:val="004E2DC3"/>
    <w:rsid w:val="00537404"/>
    <w:rsid w:val="005375D9"/>
    <w:rsid w:val="00597EBC"/>
    <w:rsid w:val="005C07F8"/>
    <w:rsid w:val="005D0F55"/>
    <w:rsid w:val="005D0FA8"/>
    <w:rsid w:val="005F5501"/>
    <w:rsid w:val="0063676E"/>
    <w:rsid w:val="00682090"/>
    <w:rsid w:val="00686416"/>
    <w:rsid w:val="006A43AB"/>
    <w:rsid w:val="006B607A"/>
    <w:rsid w:val="006C5AF8"/>
    <w:rsid w:val="006D0054"/>
    <w:rsid w:val="006F247B"/>
    <w:rsid w:val="00753F64"/>
    <w:rsid w:val="007545ED"/>
    <w:rsid w:val="007665A8"/>
    <w:rsid w:val="007A48B3"/>
    <w:rsid w:val="007C08E5"/>
    <w:rsid w:val="007C61FC"/>
    <w:rsid w:val="007D2812"/>
    <w:rsid w:val="007F5692"/>
    <w:rsid w:val="00815B4F"/>
    <w:rsid w:val="00824110"/>
    <w:rsid w:val="00830316"/>
    <w:rsid w:val="008347BB"/>
    <w:rsid w:val="00836DFF"/>
    <w:rsid w:val="0085175F"/>
    <w:rsid w:val="0085229C"/>
    <w:rsid w:val="0085625E"/>
    <w:rsid w:val="008D66D3"/>
    <w:rsid w:val="008F4123"/>
    <w:rsid w:val="008F7EB3"/>
    <w:rsid w:val="00900E24"/>
    <w:rsid w:val="0091118A"/>
    <w:rsid w:val="00922449"/>
    <w:rsid w:val="00931CF7"/>
    <w:rsid w:val="009734C8"/>
    <w:rsid w:val="009A21BC"/>
    <w:rsid w:val="009D2B0C"/>
    <w:rsid w:val="009E047B"/>
    <w:rsid w:val="00A02BE4"/>
    <w:rsid w:val="00A1164B"/>
    <w:rsid w:val="00A21D44"/>
    <w:rsid w:val="00A24444"/>
    <w:rsid w:val="00A24A22"/>
    <w:rsid w:val="00A260E9"/>
    <w:rsid w:val="00A96531"/>
    <w:rsid w:val="00AA0D71"/>
    <w:rsid w:val="00AB600D"/>
    <w:rsid w:val="00AD0BF8"/>
    <w:rsid w:val="00AD1C96"/>
    <w:rsid w:val="00AE406D"/>
    <w:rsid w:val="00B05CDE"/>
    <w:rsid w:val="00B43BA2"/>
    <w:rsid w:val="00B518D9"/>
    <w:rsid w:val="00B6793D"/>
    <w:rsid w:val="00B82330"/>
    <w:rsid w:val="00BA4612"/>
    <w:rsid w:val="00BB00FE"/>
    <w:rsid w:val="00BB40C1"/>
    <w:rsid w:val="00BB43D7"/>
    <w:rsid w:val="00BD7DF7"/>
    <w:rsid w:val="00BF6688"/>
    <w:rsid w:val="00BF7318"/>
    <w:rsid w:val="00C11A6F"/>
    <w:rsid w:val="00C26C2B"/>
    <w:rsid w:val="00C5374B"/>
    <w:rsid w:val="00C55E12"/>
    <w:rsid w:val="00C55F03"/>
    <w:rsid w:val="00C56FC7"/>
    <w:rsid w:val="00C676A1"/>
    <w:rsid w:val="00C73EB4"/>
    <w:rsid w:val="00C92AA4"/>
    <w:rsid w:val="00CD3915"/>
    <w:rsid w:val="00D335C9"/>
    <w:rsid w:val="00D625A2"/>
    <w:rsid w:val="00DA6617"/>
    <w:rsid w:val="00DB77D9"/>
    <w:rsid w:val="00DD0D78"/>
    <w:rsid w:val="00DF6481"/>
    <w:rsid w:val="00E0762E"/>
    <w:rsid w:val="00E258F3"/>
    <w:rsid w:val="00E561C5"/>
    <w:rsid w:val="00E67417"/>
    <w:rsid w:val="00EB0FEF"/>
    <w:rsid w:val="00EB41FB"/>
    <w:rsid w:val="00F21D5B"/>
    <w:rsid w:val="00F32EE1"/>
    <w:rsid w:val="00F3608F"/>
    <w:rsid w:val="00F6156C"/>
    <w:rsid w:val="00F7259A"/>
    <w:rsid w:val="00F97CD3"/>
    <w:rsid w:val="00FB5A14"/>
    <w:rsid w:val="00FF1E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720EC"/>
  <w15:chartTrackingRefBased/>
  <w15:docId w15:val="{5E1A70B2-C0A6-4E55-855B-D5E1F7E4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3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7259A"/>
    <w:pPr>
      <w:keepNext/>
      <w:keepLines/>
      <w:spacing w:before="240" w:after="0"/>
      <w:outlineLvl w:val="0"/>
    </w:pPr>
    <w:rPr>
      <w:rFonts w:asciiTheme="majorHAnsi" w:eastAsiaTheme="majorEastAsia" w:hAnsiTheme="majorHAnsi" w:cstheme="majorBidi"/>
      <w:color w:val="2F5496" w:themeColor="accent1" w:themeShade="BF"/>
      <w:szCs w:val="32"/>
    </w:rPr>
  </w:style>
  <w:style w:type="paragraph" w:styleId="Titre2">
    <w:name w:val="heading 2"/>
    <w:basedOn w:val="Normal"/>
    <w:next w:val="Normal"/>
    <w:link w:val="Titre2Car"/>
    <w:uiPriority w:val="9"/>
    <w:unhideWhenUsed/>
    <w:qFormat/>
    <w:rsid w:val="00A116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AE40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7259A"/>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9E047B"/>
    <w:rPr>
      <w:color w:val="0563C1" w:themeColor="hyperlink"/>
      <w:u w:val="single"/>
    </w:rPr>
  </w:style>
  <w:style w:type="character" w:styleId="Mentionnonrsolue">
    <w:name w:val="Unresolved Mention"/>
    <w:basedOn w:val="Policepardfaut"/>
    <w:uiPriority w:val="99"/>
    <w:semiHidden/>
    <w:unhideWhenUsed/>
    <w:rsid w:val="009E047B"/>
    <w:rPr>
      <w:color w:val="605E5C"/>
      <w:shd w:val="clear" w:color="auto" w:fill="E1DFDD"/>
    </w:rPr>
  </w:style>
  <w:style w:type="paragraph" w:styleId="Paragraphedeliste">
    <w:name w:val="List Paragraph"/>
    <w:basedOn w:val="Normal"/>
    <w:uiPriority w:val="34"/>
    <w:qFormat/>
    <w:rsid w:val="00B518D9"/>
    <w:pPr>
      <w:ind w:left="720"/>
      <w:contextualSpacing/>
    </w:pPr>
  </w:style>
  <w:style w:type="paragraph" w:styleId="NormalWeb">
    <w:name w:val="Normal (Web)"/>
    <w:basedOn w:val="Normal"/>
    <w:uiPriority w:val="99"/>
    <w:unhideWhenUsed/>
    <w:rsid w:val="00093063"/>
    <w:pPr>
      <w:spacing w:before="100" w:beforeAutospacing="1" w:after="100" w:afterAutospacing="1" w:line="240" w:lineRule="auto"/>
    </w:pPr>
    <w:rPr>
      <w:rFonts w:ascii="Times New Roman" w:eastAsia="Times New Roman" w:hAnsi="Times New Roman" w:cs="Times New Roman"/>
      <w:color w:val="auto"/>
      <w:sz w:val="24"/>
      <w:szCs w:val="24"/>
      <w:lang w:eastAsia="fr-CA"/>
    </w:rPr>
  </w:style>
  <w:style w:type="character" w:customStyle="1" w:styleId="Titre2Car">
    <w:name w:val="Titre 2 Car"/>
    <w:basedOn w:val="Policepardfaut"/>
    <w:link w:val="Titre2"/>
    <w:uiPriority w:val="9"/>
    <w:rsid w:val="00A1164B"/>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AE406D"/>
    <w:rPr>
      <w:rFonts w:asciiTheme="majorHAnsi" w:eastAsiaTheme="majorEastAsia" w:hAnsiTheme="majorHAnsi" w:cstheme="majorBidi"/>
      <w:color w:val="1F3763" w:themeColor="accent1" w:themeShade="7F"/>
      <w:sz w:val="24"/>
      <w:szCs w:val="24"/>
    </w:rPr>
  </w:style>
  <w:style w:type="paragraph" w:styleId="En-ttedetabledesmatires">
    <w:name w:val="TOC Heading"/>
    <w:basedOn w:val="Titre1"/>
    <w:next w:val="Normal"/>
    <w:uiPriority w:val="39"/>
    <w:unhideWhenUsed/>
    <w:qFormat/>
    <w:rsid w:val="004C1C5A"/>
    <w:pPr>
      <w:outlineLvl w:val="9"/>
    </w:pPr>
    <w:rPr>
      <w:lang w:eastAsia="fr-CA"/>
    </w:rPr>
  </w:style>
  <w:style w:type="paragraph" w:styleId="TM1">
    <w:name w:val="toc 1"/>
    <w:basedOn w:val="Normal"/>
    <w:next w:val="Normal"/>
    <w:autoRedefine/>
    <w:uiPriority w:val="39"/>
    <w:unhideWhenUsed/>
    <w:rsid w:val="004C1C5A"/>
    <w:pPr>
      <w:spacing w:after="100"/>
    </w:pPr>
  </w:style>
  <w:style w:type="paragraph" w:styleId="TM2">
    <w:name w:val="toc 2"/>
    <w:basedOn w:val="Normal"/>
    <w:next w:val="Normal"/>
    <w:autoRedefine/>
    <w:uiPriority w:val="39"/>
    <w:unhideWhenUsed/>
    <w:rsid w:val="004C1C5A"/>
    <w:pPr>
      <w:spacing w:after="100"/>
      <w:ind w:left="320"/>
    </w:pPr>
  </w:style>
  <w:style w:type="paragraph" w:styleId="TM3">
    <w:name w:val="toc 3"/>
    <w:basedOn w:val="Normal"/>
    <w:next w:val="Normal"/>
    <w:autoRedefine/>
    <w:uiPriority w:val="39"/>
    <w:unhideWhenUsed/>
    <w:rsid w:val="004C1C5A"/>
    <w:pPr>
      <w:spacing w:after="100"/>
      <w:ind w:left="6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76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FE71D-104F-4C06-B76B-5282C3000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2404</Words>
  <Characters>13227</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Plante</dc:creator>
  <cp:keywords/>
  <dc:description/>
  <cp:lastModifiedBy>Paul Lupien</cp:lastModifiedBy>
  <cp:revision>2</cp:revision>
  <dcterms:created xsi:type="dcterms:W3CDTF">2021-05-31T00:50:00Z</dcterms:created>
  <dcterms:modified xsi:type="dcterms:W3CDTF">2021-05-31T00:50:00Z</dcterms:modified>
</cp:coreProperties>
</file>