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FD77" w14:textId="77777777" w:rsidR="00DD78C3" w:rsidRPr="00F7259A" w:rsidRDefault="00DD78C3" w:rsidP="00DD78C3">
      <w:pPr>
        <w:spacing w:before="500" w:after="500" w:line="300" w:lineRule="auto"/>
      </w:pPr>
      <w:r w:rsidRPr="00F7259A">
        <w:rPr>
          <w:noProof/>
          <w:lang w:eastAsia="fr-CA"/>
        </w:rPr>
        <w:drawing>
          <wp:inline distT="0" distB="0" distL="0" distR="0" wp14:anchorId="2A0FC87B" wp14:editId="3A8AD480">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6">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14:paraId="59CB6947" w14:textId="77777777" w:rsidR="00DD78C3" w:rsidRDefault="00DD78C3" w:rsidP="00DD78C3">
      <w:pPr>
        <w:spacing w:after="0" w:line="276" w:lineRule="auto"/>
        <w:rPr>
          <w:rFonts w:eastAsia="Arial" w:cs="Arial"/>
          <w:sz w:val="28"/>
          <w:szCs w:val="28"/>
        </w:rPr>
      </w:pPr>
    </w:p>
    <w:p w14:paraId="6B92B6EF" w14:textId="4018E062" w:rsidR="00DD78C3" w:rsidRDefault="003B24E8" w:rsidP="00DD78C3">
      <w:pPr>
        <w:pStyle w:val="Titre1"/>
        <w:spacing w:before="0"/>
        <w:rPr>
          <w:rFonts w:ascii="Arial" w:hAnsi="Arial"/>
          <w:color w:val="000000" w:themeColor="text1"/>
          <w:sz w:val="44"/>
        </w:rPr>
      </w:pPr>
      <w:bookmarkStart w:id="0" w:name="_Toc63085487"/>
      <w:bookmarkStart w:id="1" w:name="_Toc63177210"/>
      <w:bookmarkStart w:id="2" w:name="_Toc63177287"/>
      <w:bookmarkStart w:id="3" w:name="_Toc63440739"/>
      <w:r>
        <w:rPr>
          <w:rFonts w:ascii="Arial" w:hAnsi="Arial"/>
          <w:color w:val="000000" w:themeColor="text1"/>
          <w:sz w:val="44"/>
        </w:rPr>
        <w:t>Une relance plus équitable</w:t>
      </w:r>
      <w:bookmarkEnd w:id="0"/>
      <w:bookmarkEnd w:id="1"/>
      <w:bookmarkEnd w:id="2"/>
      <w:bookmarkEnd w:id="3"/>
    </w:p>
    <w:p w14:paraId="3A51ADB1" w14:textId="19442CF1" w:rsidR="003B24E8" w:rsidRPr="003B24E8" w:rsidRDefault="003B24E8" w:rsidP="003B24E8">
      <w:pPr>
        <w:pStyle w:val="Titre1"/>
        <w:rPr>
          <w:rFonts w:ascii="Arial" w:hAnsi="Arial"/>
          <w:color w:val="000000" w:themeColor="text1"/>
          <w:sz w:val="44"/>
        </w:rPr>
      </w:pPr>
      <w:bookmarkStart w:id="4" w:name="_Toc63085488"/>
      <w:bookmarkStart w:id="5" w:name="_Toc63177211"/>
      <w:bookmarkStart w:id="6" w:name="_Toc63177288"/>
      <w:bookmarkStart w:id="7" w:name="_Toc63440740"/>
      <w:r w:rsidRPr="003B24E8">
        <w:rPr>
          <w:rFonts w:ascii="Arial" w:hAnsi="Arial"/>
          <w:color w:val="000000" w:themeColor="text1"/>
          <w:sz w:val="44"/>
        </w:rPr>
        <w:t>Avis de la Confédération des organismes de personnes handicapées du Québec (COPHAN)</w:t>
      </w:r>
      <w:bookmarkStart w:id="8" w:name="_Toc63085489"/>
      <w:bookmarkStart w:id="9" w:name="_Toc63177212"/>
      <w:bookmarkStart w:id="10" w:name="_Toc63177289"/>
      <w:bookmarkStart w:id="11" w:name="_Toc63440741"/>
      <w:bookmarkEnd w:id="4"/>
      <w:bookmarkEnd w:id="5"/>
      <w:bookmarkEnd w:id="6"/>
      <w:bookmarkEnd w:id="7"/>
      <w:r w:rsidR="00684537">
        <w:rPr>
          <w:rFonts w:ascii="Arial" w:hAnsi="Arial"/>
          <w:color w:val="000000" w:themeColor="text1"/>
          <w:sz w:val="44"/>
        </w:rPr>
        <w:t xml:space="preserve"> d</w:t>
      </w:r>
      <w:r w:rsidRPr="003B24E8">
        <w:rPr>
          <w:rFonts w:ascii="Arial" w:hAnsi="Arial"/>
          <w:color w:val="000000" w:themeColor="text1"/>
          <w:sz w:val="44"/>
        </w:rPr>
        <w:t>éposé dans le cadre des consultations pré-budgétaires du gouvernement du Québec en vue de l’élaboration du budget 2021-2022</w:t>
      </w:r>
      <w:bookmarkEnd w:id="8"/>
      <w:bookmarkEnd w:id="9"/>
      <w:bookmarkEnd w:id="10"/>
      <w:bookmarkEnd w:id="11"/>
    </w:p>
    <w:p w14:paraId="7680EF79" w14:textId="77777777" w:rsidR="00DD78C3" w:rsidRDefault="00DD78C3" w:rsidP="00DD78C3">
      <w:pPr>
        <w:pStyle w:val="Titre1"/>
        <w:spacing w:before="0"/>
        <w:rPr>
          <w:rFonts w:ascii="Arial" w:hAnsi="Arial"/>
          <w:color w:val="000000" w:themeColor="text1"/>
          <w:sz w:val="44"/>
        </w:rPr>
      </w:pPr>
      <w:bookmarkStart w:id="12" w:name="_Toc58577980"/>
      <w:bookmarkStart w:id="13" w:name="_Toc58586401"/>
      <w:bookmarkStart w:id="14" w:name="_Toc58588020"/>
      <w:bookmarkStart w:id="15" w:name="_Toc63085490"/>
      <w:bookmarkStart w:id="16" w:name="_Toc63177213"/>
      <w:bookmarkStart w:id="17" w:name="_Toc63177290"/>
      <w:bookmarkStart w:id="18" w:name="_Toc63440742"/>
      <w:r>
        <w:rPr>
          <w:rFonts w:ascii="Arial" w:hAnsi="Arial"/>
          <w:color w:val="000000" w:themeColor="text1"/>
          <w:sz w:val="44"/>
        </w:rPr>
        <w:t>___________________________________</w:t>
      </w:r>
      <w:bookmarkEnd w:id="12"/>
      <w:bookmarkEnd w:id="13"/>
      <w:bookmarkEnd w:id="14"/>
      <w:bookmarkEnd w:id="15"/>
      <w:bookmarkEnd w:id="16"/>
      <w:bookmarkEnd w:id="17"/>
      <w:bookmarkEnd w:id="18"/>
    </w:p>
    <w:p w14:paraId="4B6FF083" w14:textId="77777777" w:rsidR="00DD78C3" w:rsidRDefault="00DD78C3" w:rsidP="00DD78C3">
      <w:pPr>
        <w:pStyle w:val="Titre1"/>
        <w:rPr>
          <w:rFonts w:ascii="Arial" w:hAnsi="Arial"/>
          <w:color w:val="000000" w:themeColor="text1"/>
          <w:sz w:val="44"/>
        </w:rPr>
      </w:pPr>
    </w:p>
    <w:p w14:paraId="657B0AB8" w14:textId="58878EEE" w:rsidR="00DD78C3" w:rsidRPr="003B24E8" w:rsidRDefault="00DD78C3" w:rsidP="003B24E8">
      <w:pPr>
        <w:pStyle w:val="Titre1"/>
        <w:rPr>
          <w:rFonts w:ascii="Arial" w:hAnsi="Arial"/>
          <w:color w:val="000000" w:themeColor="text1"/>
          <w:sz w:val="40"/>
          <w:szCs w:val="40"/>
        </w:rPr>
      </w:pPr>
      <w:bookmarkStart w:id="19" w:name="_Toc58577981"/>
      <w:bookmarkStart w:id="20" w:name="_Toc58586402"/>
      <w:bookmarkStart w:id="21" w:name="_Toc58588021"/>
      <w:bookmarkStart w:id="22" w:name="_Toc63085491"/>
      <w:bookmarkStart w:id="23" w:name="_Toc63177214"/>
      <w:bookmarkStart w:id="24" w:name="_Toc63177291"/>
      <w:bookmarkStart w:id="25" w:name="_Toc63440743"/>
      <w:r>
        <w:rPr>
          <w:rFonts w:ascii="Arial" w:hAnsi="Arial"/>
          <w:color w:val="000000" w:themeColor="text1"/>
          <w:sz w:val="40"/>
          <w:szCs w:val="40"/>
        </w:rPr>
        <w:t>Remis par la C</w:t>
      </w:r>
      <w:r w:rsidRPr="00173C3D">
        <w:rPr>
          <w:rFonts w:ascii="Arial" w:hAnsi="Arial"/>
          <w:color w:val="000000" w:themeColor="text1"/>
          <w:sz w:val="40"/>
          <w:szCs w:val="40"/>
        </w:rPr>
        <w:t>onfédération des organismes de personnes handicapées du Québec (COPHAN)</w:t>
      </w:r>
      <w:r>
        <w:rPr>
          <w:rFonts w:ascii="Arial" w:hAnsi="Arial"/>
          <w:color w:val="000000" w:themeColor="text1"/>
          <w:sz w:val="40"/>
          <w:szCs w:val="40"/>
        </w:rPr>
        <w:t xml:space="preserve"> </w:t>
      </w:r>
      <w:bookmarkEnd w:id="19"/>
      <w:bookmarkEnd w:id="20"/>
      <w:bookmarkEnd w:id="21"/>
      <w:r w:rsidR="003B24E8">
        <w:rPr>
          <w:rFonts w:ascii="Arial" w:hAnsi="Arial"/>
          <w:color w:val="000000" w:themeColor="text1"/>
          <w:sz w:val="40"/>
          <w:szCs w:val="40"/>
        </w:rPr>
        <w:t xml:space="preserve">au </w:t>
      </w:r>
      <w:proofErr w:type="gramStart"/>
      <w:r w:rsidR="003B24E8">
        <w:rPr>
          <w:rFonts w:ascii="Arial" w:hAnsi="Arial"/>
          <w:color w:val="000000" w:themeColor="text1"/>
          <w:sz w:val="40"/>
          <w:szCs w:val="40"/>
        </w:rPr>
        <w:t>Ministère</w:t>
      </w:r>
      <w:proofErr w:type="gramEnd"/>
      <w:r w:rsidR="003B24E8">
        <w:rPr>
          <w:rFonts w:ascii="Arial" w:hAnsi="Arial"/>
          <w:color w:val="000000" w:themeColor="text1"/>
          <w:sz w:val="40"/>
          <w:szCs w:val="40"/>
        </w:rPr>
        <w:t xml:space="preserve"> des Finances du Québec</w:t>
      </w:r>
      <w:bookmarkEnd w:id="22"/>
      <w:bookmarkEnd w:id="23"/>
      <w:bookmarkEnd w:id="24"/>
      <w:bookmarkEnd w:id="25"/>
    </w:p>
    <w:p w14:paraId="3C571B7F" w14:textId="77777777" w:rsidR="00DD78C3" w:rsidRDefault="00DD78C3" w:rsidP="00DD78C3">
      <w:pPr>
        <w:rPr>
          <w:sz w:val="44"/>
          <w:szCs w:val="44"/>
        </w:rPr>
      </w:pPr>
    </w:p>
    <w:p w14:paraId="74C6AB21" w14:textId="77777777" w:rsidR="00DD78C3" w:rsidRDefault="00DD78C3" w:rsidP="00DD78C3">
      <w:pPr>
        <w:rPr>
          <w:sz w:val="44"/>
          <w:szCs w:val="44"/>
        </w:rPr>
      </w:pPr>
    </w:p>
    <w:p w14:paraId="04A00295" w14:textId="7349AB14" w:rsidR="00DD78C3" w:rsidRPr="00173C3D" w:rsidRDefault="00DD78C3" w:rsidP="00DD78C3">
      <w:pPr>
        <w:rPr>
          <w:szCs w:val="32"/>
        </w:rPr>
      </w:pPr>
      <w:r w:rsidRPr="00173C3D">
        <w:rPr>
          <w:szCs w:val="32"/>
        </w:rPr>
        <w:t>1</w:t>
      </w:r>
      <w:r w:rsidR="003B24E8">
        <w:rPr>
          <w:szCs w:val="32"/>
        </w:rPr>
        <w:t>2</w:t>
      </w:r>
      <w:r w:rsidRPr="00173C3D">
        <w:rPr>
          <w:szCs w:val="32"/>
        </w:rPr>
        <w:t xml:space="preserve"> </w:t>
      </w:r>
      <w:r w:rsidR="003B24E8">
        <w:rPr>
          <w:szCs w:val="32"/>
        </w:rPr>
        <w:t>février</w:t>
      </w:r>
      <w:r w:rsidRPr="00173C3D">
        <w:rPr>
          <w:szCs w:val="32"/>
        </w:rPr>
        <w:t xml:space="preserve"> 202</w:t>
      </w:r>
      <w:r w:rsidR="003B24E8">
        <w:rPr>
          <w:szCs w:val="32"/>
        </w:rPr>
        <w:t>1</w:t>
      </w:r>
      <w:r w:rsidRPr="00173C3D">
        <w:rPr>
          <w:szCs w:val="32"/>
        </w:rPr>
        <w:br w:type="page"/>
      </w:r>
    </w:p>
    <w:p w14:paraId="6EFDC204" w14:textId="77777777" w:rsidR="00DD78C3" w:rsidRDefault="00DD78C3" w:rsidP="00DD78C3">
      <w:pPr>
        <w:spacing w:line="276" w:lineRule="auto"/>
        <w:rPr>
          <w:rFonts w:eastAsia="Arial" w:cs="Arial"/>
          <w:b/>
        </w:rPr>
      </w:pPr>
    </w:p>
    <w:p w14:paraId="180901D3" w14:textId="77777777" w:rsidR="00DD78C3" w:rsidRDefault="00DD78C3" w:rsidP="00DD78C3">
      <w:pPr>
        <w:spacing w:after="0" w:line="276" w:lineRule="auto"/>
        <w:rPr>
          <w:rFonts w:eastAsia="Arial" w:cs="Arial"/>
          <w:sz w:val="24"/>
          <w:szCs w:val="24"/>
        </w:rPr>
      </w:pPr>
      <w:r>
        <w:rPr>
          <w:noProof/>
        </w:rPr>
        <w:drawing>
          <wp:anchor distT="0" distB="0" distL="114300" distR="114300" simplePos="0" relativeHeight="251659264" behindDoc="0" locked="0" layoutInCell="1" allowOverlap="1" wp14:anchorId="7B0706B7" wp14:editId="5799A0FA">
            <wp:simplePos x="0" y="0"/>
            <wp:positionH relativeFrom="margin">
              <wp:align>right</wp:align>
            </wp:positionH>
            <wp:positionV relativeFrom="margin">
              <wp:align>top</wp:align>
            </wp:positionV>
            <wp:extent cx="2522220" cy="1009015"/>
            <wp:effectExtent l="0" t="0" r="0" b="635"/>
            <wp:wrapSquare wrapText="bothSides"/>
            <wp:docPr id="2" name="Image 2" descr="Logo COP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Logo COPH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100901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cs="Arial"/>
          <w:b/>
        </w:rPr>
        <w:t>R</w:t>
      </w:r>
      <w:r>
        <w:rPr>
          <w:rFonts w:eastAsia="Arial" w:cs="Arial"/>
          <w:b/>
          <w:smallCaps/>
          <w:sz w:val="28"/>
          <w:szCs w:val="28"/>
        </w:rPr>
        <w:t>édaction</w:t>
      </w:r>
    </w:p>
    <w:p w14:paraId="2C97C48F" w14:textId="77777777" w:rsidR="00DD78C3" w:rsidRDefault="00DD78C3" w:rsidP="00DD78C3">
      <w:pPr>
        <w:spacing w:after="0" w:line="276" w:lineRule="auto"/>
        <w:rPr>
          <w:rFonts w:eastAsia="Arial" w:cs="Arial"/>
          <w:sz w:val="24"/>
          <w:szCs w:val="24"/>
        </w:rPr>
      </w:pPr>
      <w:r>
        <w:rPr>
          <w:rFonts w:eastAsia="Arial" w:cs="Arial"/>
          <w:sz w:val="24"/>
          <w:szCs w:val="24"/>
        </w:rPr>
        <w:t>Jérôme Plante, responsable de dossiers</w:t>
      </w:r>
    </w:p>
    <w:p w14:paraId="555C71AC" w14:textId="77777777" w:rsidR="00DD78C3" w:rsidRDefault="00DD78C3" w:rsidP="00DD78C3">
      <w:pPr>
        <w:spacing w:after="0" w:line="276" w:lineRule="auto"/>
        <w:rPr>
          <w:rFonts w:eastAsia="Arial" w:cs="Arial"/>
          <w:sz w:val="24"/>
          <w:szCs w:val="24"/>
        </w:rPr>
      </w:pPr>
    </w:p>
    <w:p w14:paraId="5681B783" w14:textId="77777777" w:rsidR="00DD78C3" w:rsidRDefault="00DD78C3" w:rsidP="00DD78C3">
      <w:pPr>
        <w:spacing w:after="0" w:line="276" w:lineRule="auto"/>
        <w:rPr>
          <w:rFonts w:eastAsia="Arial" w:cs="Arial"/>
          <w:sz w:val="24"/>
          <w:szCs w:val="24"/>
        </w:rPr>
      </w:pPr>
    </w:p>
    <w:p w14:paraId="496A093C" w14:textId="77777777" w:rsidR="00DD78C3" w:rsidRDefault="00DD78C3" w:rsidP="00DD78C3">
      <w:pPr>
        <w:spacing w:after="0" w:line="276" w:lineRule="auto"/>
        <w:rPr>
          <w:rFonts w:eastAsia="Arial" w:cs="Arial"/>
          <w:b/>
          <w:bCs/>
          <w:caps/>
          <w:sz w:val="24"/>
          <w:szCs w:val="24"/>
        </w:rPr>
      </w:pPr>
      <w:r>
        <w:rPr>
          <w:rFonts w:eastAsia="Arial" w:cs="Arial"/>
          <w:b/>
          <w:bCs/>
          <w:caps/>
          <w:sz w:val="24"/>
          <w:szCs w:val="24"/>
        </w:rPr>
        <w:t>Sous la supervision DE</w:t>
      </w:r>
    </w:p>
    <w:p w14:paraId="03F12B2D" w14:textId="419307DA" w:rsidR="00DD78C3" w:rsidRPr="002B7A12" w:rsidRDefault="00DD78C3" w:rsidP="00DD78C3">
      <w:pPr>
        <w:spacing w:after="0" w:line="276" w:lineRule="auto"/>
        <w:rPr>
          <w:rFonts w:eastAsia="Arial" w:cs="Arial"/>
          <w:sz w:val="24"/>
          <w:szCs w:val="24"/>
        </w:rPr>
      </w:pPr>
      <w:r w:rsidRPr="002B7A12">
        <w:rPr>
          <w:rFonts w:eastAsia="Arial" w:cs="Arial"/>
          <w:sz w:val="24"/>
          <w:szCs w:val="24"/>
        </w:rPr>
        <w:t xml:space="preserve">Véronique </w:t>
      </w:r>
      <w:r w:rsidR="0016220F">
        <w:rPr>
          <w:rFonts w:eastAsia="Arial" w:cs="Arial"/>
          <w:sz w:val="24"/>
          <w:szCs w:val="24"/>
        </w:rPr>
        <w:t>Vézina, contractuelle</w:t>
      </w:r>
    </w:p>
    <w:p w14:paraId="561211CC" w14:textId="77777777" w:rsidR="00DD78C3" w:rsidRDefault="00DD78C3" w:rsidP="00DD78C3">
      <w:pPr>
        <w:spacing w:after="0" w:line="276" w:lineRule="auto"/>
        <w:rPr>
          <w:rFonts w:eastAsia="Arial" w:cs="Arial"/>
          <w:sz w:val="24"/>
          <w:szCs w:val="24"/>
        </w:rPr>
      </w:pPr>
    </w:p>
    <w:p w14:paraId="0E419EA5" w14:textId="77777777" w:rsidR="00DD78C3" w:rsidRDefault="00DD78C3" w:rsidP="00DD78C3">
      <w:pPr>
        <w:spacing w:after="0" w:line="276" w:lineRule="auto"/>
        <w:rPr>
          <w:rFonts w:eastAsia="Arial" w:cs="Arial"/>
          <w:b/>
          <w:smallCaps/>
          <w:sz w:val="28"/>
          <w:szCs w:val="28"/>
        </w:rPr>
      </w:pPr>
    </w:p>
    <w:p w14:paraId="066FEA20" w14:textId="77777777" w:rsidR="00DD78C3" w:rsidRDefault="00DD78C3" w:rsidP="00DD78C3">
      <w:pPr>
        <w:spacing w:after="0" w:line="276" w:lineRule="auto"/>
        <w:rPr>
          <w:rFonts w:eastAsia="Arial" w:cs="Arial"/>
          <w:b/>
          <w:smallCaps/>
          <w:sz w:val="28"/>
          <w:szCs w:val="28"/>
        </w:rPr>
      </w:pPr>
      <w:r>
        <w:rPr>
          <w:rFonts w:eastAsia="Arial" w:cs="Arial"/>
          <w:b/>
          <w:smallCaps/>
          <w:sz w:val="28"/>
          <w:szCs w:val="28"/>
        </w:rPr>
        <w:t>Avec la collaboration de :</w:t>
      </w:r>
    </w:p>
    <w:p w14:paraId="0E757A5C" w14:textId="77777777" w:rsidR="00DD78C3" w:rsidRPr="00BF6688" w:rsidRDefault="00DD78C3" w:rsidP="00DD78C3">
      <w:pPr>
        <w:spacing w:after="0" w:line="276" w:lineRule="auto"/>
        <w:rPr>
          <w:rFonts w:eastAsia="Arial" w:cs="Arial"/>
          <w:b/>
          <w:smallCaps/>
          <w:sz w:val="28"/>
          <w:szCs w:val="28"/>
        </w:rPr>
      </w:pPr>
    </w:p>
    <w:p w14:paraId="4BE3DFC2" w14:textId="22EA40BE" w:rsidR="00DD78C3" w:rsidRDefault="007E4376" w:rsidP="00DD78C3">
      <w:pPr>
        <w:spacing w:after="0" w:line="276" w:lineRule="auto"/>
        <w:rPr>
          <w:rFonts w:eastAsia="Arial" w:cs="Arial"/>
          <w:sz w:val="24"/>
          <w:szCs w:val="24"/>
        </w:rPr>
      </w:pPr>
      <w:proofErr w:type="spellStart"/>
      <w:r>
        <w:rPr>
          <w:rFonts w:eastAsia="Arial" w:cs="Arial"/>
          <w:sz w:val="24"/>
          <w:szCs w:val="24"/>
        </w:rPr>
        <w:t>Finautonome</w:t>
      </w:r>
      <w:proofErr w:type="spellEnd"/>
    </w:p>
    <w:p w14:paraId="000BE222" w14:textId="77777777" w:rsidR="00DD78C3" w:rsidRDefault="00DD78C3" w:rsidP="00DD78C3">
      <w:pPr>
        <w:spacing w:after="0" w:line="276" w:lineRule="auto"/>
        <w:rPr>
          <w:rFonts w:eastAsia="Arial" w:cs="Arial"/>
          <w:sz w:val="24"/>
          <w:szCs w:val="24"/>
        </w:rPr>
      </w:pPr>
    </w:p>
    <w:p w14:paraId="62EEDEDB" w14:textId="375DF9BA" w:rsidR="00DD78C3" w:rsidRPr="00F81B56" w:rsidRDefault="007E4376" w:rsidP="00DD78C3">
      <w:pPr>
        <w:spacing w:after="0" w:line="276" w:lineRule="auto"/>
        <w:rPr>
          <w:rFonts w:eastAsia="Arial" w:cs="Arial"/>
          <w:sz w:val="24"/>
          <w:szCs w:val="24"/>
        </w:rPr>
      </w:pPr>
      <w:r>
        <w:rPr>
          <w:rFonts w:eastAsia="Arial" w:cs="Arial"/>
          <w:sz w:val="24"/>
          <w:szCs w:val="24"/>
        </w:rPr>
        <w:t>Fédération des Mouvements personnes d’abord du Québec (FMPDAQ)</w:t>
      </w:r>
    </w:p>
    <w:p w14:paraId="00E873B8" w14:textId="77777777" w:rsidR="00DD78C3" w:rsidRDefault="00DD78C3" w:rsidP="00DD78C3">
      <w:pPr>
        <w:spacing w:after="0" w:line="276" w:lineRule="auto"/>
        <w:rPr>
          <w:rFonts w:eastAsia="Arial" w:cs="Arial"/>
          <w:sz w:val="24"/>
          <w:szCs w:val="24"/>
        </w:rPr>
      </w:pPr>
    </w:p>
    <w:p w14:paraId="05F7532E" w14:textId="6BBF08BC" w:rsidR="00DD78C3" w:rsidRDefault="00DD78C3" w:rsidP="00DD78C3">
      <w:pPr>
        <w:spacing w:after="0" w:line="276" w:lineRule="auto"/>
        <w:rPr>
          <w:rFonts w:eastAsia="Arial" w:cs="Arial"/>
          <w:sz w:val="24"/>
          <w:szCs w:val="24"/>
        </w:rPr>
      </w:pPr>
      <w:r>
        <w:rPr>
          <w:rFonts w:eastAsia="Arial" w:cs="Arial"/>
          <w:sz w:val="24"/>
          <w:szCs w:val="24"/>
        </w:rPr>
        <w:t>Regroupement des a</w:t>
      </w:r>
      <w:r w:rsidR="007E4376">
        <w:rPr>
          <w:rFonts w:eastAsia="Arial" w:cs="Arial"/>
          <w:sz w:val="24"/>
          <w:szCs w:val="24"/>
        </w:rPr>
        <w:t>veugles et amblyopes du Québec (RAAQ)</w:t>
      </w:r>
    </w:p>
    <w:p w14:paraId="7C3EACD3" w14:textId="77777777" w:rsidR="00DD78C3" w:rsidRDefault="00DD78C3" w:rsidP="00DD78C3">
      <w:pPr>
        <w:spacing w:after="0" w:line="276" w:lineRule="auto"/>
        <w:rPr>
          <w:rFonts w:eastAsia="Arial" w:cs="Arial"/>
          <w:sz w:val="24"/>
          <w:szCs w:val="24"/>
        </w:rPr>
      </w:pPr>
    </w:p>
    <w:p w14:paraId="754E95BA" w14:textId="6AB19FC0" w:rsidR="00DD78C3" w:rsidRDefault="00DD78C3" w:rsidP="00DD78C3">
      <w:pPr>
        <w:spacing w:after="0" w:line="276" w:lineRule="auto"/>
        <w:rPr>
          <w:rFonts w:eastAsia="Arial" w:cs="Arial"/>
          <w:sz w:val="24"/>
          <w:szCs w:val="24"/>
        </w:rPr>
      </w:pPr>
      <w:r>
        <w:rPr>
          <w:rFonts w:eastAsia="Arial" w:cs="Arial"/>
          <w:sz w:val="24"/>
          <w:szCs w:val="24"/>
        </w:rPr>
        <w:t xml:space="preserve">Regroupement des organismes de personnes handicapées de la région 03 (ROP03) </w:t>
      </w:r>
    </w:p>
    <w:p w14:paraId="62D3015F" w14:textId="77777777" w:rsidR="00DD78C3" w:rsidRDefault="00DD78C3" w:rsidP="00DD78C3">
      <w:pPr>
        <w:spacing w:after="0" w:line="276" w:lineRule="auto"/>
        <w:rPr>
          <w:rFonts w:eastAsia="Arial" w:cs="Arial"/>
          <w:sz w:val="24"/>
          <w:szCs w:val="24"/>
        </w:rPr>
      </w:pPr>
    </w:p>
    <w:p w14:paraId="53E87CA4" w14:textId="77777777" w:rsidR="00DD78C3" w:rsidRDefault="00DD78C3" w:rsidP="00DD78C3">
      <w:pPr>
        <w:spacing w:after="0" w:line="276" w:lineRule="auto"/>
        <w:rPr>
          <w:rFonts w:eastAsia="Arial" w:cs="Arial"/>
          <w:sz w:val="24"/>
          <w:szCs w:val="24"/>
        </w:rPr>
      </w:pPr>
    </w:p>
    <w:p w14:paraId="19028555" w14:textId="77777777" w:rsidR="00DD78C3" w:rsidRDefault="00DD78C3" w:rsidP="00DD78C3">
      <w:pPr>
        <w:spacing w:after="0" w:line="276" w:lineRule="auto"/>
        <w:rPr>
          <w:rFonts w:eastAsia="Arial" w:cs="Arial"/>
          <w:sz w:val="24"/>
          <w:szCs w:val="24"/>
        </w:rPr>
      </w:pPr>
    </w:p>
    <w:p w14:paraId="10C1DAFC" w14:textId="77777777" w:rsidR="00DD78C3" w:rsidRDefault="00DD78C3" w:rsidP="00DD78C3">
      <w:pPr>
        <w:spacing w:after="0" w:line="276" w:lineRule="auto"/>
        <w:rPr>
          <w:rFonts w:eastAsia="Arial" w:cs="Arial"/>
          <w:sz w:val="24"/>
          <w:szCs w:val="24"/>
        </w:rPr>
      </w:pPr>
    </w:p>
    <w:p w14:paraId="77FAA57F" w14:textId="77777777" w:rsidR="00DD78C3" w:rsidRDefault="00DD78C3" w:rsidP="00DD78C3">
      <w:pPr>
        <w:spacing w:after="0" w:line="276" w:lineRule="auto"/>
        <w:rPr>
          <w:rFonts w:eastAsia="Arial" w:cs="Arial"/>
          <w:sz w:val="24"/>
          <w:szCs w:val="24"/>
        </w:rPr>
      </w:pPr>
    </w:p>
    <w:p w14:paraId="65AC02EE" w14:textId="77777777" w:rsidR="00DD78C3" w:rsidRDefault="00DD78C3" w:rsidP="00DD78C3">
      <w:pPr>
        <w:spacing w:after="0" w:line="276" w:lineRule="auto"/>
        <w:rPr>
          <w:rFonts w:eastAsia="Arial" w:cs="Arial"/>
          <w:sz w:val="24"/>
          <w:szCs w:val="24"/>
        </w:rPr>
      </w:pPr>
    </w:p>
    <w:p w14:paraId="12F93FCD" w14:textId="77777777" w:rsidR="00DD78C3" w:rsidRDefault="00DD78C3" w:rsidP="00DD78C3">
      <w:pPr>
        <w:spacing w:after="0" w:line="276" w:lineRule="auto"/>
        <w:rPr>
          <w:rFonts w:eastAsia="Arial" w:cs="Arial"/>
          <w:b/>
          <w:bCs/>
          <w:sz w:val="24"/>
          <w:szCs w:val="24"/>
        </w:rPr>
      </w:pPr>
    </w:p>
    <w:p w14:paraId="7F115F0E" w14:textId="77777777" w:rsidR="00DD78C3" w:rsidRDefault="00DD78C3" w:rsidP="00DD78C3">
      <w:pPr>
        <w:spacing w:after="0" w:line="276" w:lineRule="auto"/>
        <w:rPr>
          <w:rFonts w:eastAsia="Arial" w:cs="Arial"/>
          <w:b/>
          <w:bCs/>
          <w:sz w:val="24"/>
          <w:szCs w:val="24"/>
        </w:rPr>
      </w:pPr>
    </w:p>
    <w:p w14:paraId="58789625" w14:textId="77777777" w:rsidR="00DD78C3" w:rsidRDefault="00DD78C3" w:rsidP="00DD78C3">
      <w:pPr>
        <w:spacing w:after="0" w:line="276" w:lineRule="auto"/>
        <w:rPr>
          <w:rFonts w:eastAsia="Arial" w:cs="Arial"/>
          <w:b/>
          <w:bCs/>
          <w:sz w:val="24"/>
          <w:szCs w:val="24"/>
        </w:rPr>
      </w:pPr>
    </w:p>
    <w:p w14:paraId="2524DF3C" w14:textId="77777777" w:rsidR="00DD78C3" w:rsidRPr="002B7A12" w:rsidRDefault="00DD78C3" w:rsidP="00DD78C3">
      <w:pPr>
        <w:spacing w:after="0" w:line="276" w:lineRule="auto"/>
        <w:rPr>
          <w:rFonts w:eastAsia="Arial" w:cs="Arial"/>
          <w:b/>
          <w:bCs/>
          <w:sz w:val="24"/>
          <w:szCs w:val="24"/>
        </w:rPr>
      </w:pPr>
      <w:r w:rsidRPr="002B7A12">
        <w:rPr>
          <w:rFonts w:eastAsia="Arial" w:cs="Arial"/>
          <w:b/>
          <w:bCs/>
          <w:sz w:val="24"/>
          <w:szCs w:val="24"/>
        </w:rPr>
        <w:t>DATE DE TRANSMISSION</w:t>
      </w:r>
    </w:p>
    <w:p w14:paraId="1294D9D1" w14:textId="16FCDA11" w:rsidR="00DD78C3" w:rsidRDefault="00DD78C3" w:rsidP="00DD78C3">
      <w:pPr>
        <w:spacing w:after="0" w:line="276" w:lineRule="auto"/>
        <w:rPr>
          <w:rFonts w:eastAsia="Arial" w:cs="Arial"/>
          <w:sz w:val="24"/>
          <w:szCs w:val="24"/>
        </w:rPr>
      </w:pPr>
      <w:r>
        <w:rPr>
          <w:rFonts w:eastAsia="Arial" w:cs="Arial"/>
          <w:sz w:val="24"/>
          <w:szCs w:val="24"/>
        </w:rPr>
        <w:t>1</w:t>
      </w:r>
      <w:r w:rsidR="007E4376">
        <w:rPr>
          <w:rFonts w:eastAsia="Arial" w:cs="Arial"/>
          <w:sz w:val="24"/>
          <w:szCs w:val="24"/>
        </w:rPr>
        <w:t>2</w:t>
      </w:r>
      <w:r>
        <w:rPr>
          <w:rFonts w:eastAsia="Arial" w:cs="Arial"/>
          <w:sz w:val="24"/>
          <w:szCs w:val="24"/>
        </w:rPr>
        <w:t xml:space="preserve"> </w:t>
      </w:r>
      <w:r w:rsidR="007E4376">
        <w:rPr>
          <w:rFonts w:eastAsia="Arial" w:cs="Arial"/>
          <w:sz w:val="24"/>
          <w:szCs w:val="24"/>
        </w:rPr>
        <w:t>février 2021</w:t>
      </w:r>
    </w:p>
    <w:p w14:paraId="7374D24E" w14:textId="77777777" w:rsidR="00DD78C3" w:rsidRDefault="00DD78C3" w:rsidP="00DD78C3">
      <w:pPr>
        <w:rPr>
          <w:rFonts w:eastAsia="Arial" w:cs="Arial"/>
          <w:sz w:val="24"/>
          <w:szCs w:val="24"/>
        </w:rPr>
      </w:pPr>
      <w:r>
        <w:rPr>
          <w:rFonts w:eastAsia="Arial" w:cs="Arial"/>
          <w:sz w:val="24"/>
          <w:szCs w:val="24"/>
        </w:rPr>
        <w:br w:type="page"/>
      </w:r>
    </w:p>
    <w:p w14:paraId="63B5010E" w14:textId="77777777" w:rsidR="00DD78C3" w:rsidRDefault="00DD78C3" w:rsidP="00DD78C3">
      <w:pPr>
        <w:rPr>
          <w:rFonts w:eastAsia="Arial" w:cs="Arial"/>
          <w:sz w:val="24"/>
          <w:szCs w:val="24"/>
        </w:rPr>
      </w:pPr>
      <w:r>
        <w:rPr>
          <w:rFonts w:eastAsia="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r>
        <w:rPr>
          <w:rFonts w:eastAsia="Arial" w:cs="Arial"/>
          <w:sz w:val="24"/>
          <w:szCs w:val="24"/>
        </w:rPr>
        <w:t>.</w:t>
      </w:r>
    </w:p>
    <w:p w14:paraId="31F666B4" w14:textId="77777777" w:rsidR="00DD78C3" w:rsidRDefault="00DD78C3" w:rsidP="00DD78C3">
      <w:pPr>
        <w:spacing w:after="0" w:line="276" w:lineRule="auto"/>
        <w:rPr>
          <w:rFonts w:eastAsia="Arial" w:cs="Arial"/>
          <w:sz w:val="24"/>
          <w:szCs w:val="24"/>
        </w:rPr>
        <w:sectPr w:rsidR="00DD78C3">
          <w:pgSz w:w="12240" w:h="15840"/>
          <w:pgMar w:top="1440" w:right="1080" w:bottom="1440" w:left="1080" w:header="708" w:footer="267" w:gutter="0"/>
          <w:cols w:space="720"/>
        </w:sectPr>
      </w:pPr>
    </w:p>
    <w:sdt>
      <w:sdtPr>
        <w:rPr>
          <w:rFonts w:ascii="Arial" w:eastAsiaTheme="minorHAnsi" w:hAnsi="Arial" w:cs="Arial"/>
          <w:color w:val="000000" w:themeColor="text1"/>
          <w:szCs w:val="22"/>
          <w:lang w:val="fr-FR" w:eastAsia="en-US"/>
        </w:rPr>
        <w:id w:val="-229008631"/>
        <w:docPartObj>
          <w:docPartGallery w:val="Table of Contents"/>
          <w:docPartUnique/>
        </w:docPartObj>
      </w:sdtPr>
      <w:sdtEndPr>
        <w:rPr>
          <w:rFonts w:cstheme="minorBidi"/>
          <w:b/>
          <w:bCs/>
          <w:sz w:val="24"/>
          <w:szCs w:val="24"/>
        </w:rPr>
      </w:sdtEndPr>
      <w:sdtContent>
        <w:p w14:paraId="257FB45A" w14:textId="77777777" w:rsidR="008F3BAA" w:rsidRDefault="00DD78C3" w:rsidP="00DD78C3">
          <w:pPr>
            <w:pStyle w:val="En-ttedetabledesmatires"/>
            <w:rPr>
              <w:noProof/>
            </w:rPr>
          </w:pPr>
          <w:r w:rsidRPr="003D33C0">
            <w:rPr>
              <w:rFonts w:ascii="Arial" w:hAnsi="Arial" w:cs="Arial"/>
              <w:lang w:val="fr-FR"/>
            </w:rPr>
            <w:t>Table des matières</w:t>
          </w:r>
          <w:r w:rsidRPr="002B7A12">
            <w:rPr>
              <w:sz w:val="24"/>
              <w:szCs w:val="24"/>
            </w:rPr>
            <w:fldChar w:fldCharType="begin"/>
          </w:r>
          <w:r w:rsidRPr="002B7A12">
            <w:rPr>
              <w:sz w:val="24"/>
              <w:szCs w:val="24"/>
            </w:rPr>
            <w:instrText xml:space="preserve"> TOC \o "1-3" \h \z \u </w:instrText>
          </w:r>
          <w:r w:rsidRPr="002B7A12">
            <w:rPr>
              <w:sz w:val="24"/>
              <w:szCs w:val="24"/>
            </w:rPr>
            <w:fldChar w:fldCharType="separate"/>
          </w:r>
        </w:p>
        <w:p w14:paraId="61009947" w14:textId="451AD5A3" w:rsidR="008F3BAA" w:rsidRDefault="006A07BC">
          <w:pPr>
            <w:pStyle w:val="TM2"/>
            <w:tabs>
              <w:tab w:val="right" w:leader="dot" w:pos="8630"/>
            </w:tabs>
            <w:rPr>
              <w:rFonts w:asciiTheme="minorHAnsi" w:eastAsiaTheme="minorEastAsia" w:hAnsiTheme="minorHAnsi"/>
              <w:noProof/>
              <w:color w:val="auto"/>
              <w:sz w:val="22"/>
              <w:lang w:eastAsia="fr-CA"/>
            </w:rPr>
          </w:pPr>
          <w:hyperlink w:anchor="_Toc63440744" w:history="1">
            <w:r w:rsidR="008F3BAA" w:rsidRPr="00580B3B">
              <w:rPr>
                <w:rStyle w:val="Lienhypertexte"/>
                <w:b/>
                <w:bCs/>
                <w:noProof/>
              </w:rPr>
              <w:t>Introduction</w:t>
            </w:r>
            <w:r w:rsidR="008F3BAA">
              <w:rPr>
                <w:noProof/>
                <w:webHidden/>
              </w:rPr>
              <w:tab/>
            </w:r>
            <w:r w:rsidR="008F3BAA">
              <w:rPr>
                <w:noProof/>
                <w:webHidden/>
              </w:rPr>
              <w:fldChar w:fldCharType="begin"/>
            </w:r>
            <w:r w:rsidR="008F3BAA">
              <w:rPr>
                <w:noProof/>
                <w:webHidden/>
              </w:rPr>
              <w:instrText xml:space="preserve"> PAGEREF _Toc63440744 \h </w:instrText>
            </w:r>
            <w:r w:rsidR="008F3BAA">
              <w:rPr>
                <w:noProof/>
                <w:webHidden/>
              </w:rPr>
            </w:r>
            <w:r w:rsidR="008F3BAA">
              <w:rPr>
                <w:noProof/>
                <w:webHidden/>
              </w:rPr>
              <w:fldChar w:fldCharType="separate"/>
            </w:r>
            <w:r w:rsidR="008F3BAA">
              <w:rPr>
                <w:noProof/>
                <w:webHidden/>
              </w:rPr>
              <w:t>5</w:t>
            </w:r>
            <w:r w:rsidR="008F3BAA">
              <w:rPr>
                <w:noProof/>
                <w:webHidden/>
              </w:rPr>
              <w:fldChar w:fldCharType="end"/>
            </w:r>
          </w:hyperlink>
        </w:p>
        <w:p w14:paraId="6F05280F" w14:textId="1868AF98" w:rsidR="008F3BAA" w:rsidRDefault="006A07BC">
          <w:pPr>
            <w:pStyle w:val="TM2"/>
            <w:tabs>
              <w:tab w:val="right" w:leader="dot" w:pos="8630"/>
            </w:tabs>
            <w:rPr>
              <w:rFonts w:asciiTheme="minorHAnsi" w:eastAsiaTheme="minorEastAsia" w:hAnsiTheme="minorHAnsi"/>
              <w:noProof/>
              <w:color w:val="auto"/>
              <w:sz w:val="22"/>
              <w:lang w:eastAsia="fr-CA"/>
            </w:rPr>
          </w:pPr>
          <w:hyperlink w:anchor="_Toc63440745" w:history="1">
            <w:r w:rsidR="008F3BAA" w:rsidRPr="00580B3B">
              <w:rPr>
                <w:rStyle w:val="Lienhypertexte"/>
                <w:b/>
                <w:noProof/>
              </w:rPr>
              <w:t>Rendre remboursable le Montant pour déficience grave et prolongée des fonctions mentales ou physiques</w:t>
            </w:r>
            <w:r w:rsidR="008F3BAA">
              <w:rPr>
                <w:noProof/>
                <w:webHidden/>
              </w:rPr>
              <w:tab/>
            </w:r>
            <w:r w:rsidR="008F3BAA">
              <w:rPr>
                <w:noProof/>
                <w:webHidden/>
              </w:rPr>
              <w:fldChar w:fldCharType="begin"/>
            </w:r>
            <w:r w:rsidR="008F3BAA">
              <w:rPr>
                <w:noProof/>
                <w:webHidden/>
              </w:rPr>
              <w:instrText xml:space="preserve"> PAGEREF _Toc63440745 \h </w:instrText>
            </w:r>
            <w:r w:rsidR="008F3BAA">
              <w:rPr>
                <w:noProof/>
                <w:webHidden/>
              </w:rPr>
            </w:r>
            <w:r w:rsidR="008F3BAA">
              <w:rPr>
                <w:noProof/>
                <w:webHidden/>
              </w:rPr>
              <w:fldChar w:fldCharType="separate"/>
            </w:r>
            <w:r w:rsidR="008F3BAA">
              <w:rPr>
                <w:noProof/>
                <w:webHidden/>
              </w:rPr>
              <w:t>5</w:t>
            </w:r>
            <w:r w:rsidR="008F3BAA">
              <w:rPr>
                <w:noProof/>
                <w:webHidden/>
              </w:rPr>
              <w:fldChar w:fldCharType="end"/>
            </w:r>
          </w:hyperlink>
        </w:p>
        <w:p w14:paraId="33DEBD8A" w14:textId="04B2948D" w:rsidR="008F3BAA" w:rsidRDefault="006A07BC">
          <w:pPr>
            <w:pStyle w:val="TM3"/>
            <w:tabs>
              <w:tab w:val="right" w:leader="dot" w:pos="8630"/>
            </w:tabs>
            <w:rPr>
              <w:rFonts w:asciiTheme="minorHAnsi" w:eastAsiaTheme="minorEastAsia" w:hAnsiTheme="minorHAnsi"/>
              <w:noProof/>
              <w:color w:val="auto"/>
              <w:sz w:val="22"/>
              <w:lang w:eastAsia="fr-CA"/>
            </w:rPr>
          </w:pPr>
          <w:hyperlink w:anchor="_Toc63440746" w:history="1">
            <w:r w:rsidR="008F3BAA" w:rsidRPr="00580B3B">
              <w:rPr>
                <w:rStyle w:val="Lienhypertexte"/>
                <w:b/>
                <w:noProof/>
              </w:rPr>
              <w:t>Recommandation 1</w:t>
            </w:r>
            <w:r w:rsidR="008F3BAA">
              <w:rPr>
                <w:noProof/>
                <w:webHidden/>
              </w:rPr>
              <w:tab/>
            </w:r>
            <w:r w:rsidR="008F3BAA">
              <w:rPr>
                <w:noProof/>
                <w:webHidden/>
              </w:rPr>
              <w:fldChar w:fldCharType="begin"/>
            </w:r>
            <w:r w:rsidR="008F3BAA">
              <w:rPr>
                <w:noProof/>
                <w:webHidden/>
              </w:rPr>
              <w:instrText xml:space="preserve"> PAGEREF _Toc63440746 \h </w:instrText>
            </w:r>
            <w:r w:rsidR="008F3BAA">
              <w:rPr>
                <w:noProof/>
                <w:webHidden/>
              </w:rPr>
            </w:r>
            <w:r w:rsidR="008F3BAA">
              <w:rPr>
                <w:noProof/>
                <w:webHidden/>
              </w:rPr>
              <w:fldChar w:fldCharType="separate"/>
            </w:r>
            <w:r w:rsidR="008F3BAA">
              <w:rPr>
                <w:noProof/>
                <w:webHidden/>
              </w:rPr>
              <w:t>7</w:t>
            </w:r>
            <w:r w:rsidR="008F3BAA">
              <w:rPr>
                <w:noProof/>
                <w:webHidden/>
              </w:rPr>
              <w:fldChar w:fldCharType="end"/>
            </w:r>
          </w:hyperlink>
        </w:p>
        <w:p w14:paraId="031A14CE" w14:textId="6EDA7D80" w:rsidR="008F3BAA" w:rsidRDefault="006A07BC">
          <w:pPr>
            <w:pStyle w:val="TM3"/>
            <w:tabs>
              <w:tab w:val="right" w:leader="dot" w:pos="8630"/>
            </w:tabs>
            <w:rPr>
              <w:rFonts w:asciiTheme="minorHAnsi" w:eastAsiaTheme="minorEastAsia" w:hAnsiTheme="minorHAnsi"/>
              <w:noProof/>
              <w:color w:val="auto"/>
              <w:sz w:val="22"/>
              <w:lang w:eastAsia="fr-CA"/>
            </w:rPr>
          </w:pPr>
          <w:hyperlink w:anchor="_Toc63440747" w:history="1">
            <w:r w:rsidR="008F3BAA" w:rsidRPr="00580B3B">
              <w:rPr>
                <w:rStyle w:val="Lienhypertexte"/>
                <w:b/>
                <w:noProof/>
              </w:rPr>
              <w:t>Recommandation 2</w:t>
            </w:r>
            <w:r w:rsidR="008F3BAA">
              <w:rPr>
                <w:noProof/>
                <w:webHidden/>
              </w:rPr>
              <w:tab/>
            </w:r>
            <w:r w:rsidR="008F3BAA">
              <w:rPr>
                <w:noProof/>
                <w:webHidden/>
              </w:rPr>
              <w:fldChar w:fldCharType="begin"/>
            </w:r>
            <w:r w:rsidR="008F3BAA">
              <w:rPr>
                <w:noProof/>
                <w:webHidden/>
              </w:rPr>
              <w:instrText xml:space="preserve"> PAGEREF _Toc63440747 \h </w:instrText>
            </w:r>
            <w:r w:rsidR="008F3BAA">
              <w:rPr>
                <w:noProof/>
                <w:webHidden/>
              </w:rPr>
            </w:r>
            <w:r w:rsidR="008F3BAA">
              <w:rPr>
                <w:noProof/>
                <w:webHidden/>
              </w:rPr>
              <w:fldChar w:fldCharType="separate"/>
            </w:r>
            <w:r w:rsidR="008F3BAA">
              <w:rPr>
                <w:noProof/>
                <w:webHidden/>
              </w:rPr>
              <w:t>7</w:t>
            </w:r>
            <w:r w:rsidR="008F3BAA">
              <w:rPr>
                <w:noProof/>
                <w:webHidden/>
              </w:rPr>
              <w:fldChar w:fldCharType="end"/>
            </w:r>
          </w:hyperlink>
        </w:p>
        <w:p w14:paraId="1A9CC2C2" w14:textId="13FA7B2B" w:rsidR="008F3BAA" w:rsidRDefault="006A07BC">
          <w:pPr>
            <w:pStyle w:val="TM3"/>
            <w:tabs>
              <w:tab w:val="right" w:leader="dot" w:pos="8630"/>
            </w:tabs>
            <w:rPr>
              <w:rFonts w:asciiTheme="minorHAnsi" w:eastAsiaTheme="minorEastAsia" w:hAnsiTheme="minorHAnsi"/>
              <w:noProof/>
              <w:color w:val="auto"/>
              <w:sz w:val="22"/>
              <w:lang w:eastAsia="fr-CA"/>
            </w:rPr>
          </w:pPr>
          <w:hyperlink w:anchor="_Toc63440748" w:history="1">
            <w:r w:rsidR="008F3BAA" w:rsidRPr="00580B3B">
              <w:rPr>
                <w:rStyle w:val="Lienhypertexte"/>
                <w:b/>
                <w:noProof/>
              </w:rPr>
              <w:t>Recommandation 3</w:t>
            </w:r>
            <w:r w:rsidR="008F3BAA">
              <w:rPr>
                <w:noProof/>
                <w:webHidden/>
              </w:rPr>
              <w:tab/>
            </w:r>
            <w:r w:rsidR="008F3BAA">
              <w:rPr>
                <w:noProof/>
                <w:webHidden/>
              </w:rPr>
              <w:fldChar w:fldCharType="begin"/>
            </w:r>
            <w:r w:rsidR="008F3BAA">
              <w:rPr>
                <w:noProof/>
                <w:webHidden/>
              </w:rPr>
              <w:instrText xml:space="preserve"> PAGEREF _Toc63440748 \h </w:instrText>
            </w:r>
            <w:r w:rsidR="008F3BAA">
              <w:rPr>
                <w:noProof/>
                <w:webHidden/>
              </w:rPr>
            </w:r>
            <w:r w:rsidR="008F3BAA">
              <w:rPr>
                <w:noProof/>
                <w:webHidden/>
              </w:rPr>
              <w:fldChar w:fldCharType="separate"/>
            </w:r>
            <w:r w:rsidR="008F3BAA">
              <w:rPr>
                <w:noProof/>
                <w:webHidden/>
              </w:rPr>
              <w:t>7</w:t>
            </w:r>
            <w:r w:rsidR="008F3BAA">
              <w:rPr>
                <w:noProof/>
                <w:webHidden/>
              </w:rPr>
              <w:fldChar w:fldCharType="end"/>
            </w:r>
          </w:hyperlink>
        </w:p>
        <w:p w14:paraId="0AE84E7F" w14:textId="6B57309C" w:rsidR="008F3BAA" w:rsidRDefault="006A07BC">
          <w:pPr>
            <w:pStyle w:val="TM3"/>
            <w:tabs>
              <w:tab w:val="right" w:leader="dot" w:pos="8630"/>
            </w:tabs>
            <w:rPr>
              <w:rFonts w:asciiTheme="minorHAnsi" w:eastAsiaTheme="minorEastAsia" w:hAnsiTheme="minorHAnsi"/>
              <w:noProof/>
              <w:color w:val="auto"/>
              <w:sz w:val="22"/>
              <w:lang w:eastAsia="fr-CA"/>
            </w:rPr>
          </w:pPr>
          <w:hyperlink w:anchor="_Toc63440749" w:history="1">
            <w:r w:rsidR="008F3BAA" w:rsidRPr="00580B3B">
              <w:rPr>
                <w:rStyle w:val="Lienhypertexte"/>
                <w:b/>
                <w:noProof/>
              </w:rPr>
              <w:t>Recommandation 4</w:t>
            </w:r>
            <w:r w:rsidR="008F3BAA">
              <w:rPr>
                <w:noProof/>
                <w:webHidden/>
              </w:rPr>
              <w:tab/>
            </w:r>
            <w:r w:rsidR="008F3BAA">
              <w:rPr>
                <w:noProof/>
                <w:webHidden/>
              </w:rPr>
              <w:fldChar w:fldCharType="begin"/>
            </w:r>
            <w:r w:rsidR="008F3BAA">
              <w:rPr>
                <w:noProof/>
                <w:webHidden/>
              </w:rPr>
              <w:instrText xml:space="preserve"> PAGEREF _Toc63440749 \h </w:instrText>
            </w:r>
            <w:r w:rsidR="008F3BAA">
              <w:rPr>
                <w:noProof/>
                <w:webHidden/>
              </w:rPr>
            </w:r>
            <w:r w:rsidR="008F3BAA">
              <w:rPr>
                <w:noProof/>
                <w:webHidden/>
              </w:rPr>
              <w:fldChar w:fldCharType="separate"/>
            </w:r>
            <w:r w:rsidR="008F3BAA">
              <w:rPr>
                <w:noProof/>
                <w:webHidden/>
              </w:rPr>
              <w:t>7</w:t>
            </w:r>
            <w:r w:rsidR="008F3BAA">
              <w:rPr>
                <w:noProof/>
                <w:webHidden/>
              </w:rPr>
              <w:fldChar w:fldCharType="end"/>
            </w:r>
          </w:hyperlink>
        </w:p>
        <w:p w14:paraId="0D18033B" w14:textId="64AC587C" w:rsidR="008F3BAA" w:rsidRDefault="006A07BC">
          <w:pPr>
            <w:pStyle w:val="TM2"/>
            <w:tabs>
              <w:tab w:val="right" w:leader="dot" w:pos="8630"/>
            </w:tabs>
            <w:rPr>
              <w:rFonts w:asciiTheme="minorHAnsi" w:eastAsiaTheme="minorEastAsia" w:hAnsiTheme="minorHAnsi"/>
              <w:noProof/>
              <w:color w:val="auto"/>
              <w:sz w:val="22"/>
              <w:lang w:eastAsia="fr-CA"/>
            </w:rPr>
          </w:pPr>
          <w:hyperlink w:anchor="_Toc63440750" w:history="1">
            <w:r w:rsidR="008F3BAA" w:rsidRPr="00580B3B">
              <w:rPr>
                <w:rStyle w:val="Lienhypertexte"/>
                <w:b/>
                <w:noProof/>
              </w:rPr>
              <w:t>Conclusion</w:t>
            </w:r>
            <w:r w:rsidR="008F3BAA">
              <w:rPr>
                <w:noProof/>
                <w:webHidden/>
              </w:rPr>
              <w:tab/>
            </w:r>
            <w:r w:rsidR="008F3BAA">
              <w:rPr>
                <w:noProof/>
                <w:webHidden/>
              </w:rPr>
              <w:fldChar w:fldCharType="begin"/>
            </w:r>
            <w:r w:rsidR="008F3BAA">
              <w:rPr>
                <w:noProof/>
                <w:webHidden/>
              </w:rPr>
              <w:instrText xml:space="preserve"> PAGEREF _Toc63440750 \h </w:instrText>
            </w:r>
            <w:r w:rsidR="008F3BAA">
              <w:rPr>
                <w:noProof/>
                <w:webHidden/>
              </w:rPr>
            </w:r>
            <w:r w:rsidR="008F3BAA">
              <w:rPr>
                <w:noProof/>
                <w:webHidden/>
              </w:rPr>
              <w:fldChar w:fldCharType="separate"/>
            </w:r>
            <w:r w:rsidR="008F3BAA">
              <w:rPr>
                <w:noProof/>
                <w:webHidden/>
              </w:rPr>
              <w:t>8</w:t>
            </w:r>
            <w:r w:rsidR="008F3BAA">
              <w:rPr>
                <w:noProof/>
                <w:webHidden/>
              </w:rPr>
              <w:fldChar w:fldCharType="end"/>
            </w:r>
          </w:hyperlink>
        </w:p>
        <w:p w14:paraId="6D409E89" w14:textId="3AF26BAC" w:rsidR="008F3BAA" w:rsidRDefault="006A07BC">
          <w:pPr>
            <w:pStyle w:val="TM2"/>
            <w:tabs>
              <w:tab w:val="right" w:leader="dot" w:pos="8630"/>
            </w:tabs>
            <w:rPr>
              <w:rFonts w:asciiTheme="minorHAnsi" w:eastAsiaTheme="minorEastAsia" w:hAnsiTheme="minorHAnsi"/>
              <w:noProof/>
              <w:color w:val="auto"/>
              <w:sz w:val="22"/>
              <w:lang w:eastAsia="fr-CA"/>
            </w:rPr>
          </w:pPr>
          <w:hyperlink w:anchor="_Toc63440751" w:history="1">
            <w:r w:rsidR="008F3BAA" w:rsidRPr="00580B3B">
              <w:rPr>
                <w:rStyle w:val="Lienhypertexte"/>
                <w:b/>
                <w:noProof/>
              </w:rPr>
              <w:t>Liste des recommandations</w:t>
            </w:r>
            <w:r w:rsidR="008F3BAA">
              <w:rPr>
                <w:noProof/>
                <w:webHidden/>
              </w:rPr>
              <w:tab/>
            </w:r>
            <w:r w:rsidR="008F3BAA">
              <w:rPr>
                <w:noProof/>
                <w:webHidden/>
              </w:rPr>
              <w:fldChar w:fldCharType="begin"/>
            </w:r>
            <w:r w:rsidR="008F3BAA">
              <w:rPr>
                <w:noProof/>
                <w:webHidden/>
              </w:rPr>
              <w:instrText xml:space="preserve"> PAGEREF _Toc63440751 \h </w:instrText>
            </w:r>
            <w:r w:rsidR="008F3BAA">
              <w:rPr>
                <w:noProof/>
                <w:webHidden/>
              </w:rPr>
            </w:r>
            <w:r w:rsidR="008F3BAA">
              <w:rPr>
                <w:noProof/>
                <w:webHidden/>
              </w:rPr>
              <w:fldChar w:fldCharType="separate"/>
            </w:r>
            <w:r w:rsidR="008F3BAA">
              <w:rPr>
                <w:noProof/>
                <w:webHidden/>
              </w:rPr>
              <w:t>9</w:t>
            </w:r>
            <w:r w:rsidR="008F3BAA">
              <w:rPr>
                <w:noProof/>
                <w:webHidden/>
              </w:rPr>
              <w:fldChar w:fldCharType="end"/>
            </w:r>
          </w:hyperlink>
        </w:p>
        <w:p w14:paraId="7C104DD0" w14:textId="77777777" w:rsidR="00DD78C3" w:rsidRPr="002B7A12" w:rsidRDefault="00DD78C3" w:rsidP="00DD78C3">
          <w:pPr>
            <w:rPr>
              <w:sz w:val="24"/>
              <w:szCs w:val="24"/>
            </w:rPr>
          </w:pPr>
          <w:r w:rsidRPr="002B7A12">
            <w:rPr>
              <w:b/>
              <w:bCs/>
              <w:sz w:val="24"/>
              <w:szCs w:val="24"/>
              <w:lang w:val="fr-FR"/>
            </w:rPr>
            <w:fldChar w:fldCharType="end"/>
          </w:r>
        </w:p>
      </w:sdtContent>
    </w:sdt>
    <w:p w14:paraId="18860C1E" w14:textId="77777777" w:rsidR="00DD78C3" w:rsidRPr="002B7A12" w:rsidRDefault="00DD78C3" w:rsidP="00DD78C3">
      <w:pPr>
        <w:rPr>
          <w:rFonts w:eastAsiaTheme="majorEastAsia" w:cstheme="majorBidi"/>
          <w:sz w:val="24"/>
          <w:szCs w:val="24"/>
        </w:rPr>
      </w:pPr>
      <w:r w:rsidRPr="002B7A12">
        <w:rPr>
          <w:sz w:val="24"/>
          <w:szCs w:val="24"/>
        </w:rPr>
        <w:br w:type="page"/>
      </w:r>
    </w:p>
    <w:p w14:paraId="698B8F92" w14:textId="77777777" w:rsidR="00DD78C3" w:rsidRPr="005375D9" w:rsidRDefault="00DD78C3" w:rsidP="00CC446B">
      <w:pPr>
        <w:pStyle w:val="Titre2"/>
        <w:spacing w:before="500" w:after="500" w:line="300" w:lineRule="auto"/>
        <w:jc w:val="both"/>
        <w:rPr>
          <w:rFonts w:ascii="Arial" w:hAnsi="Arial"/>
          <w:b/>
          <w:bCs/>
          <w:color w:val="000000" w:themeColor="text1"/>
          <w:sz w:val="32"/>
          <w:szCs w:val="32"/>
        </w:rPr>
      </w:pPr>
      <w:bookmarkStart w:id="26" w:name="_Toc63440744"/>
      <w:r w:rsidRPr="005375D9">
        <w:rPr>
          <w:rFonts w:ascii="Arial" w:hAnsi="Arial"/>
          <w:b/>
          <w:bCs/>
          <w:color w:val="000000" w:themeColor="text1"/>
          <w:sz w:val="32"/>
          <w:szCs w:val="32"/>
        </w:rPr>
        <w:lastRenderedPageBreak/>
        <w:t>Introduction</w:t>
      </w:r>
      <w:bookmarkEnd w:id="26"/>
    </w:p>
    <w:p w14:paraId="155E8CC7" w14:textId="34CDD45A" w:rsidR="00DD78C3" w:rsidRDefault="00552A6D" w:rsidP="00CC446B">
      <w:pPr>
        <w:spacing w:line="240" w:lineRule="auto"/>
        <w:jc w:val="both"/>
        <w:rPr>
          <w:sz w:val="24"/>
        </w:rPr>
      </w:pPr>
      <w:r>
        <w:rPr>
          <w:sz w:val="24"/>
        </w:rPr>
        <w:t>Sans nul doute, le prochain budget québécois sera axé sur la relance économique du Québec lorsque la pandémie de COVID-19 sera derrière nous. Cette pandémie</w:t>
      </w:r>
      <w:r w:rsidR="00E67EC6">
        <w:rPr>
          <w:sz w:val="24"/>
        </w:rPr>
        <w:t xml:space="preserve"> a frappé durement</w:t>
      </w:r>
      <w:r w:rsidR="00684537">
        <w:rPr>
          <w:sz w:val="24"/>
        </w:rPr>
        <w:t>, à plusieurs égards,</w:t>
      </w:r>
      <w:r w:rsidR="00E67EC6">
        <w:rPr>
          <w:sz w:val="24"/>
        </w:rPr>
        <w:t xml:space="preserve"> les perso</w:t>
      </w:r>
      <w:r w:rsidR="00E0542D">
        <w:rPr>
          <w:sz w:val="24"/>
        </w:rPr>
        <w:t>nnes</w:t>
      </w:r>
      <w:r w:rsidR="00B719B0">
        <w:rPr>
          <w:sz w:val="24"/>
        </w:rPr>
        <w:t xml:space="preserve"> </w:t>
      </w:r>
      <w:r w:rsidR="00684537">
        <w:rPr>
          <w:sz w:val="24"/>
        </w:rPr>
        <w:t xml:space="preserve"> vivant des situations de handicap</w:t>
      </w:r>
      <w:r w:rsidR="00E0542D">
        <w:rPr>
          <w:sz w:val="24"/>
        </w:rPr>
        <w:t>.</w:t>
      </w:r>
      <w:r w:rsidR="000B567D">
        <w:rPr>
          <w:sz w:val="24"/>
        </w:rPr>
        <w:t xml:space="preserve"> Il nous semble donc essentiel de nous assurer que la relance économique mise en place sera équitable pour tous et toutes et que les personnes en situation de handicap y trouveront leur compte. En ce sens, plusieurs aspects auraient pu être abordés ici</w:t>
      </w:r>
      <w:r w:rsidR="00684537">
        <w:rPr>
          <w:sz w:val="24"/>
        </w:rPr>
        <w:t>,</w:t>
      </w:r>
      <w:r w:rsidR="000B567D">
        <w:rPr>
          <w:sz w:val="24"/>
        </w:rPr>
        <w:t xml:space="preserve"> mais notre avis se concentrera sur une demande de longue date du milieu communautaire des personnes en situation de handicap</w:t>
      </w:r>
      <w:r w:rsidR="00684537">
        <w:rPr>
          <w:sz w:val="24"/>
        </w:rPr>
        <w:t>, la remboursabilité du montant pour déficience grave et prolongée des fonctions mentales ou physiques.</w:t>
      </w:r>
    </w:p>
    <w:p w14:paraId="16C5F130" w14:textId="77777777" w:rsidR="00684537" w:rsidRDefault="00684537">
      <w:pPr>
        <w:rPr>
          <w:rFonts w:eastAsiaTheme="majorEastAsia" w:cstheme="majorBidi"/>
          <w:b/>
          <w:szCs w:val="26"/>
        </w:rPr>
      </w:pPr>
      <w:bookmarkStart w:id="27" w:name="_Toc63440745"/>
      <w:r>
        <w:rPr>
          <w:b/>
        </w:rPr>
        <w:br w:type="page"/>
      </w:r>
    </w:p>
    <w:p w14:paraId="722E3F84" w14:textId="6D24C515" w:rsidR="000B567D" w:rsidRPr="000B567D" w:rsidRDefault="000B567D" w:rsidP="00CC446B">
      <w:pPr>
        <w:pStyle w:val="Titre2"/>
        <w:jc w:val="both"/>
        <w:rPr>
          <w:rFonts w:ascii="Arial" w:hAnsi="Arial"/>
          <w:b/>
          <w:color w:val="000000" w:themeColor="text1"/>
          <w:sz w:val="32"/>
        </w:rPr>
      </w:pPr>
      <w:r w:rsidRPr="000B567D">
        <w:rPr>
          <w:rFonts w:ascii="Arial" w:hAnsi="Arial"/>
          <w:b/>
          <w:color w:val="000000" w:themeColor="text1"/>
          <w:sz w:val="32"/>
        </w:rPr>
        <w:lastRenderedPageBreak/>
        <w:t>R</w:t>
      </w:r>
      <w:r w:rsidR="00D750D1">
        <w:rPr>
          <w:rFonts w:ascii="Arial" w:hAnsi="Arial"/>
          <w:b/>
          <w:color w:val="000000" w:themeColor="text1"/>
          <w:sz w:val="32"/>
        </w:rPr>
        <w:t xml:space="preserve">endre remboursable le </w:t>
      </w:r>
      <w:hyperlink r:id="rId8" w:history="1">
        <w:r w:rsidR="00684537" w:rsidRPr="001F583B">
          <w:rPr>
            <w:rStyle w:val="Lienhypertexte"/>
            <w:rFonts w:ascii="Arial" w:hAnsi="Arial"/>
            <w:b/>
            <w:sz w:val="32"/>
          </w:rPr>
          <w:t>m</w:t>
        </w:r>
        <w:r w:rsidRPr="001F583B">
          <w:rPr>
            <w:rStyle w:val="Lienhypertexte"/>
            <w:rFonts w:ascii="Arial" w:hAnsi="Arial"/>
            <w:b/>
            <w:sz w:val="32"/>
          </w:rPr>
          <w:t>ontant pour déficience grave et prolongée des fonctions mentales ou physiques</w:t>
        </w:r>
        <w:bookmarkEnd w:id="27"/>
      </w:hyperlink>
    </w:p>
    <w:p w14:paraId="787725D1" w14:textId="77777777" w:rsidR="00684537" w:rsidRDefault="00684537" w:rsidP="00CC446B">
      <w:pPr>
        <w:spacing w:line="240" w:lineRule="auto"/>
        <w:jc w:val="both"/>
        <w:rPr>
          <w:sz w:val="24"/>
        </w:rPr>
      </w:pPr>
    </w:p>
    <w:p w14:paraId="5F8CF7B5" w14:textId="4F183623" w:rsidR="006B1152" w:rsidRDefault="000B567D" w:rsidP="00CC446B">
      <w:pPr>
        <w:spacing w:line="240" w:lineRule="auto"/>
        <w:jc w:val="both"/>
        <w:rPr>
          <w:sz w:val="24"/>
        </w:rPr>
      </w:pPr>
      <w:r>
        <w:rPr>
          <w:sz w:val="24"/>
        </w:rPr>
        <w:t xml:space="preserve">Ce crédit d’impôt est </w:t>
      </w:r>
      <w:r w:rsidR="006D3CDC">
        <w:rPr>
          <w:sz w:val="24"/>
        </w:rPr>
        <w:t>non-</w:t>
      </w:r>
      <w:r>
        <w:rPr>
          <w:sz w:val="24"/>
        </w:rPr>
        <w:t xml:space="preserve">remboursable, c’est-à-dire que </w:t>
      </w:r>
      <w:r w:rsidR="00263DB6">
        <w:rPr>
          <w:sz w:val="24"/>
        </w:rPr>
        <w:t>seules les personnes</w:t>
      </w:r>
      <w:r>
        <w:rPr>
          <w:sz w:val="24"/>
        </w:rPr>
        <w:t xml:space="preserve"> qui paie</w:t>
      </w:r>
      <w:r w:rsidR="002E70F1">
        <w:rPr>
          <w:sz w:val="24"/>
        </w:rPr>
        <w:t>nt</w:t>
      </w:r>
      <w:r>
        <w:rPr>
          <w:sz w:val="24"/>
        </w:rPr>
        <w:t xml:space="preserve"> des impôts y ont droit. </w:t>
      </w:r>
      <w:r w:rsidR="00684537">
        <w:rPr>
          <w:sz w:val="24"/>
        </w:rPr>
        <w:t>La COPHAN</w:t>
      </w:r>
      <w:r w:rsidR="006D3CDC">
        <w:rPr>
          <w:sz w:val="24"/>
        </w:rPr>
        <w:t xml:space="preserve"> demand</w:t>
      </w:r>
      <w:r w:rsidR="00684537">
        <w:rPr>
          <w:sz w:val="24"/>
        </w:rPr>
        <w:t>e</w:t>
      </w:r>
      <w:r w:rsidR="006D3CDC">
        <w:rPr>
          <w:sz w:val="24"/>
        </w:rPr>
        <w:t xml:space="preserve"> qu’il devienne remboursable </w:t>
      </w:r>
      <w:r w:rsidR="00B719B0">
        <w:rPr>
          <w:sz w:val="24"/>
        </w:rPr>
        <w:t>dès l’année fiscale 2021</w:t>
      </w:r>
      <w:r w:rsidR="00CA20FD">
        <w:rPr>
          <w:sz w:val="24"/>
        </w:rPr>
        <w:t xml:space="preserve">. En effet, </w:t>
      </w:r>
      <w:r>
        <w:rPr>
          <w:sz w:val="24"/>
        </w:rPr>
        <w:t>les personnes handicapées doivent assumer des coûts supplémentaires liés à leurs limitations, qui ne sont pas toujours pris en charge par l’État. Ces coûts supplémentaires causent des impacts disproportionnés aux personnes handicapées les plus pauvres, qui se retrouvent à devoir assumer une part plus importante des coûts liés à leurs limitations sans compensation. Cette deman</w:t>
      </w:r>
      <w:r w:rsidR="00B719B0">
        <w:rPr>
          <w:sz w:val="24"/>
        </w:rPr>
        <w:t>de</w:t>
      </w:r>
      <w:r>
        <w:rPr>
          <w:sz w:val="24"/>
        </w:rPr>
        <w:t xml:space="preserve"> a été réitérée maintes fois, notamment en 2014, dans une lettre que nous adressions à la Commission d’examen sur la fiscalité québécoise. Répondant favorablement à la demande que nous avions alors </w:t>
      </w:r>
      <w:r w:rsidR="00F95E5E">
        <w:rPr>
          <w:sz w:val="24"/>
        </w:rPr>
        <w:t>formulée</w:t>
      </w:r>
      <w:r>
        <w:rPr>
          <w:sz w:val="24"/>
        </w:rPr>
        <w:t>, le rapport Godbout</w:t>
      </w:r>
      <w:r w:rsidR="00206DF2">
        <w:rPr>
          <w:sz w:val="24"/>
        </w:rPr>
        <w:t xml:space="preserve">, faisant état des recommandations de la Commission d’examen sur la fiscalité québécoise </w:t>
      </w:r>
      <w:r w:rsidR="00373515">
        <w:rPr>
          <w:sz w:val="24"/>
        </w:rPr>
        <w:t xml:space="preserve">et </w:t>
      </w:r>
      <w:r w:rsidR="00D25909">
        <w:rPr>
          <w:sz w:val="24"/>
        </w:rPr>
        <w:t xml:space="preserve">qui est </w:t>
      </w:r>
      <w:r w:rsidR="00206DF2">
        <w:rPr>
          <w:sz w:val="24"/>
        </w:rPr>
        <w:t>paru en 2015, soutenait qu’il fallait rendre ce crédit d’impôt remboursable, facilitant ainsi son accès à un plus grand nombre de personnes handicapées</w:t>
      </w:r>
      <w:r w:rsidR="0095189B">
        <w:rPr>
          <w:sz w:val="24"/>
        </w:rPr>
        <w:t xml:space="preserve"> et permettant ainsi que les personnes les plus démunies y aient accès</w:t>
      </w:r>
      <w:r w:rsidR="00206DF2">
        <w:rPr>
          <w:sz w:val="24"/>
        </w:rPr>
        <w:t xml:space="preserve">. </w:t>
      </w:r>
      <w:r w:rsidR="00854F49">
        <w:rPr>
          <w:sz w:val="24"/>
        </w:rPr>
        <w:t xml:space="preserve">Selon ce rapport, la mesure coûterait 23 M$ à l’État, ce qui constitue une somme dérisoire pour le gouvernement du Québec </w:t>
      </w:r>
      <w:r w:rsidR="00803B6D">
        <w:rPr>
          <w:sz w:val="24"/>
        </w:rPr>
        <w:t>mais ferait toute la différence pour des milliers de personnes, surtout en cette période d</w:t>
      </w:r>
      <w:r w:rsidR="00684537">
        <w:rPr>
          <w:sz w:val="24"/>
        </w:rPr>
        <w:t>e pandémie</w:t>
      </w:r>
      <w:r w:rsidR="00803B6D">
        <w:rPr>
          <w:sz w:val="24"/>
        </w:rPr>
        <w:t>. Le rapport préconise également que ce crédit d’impôt devienne régressif.</w:t>
      </w:r>
      <w:r w:rsidR="00DB3257">
        <w:rPr>
          <w:sz w:val="24"/>
        </w:rPr>
        <w:t xml:space="preserve"> Nous souhaitons entamer une réflexion sur le sujet. Avant de nous prononcer, il nous faudrait davantage de données pour calculer l’impact </w:t>
      </w:r>
      <w:r w:rsidR="006D3EC2">
        <w:rPr>
          <w:sz w:val="24"/>
        </w:rPr>
        <w:t>économique de cette mesure en respectant les paramètres établis, dans le rapport Godbout, quant à la</w:t>
      </w:r>
      <w:r w:rsidR="005345F4">
        <w:rPr>
          <w:sz w:val="24"/>
        </w:rPr>
        <w:t xml:space="preserve"> </w:t>
      </w:r>
      <w:r w:rsidR="00002D00">
        <w:rPr>
          <w:sz w:val="24"/>
        </w:rPr>
        <w:t>dégressivité</w:t>
      </w:r>
      <w:r w:rsidR="006D3EC2">
        <w:rPr>
          <w:sz w:val="24"/>
        </w:rPr>
        <w:t xml:space="preserve"> de ce crédit d’impôt.</w:t>
      </w:r>
      <w:r w:rsidR="00541799">
        <w:rPr>
          <w:sz w:val="24"/>
        </w:rPr>
        <w:t xml:space="preserve"> Il nous faudrait savoir le nombre de personnes visées par une telle mesure, l’impact </w:t>
      </w:r>
      <w:r w:rsidR="00F35211">
        <w:rPr>
          <w:sz w:val="24"/>
        </w:rPr>
        <w:t>financier pour ces individus et l’impact macroéconomique pour l’État.</w:t>
      </w:r>
    </w:p>
    <w:p w14:paraId="4A1ACC35" w14:textId="77777777" w:rsidR="006B1152" w:rsidRDefault="006B1152" w:rsidP="00CC446B">
      <w:pPr>
        <w:spacing w:line="240" w:lineRule="auto"/>
        <w:jc w:val="both"/>
        <w:rPr>
          <w:sz w:val="24"/>
        </w:rPr>
      </w:pPr>
    </w:p>
    <w:p w14:paraId="05F24A2D" w14:textId="3E07BE42" w:rsidR="000B567D" w:rsidRDefault="00C04A2C" w:rsidP="00CC446B">
      <w:pPr>
        <w:spacing w:line="240" w:lineRule="auto"/>
        <w:jc w:val="both"/>
        <w:rPr>
          <w:sz w:val="24"/>
        </w:rPr>
      </w:pPr>
      <w:r>
        <w:rPr>
          <w:sz w:val="24"/>
        </w:rPr>
        <w:t>Rendre ce crédit d’impôt remboursable a également été proposé par d’autres experts, notamment dans le cadre de la</w:t>
      </w:r>
      <w:r w:rsidR="000938CB">
        <w:rPr>
          <w:sz w:val="24"/>
        </w:rPr>
        <w:t xml:space="preserve"> </w:t>
      </w:r>
      <w:r w:rsidR="00C47D37">
        <w:rPr>
          <w:sz w:val="24"/>
        </w:rPr>
        <w:t>Politique À part entière</w:t>
      </w:r>
      <w:r w:rsidR="001E17DD">
        <w:rPr>
          <w:sz w:val="24"/>
        </w:rPr>
        <w:t xml:space="preserve"> de l’Office des personnes handicapées du Québec (OPHQ)</w:t>
      </w:r>
      <w:r w:rsidR="00E153CC">
        <w:rPr>
          <w:sz w:val="24"/>
        </w:rPr>
        <w:t xml:space="preserve"> </w:t>
      </w:r>
      <w:r w:rsidR="000938CB">
        <w:rPr>
          <w:sz w:val="24"/>
        </w:rPr>
        <w:t xml:space="preserve">ainsi que dans un </w:t>
      </w:r>
      <w:r w:rsidR="001E17DD">
        <w:rPr>
          <w:sz w:val="24"/>
        </w:rPr>
        <w:t xml:space="preserve">avis du </w:t>
      </w:r>
      <w:r w:rsidR="004D2E4E">
        <w:rPr>
          <w:sz w:val="24"/>
        </w:rPr>
        <w:t xml:space="preserve">Comité consultatif de lutte contre la pauvreté et l’exclusion sociale. </w:t>
      </w:r>
      <w:r w:rsidR="00206DF2">
        <w:rPr>
          <w:sz w:val="24"/>
        </w:rPr>
        <w:t>Or, malgré nos représentations successives ainsi que les conclusions d</w:t>
      </w:r>
      <w:r w:rsidR="00211823">
        <w:rPr>
          <w:sz w:val="24"/>
        </w:rPr>
        <w:t xml:space="preserve">’experts </w:t>
      </w:r>
      <w:r w:rsidR="00206DF2">
        <w:rPr>
          <w:sz w:val="24"/>
        </w:rPr>
        <w:t xml:space="preserve">allant en ce sens, le montant pour déficience grave </w:t>
      </w:r>
      <w:r w:rsidR="004F61B3">
        <w:rPr>
          <w:sz w:val="24"/>
        </w:rPr>
        <w:t xml:space="preserve">et prolongée </w:t>
      </w:r>
      <w:r w:rsidR="00206DF2">
        <w:rPr>
          <w:sz w:val="24"/>
        </w:rPr>
        <w:t xml:space="preserve">des fonctions mentales ou physiques est toujours </w:t>
      </w:r>
      <w:r w:rsidR="007B30A2">
        <w:rPr>
          <w:sz w:val="24"/>
        </w:rPr>
        <w:t>non-</w:t>
      </w:r>
      <w:r w:rsidR="00206DF2">
        <w:rPr>
          <w:sz w:val="24"/>
        </w:rPr>
        <w:t>remboursable.</w:t>
      </w:r>
    </w:p>
    <w:p w14:paraId="696213AA" w14:textId="729951F9" w:rsidR="00206DF2" w:rsidRDefault="00206DF2" w:rsidP="00CC446B">
      <w:pPr>
        <w:spacing w:line="240" w:lineRule="auto"/>
        <w:jc w:val="both"/>
        <w:rPr>
          <w:sz w:val="24"/>
        </w:rPr>
      </w:pPr>
    </w:p>
    <w:p w14:paraId="76E689D8" w14:textId="5877D54C" w:rsidR="00E3041C" w:rsidRDefault="00206DF2" w:rsidP="00CC446B">
      <w:pPr>
        <w:spacing w:line="240" w:lineRule="auto"/>
        <w:jc w:val="both"/>
        <w:rPr>
          <w:sz w:val="24"/>
        </w:rPr>
      </w:pPr>
      <w:r>
        <w:rPr>
          <w:sz w:val="24"/>
        </w:rPr>
        <w:t xml:space="preserve">La pandémie que nous traversons présentement rend cette revendication encore davantage d’actualité. En effet, les personnes que nous représentons ont dû, dans bien des cas, dépenser des sommes supplémentaires pour pouvoir continuer de recevoir les services auxquels </w:t>
      </w:r>
      <w:r w:rsidR="00684537">
        <w:rPr>
          <w:sz w:val="24"/>
        </w:rPr>
        <w:t>elles</w:t>
      </w:r>
      <w:r>
        <w:rPr>
          <w:sz w:val="24"/>
        </w:rPr>
        <w:t xml:space="preserve"> ont droit, en toute sécurité</w:t>
      </w:r>
      <w:r w:rsidR="00DD1053">
        <w:rPr>
          <w:sz w:val="24"/>
        </w:rPr>
        <w:t>, ou pour obtenir davantage de services.</w:t>
      </w:r>
      <w:r>
        <w:rPr>
          <w:sz w:val="24"/>
        </w:rPr>
        <w:t xml:space="preserve"> Beaucoup ont dû se procurer, à leurs frais, des équipements de protection individuel</w:t>
      </w:r>
      <w:r w:rsidR="00684537">
        <w:rPr>
          <w:sz w:val="24"/>
        </w:rPr>
        <w:t>s (ÉPI)</w:t>
      </w:r>
      <w:r>
        <w:rPr>
          <w:sz w:val="24"/>
        </w:rPr>
        <w:t xml:space="preserve"> </w:t>
      </w:r>
      <w:r w:rsidR="00684537">
        <w:rPr>
          <w:sz w:val="24"/>
        </w:rPr>
        <w:t xml:space="preserve">pour elles, leurs travailleurs et leurs proches </w:t>
      </w:r>
      <w:r>
        <w:rPr>
          <w:sz w:val="24"/>
        </w:rPr>
        <w:t xml:space="preserve">en attendant que le réseau de la santé et des services sociaux ne prenne </w:t>
      </w:r>
      <w:r>
        <w:rPr>
          <w:sz w:val="24"/>
        </w:rPr>
        <w:lastRenderedPageBreak/>
        <w:t>la relève ou pour pallier le petit nombre d’ÉPI fournis par le réseau. Beaucoup ont défrayé davantage de frais de livraison de repas, ainsi que de préparation et de livraison d’épicerie</w:t>
      </w:r>
      <w:r w:rsidR="00684537">
        <w:rPr>
          <w:sz w:val="24"/>
        </w:rPr>
        <w:t xml:space="preserve"> ou de pharmacie</w:t>
      </w:r>
      <w:r>
        <w:rPr>
          <w:sz w:val="24"/>
        </w:rPr>
        <w:t xml:space="preserve">. Plusieurs personnes ont </w:t>
      </w:r>
      <w:r w:rsidR="00F95E5E">
        <w:rPr>
          <w:sz w:val="24"/>
        </w:rPr>
        <w:t>dépensé</w:t>
      </w:r>
      <w:r w:rsidR="0052190E">
        <w:rPr>
          <w:sz w:val="24"/>
        </w:rPr>
        <w:t xml:space="preserve"> davantage pour de l’aide à domicile</w:t>
      </w:r>
      <w:r w:rsidR="00684537">
        <w:rPr>
          <w:sz w:val="24"/>
        </w:rPr>
        <w:t xml:space="preserve"> ou du soutien aux proches</w:t>
      </w:r>
      <w:r w:rsidR="0052190E">
        <w:rPr>
          <w:sz w:val="24"/>
        </w:rPr>
        <w:t xml:space="preserve"> étant donné les </w:t>
      </w:r>
      <w:r w:rsidR="000E27FC">
        <w:rPr>
          <w:sz w:val="24"/>
        </w:rPr>
        <w:t xml:space="preserve">restrictions et </w:t>
      </w:r>
      <w:r w:rsidR="0052190E">
        <w:rPr>
          <w:sz w:val="24"/>
        </w:rPr>
        <w:t>difficultés d’accès à certains lieux</w:t>
      </w:r>
      <w:r w:rsidR="00523DD1">
        <w:rPr>
          <w:sz w:val="24"/>
        </w:rPr>
        <w:t>, pour du répit</w:t>
      </w:r>
      <w:r w:rsidR="0052190E">
        <w:rPr>
          <w:sz w:val="24"/>
        </w:rPr>
        <w:t xml:space="preserve"> ou pour pallier une diminution de l’autonomie liée au confinement. Nous pourrions nommer plusieurs autres exemples</w:t>
      </w:r>
      <w:r w:rsidR="00684537">
        <w:rPr>
          <w:sz w:val="24"/>
        </w:rPr>
        <w:t>,</w:t>
      </w:r>
      <w:r w:rsidR="0052190E">
        <w:rPr>
          <w:sz w:val="24"/>
        </w:rPr>
        <w:t xml:space="preserve"> mais on peut déjà constater l’augmentation de certains besoins pour les personnes que nous représentons et les coûts supplémentaires que cela a pu engendrer pour </w:t>
      </w:r>
      <w:r w:rsidR="00684537">
        <w:rPr>
          <w:sz w:val="24"/>
        </w:rPr>
        <w:t>elles</w:t>
      </w:r>
      <w:r w:rsidR="0052190E">
        <w:rPr>
          <w:sz w:val="24"/>
        </w:rPr>
        <w:t>.</w:t>
      </w:r>
      <w:r w:rsidR="00B91432">
        <w:rPr>
          <w:sz w:val="24"/>
        </w:rPr>
        <w:t xml:space="preserve"> Rendre ce crédit d’impôt remboursable donnerait une bouffée d’oxygène </w:t>
      </w:r>
      <w:r w:rsidR="00C14C6C">
        <w:rPr>
          <w:sz w:val="24"/>
        </w:rPr>
        <w:t xml:space="preserve">particulièrement bienvenue en cette année </w:t>
      </w:r>
      <w:r w:rsidR="00450AAF">
        <w:rPr>
          <w:sz w:val="24"/>
        </w:rPr>
        <w:t>où les répercussions financières de la pandémie se feront ressentir encore un certain temps et où la population générale, incluant les personnes handicapées, souhaitera participer pleinement à la relance économique</w:t>
      </w:r>
      <w:r w:rsidR="003F1117">
        <w:rPr>
          <w:sz w:val="24"/>
        </w:rPr>
        <w:t xml:space="preserve"> qui se profile dans la deuxième moitié de l’année.</w:t>
      </w:r>
      <w:r w:rsidR="00A100E7">
        <w:rPr>
          <w:sz w:val="24"/>
        </w:rPr>
        <w:t xml:space="preserve"> Ainsi, les personnes handicapées </w:t>
      </w:r>
      <w:r w:rsidR="00684537">
        <w:rPr>
          <w:sz w:val="24"/>
        </w:rPr>
        <w:t xml:space="preserve">et leurs proches </w:t>
      </w:r>
      <w:r w:rsidR="00A100E7">
        <w:rPr>
          <w:sz w:val="24"/>
        </w:rPr>
        <w:t>pourront contribuer davantage à l’économie du Québec,</w:t>
      </w:r>
      <w:r w:rsidR="00BB79EB">
        <w:rPr>
          <w:sz w:val="24"/>
        </w:rPr>
        <w:t xml:space="preserve"> qui aura bien besoin de tous les apports de la société civile pour rebondir</w:t>
      </w:r>
      <w:r w:rsidR="0052190E">
        <w:rPr>
          <w:sz w:val="24"/>
        </w:rPr>
        <w:t xml:space="preserve"> </w:t>
      </w:r>
      <w:r w:rsidR="00F020EE">
        <w:rPr>
          <w:sz w:val="24"/>
        </w:rPr>
        <w:t>après cette crise historique.</w:t>
      </w:r>
    </w:p>
    <w:p w14:paraId="7B4C3432" w14:textId="77777777" w:rsidR="00E3041C" w:rsidRDefault="00E3041C" w:rsidP="00CC446B">
      <w:pPr>
        <w:spacing w:line="240" w:lineRule="auto"/>
        <w:jc w:val="both"/>
        <w:rPr>
          <w:sz w:val="24"/>
        </w:rPr>
      </w:pPr>
    </w:p>
    <w:p w14:paraId="5A7F1633" w14:textId="6CEDFA58" w:rsidR="00E3041C" w:rsidRDefault="00E3041C" w:rsidP="00CC446B">
      <w:pPr>
        <w:spacing w:line="240" w:lineRule="auto"/>
        <w:jc w:val="both"/>
        <w:rPr>
          <w:sz w:val="24"/>
        </w:rPr>
      </w:pPr>
      <w:r>
        <w:rPr>
          <w:sz w:val="24"/>
        </w:rPr>
        <w:t xml:space="preserve">De plus, le fait de rendre ce crédit d’impôt remboursable </w:t>
      </w:r>
      <w:r w:rsidR="00BC73EC">
        <w:rPr>
          <w:sz w:val="24"/>
        </w:rPr>
        <w:t>augmenterait l’attractivité d’autres crédits d’impôt destinés aux personnes handicapé</w:t>
      </w:r>
      <w:r w:rsidR="0042116D">
        <w:rPr>
          <w:sz w:val="24"/>
        </w:rPr>
        <w:t>e</w:t>
      </w:r>
      <w:r w:rsidR="00787CFF">
        <w:rPr>
          <w:sz w:val="24"/>
        </w:rPr>
        <w:t xml:space="preserve">s. </w:t>
      </w:r>
      <w:r w:rsidR="009B38F8">
        <w:rPr>
          <w:sz w:val="24"/>
        </w:rPr>
        <w:t>C</w:t>
      </w:r>
      <w:r w:rsidR="005632AD">
        <w:rPr>
          <w:sz w:val="24"/>
        </w:rPr>
        <w:t xml:space="preserve">ela faciliterait </w:t>
      </w:r>
      <w:r w:rsidR="009B38F8">
        <w:rPr>
          <w:sz w:val="24"/>
        </w:rPr>
        <w:t xml:space="preserve">également </w:t>
      </w:r>
      <w:r w:rsidR="00774C6B">
        <w:rPr>
          <w:sz w:val="24"/>
        </w:rPr>
        <w:t xml:space="preserve">les </w:t>
      </w:r>
      <w:r w:rsidR="005632AD">
        <w:rPr>
          <w:sz w:val="24"/>
        </w:rPr>
        <w:t xml:space="preserve">représentations </w:t>
      </w:r>
      <w:r w:rsidR="00774C6B">
        <w:rPr>
          <w:sz w:val="24"/>
        </w:rPr>
        <w:t xml:space="preserve">faites </w:t>
      </w:r>
      <w:r w:rsidR="005632AD">
        <w:rPr>
          <w:sz w:val="24"/>
        </w:rPr>
        <w:t xml:space="preserve">auprès du gouvernement fédéral en vue de rendre le </w:t>
      </w:r>
      <w:hyperlink r:id="rId9" w:history="1">
        <w:r w:rsidR="005632AD" w:rsidRPr="001F583B">
          <w:rPr>
            <w:rStyle w:val="Lienhypertexte"/>
            <w:sz w:val="24"/>
          </w:rPr>
          <w:t>CIPH</w:t>
        </w:r>
      </w:hyperlink>
      <w:r w:rsidR="005632AD">
        <w:rPr>
          <w:sz w:val="24"/>
        </w:rPr>
        <w:t xml:space="preserve"> remboursable</w:t>
      </w:r>
      <w:r w:rsidR="009B38F8">
        <w:rPr>
          <w:sz w:val="24"/>
        </w:rPr>
        <w:t>.</w:t>
      </w:r>
      <w:r w:rsidR="00301D68">
        <w:rPr>
          <w:sz w:val="24"/>
        </w:rPr>
        <w:t xml:space="preserve"> </w:t>
      </w:r>
      <w:r w:rsidR="009B474D">
        <w:rPr>
          <w:sz w:val="24"/>
        </w:rPr>
        <w:t xml:space="preserve">En effet, cette mesure pourrait </w:t>
      </w:r>
      <w:r w:rsidR="00631DBB">
        <w:rPr>
          <w:sz w:val="24"/>
        </w:rPr>
        <w:t>aug</w:t>
      </w:r>
      <w:r w:rsidR="003462F4">
        <w:rPr>
          <w:sz w:val="24"/>
        </w:rPr>
        <w:t xml:space="preserve">menter </w:t>
      </w:r>
      <w:r w:rsidR="00DE17EF">
        <w:rPr>
          <w:sz w:val="24"/>
        </w:rPr>
        <w:t xml:space="preserve">l’attractivité du CIPH </w:t>
      </w:r>
      <w:r w:rsidR="00327517">
        <w:rPr>
          <w:sz w:val="24"/>
        </w:rPr>
        <w:t xml:space="preserve">et, dans le même esprit </w:t>
      </w:r>
      <w:r w:rsidR="001E06A4">
        <w:rPr>
          <w:sz w:val="24"/>
        </w:rPr>
        <w:t xml:space="preserve">d’adopter des mesures facilitant la relance </w:t>
      </w:r>
      <w:r w:rsidR="00327517">
        <w:rPr>
          <w:sz w:val="24"/>
        </w:rPr>
        <w:t xml:space="preserve">économique, </w:t>
      </w:r>
      <w:r w:rsidR="006D11D0">
        <w:rPr>
          <w:sz w:val="24"/>
        </w:rPr>
        <w:t xml:space="preserve">il serait plus indiqué que jamais de rendre le CIPH </w:t>
      </w:r>
      <w:r w:rsidR="00D86FE5">
        <w:rPr>
          <w:sz w:val="24"/>
        </w:rPr>
        <w:t>remboursable</w:t>
      </w:r>
      <w:r w:rsidR="00F413ED">
        <w:rPr>
          <w:sz w:val="24"/>
        </w:rPr>
        <w:t xml:space="preserve"> et ainsi permettre aux québécois et québécoises d’aller chercher leur juste part du </w:t>
      </w:r>
      <w:hyperlink r:id="rId10" w:history="1">
        <w:r w:rsidR="00F413ED" w:rsidRPr="00F413ED">
          <w:rPr>
            <w:rStyle w:val="Lienhypertexte"/>
            <w:sz w:val="24"/>
          </w:rPr>
          <w:t>REEI</w:t>
        </w:r>
      </w:hyperlink>
      <w:r w:rsidR="00D86FE5">
        <w:rPr>
          <w:sz w:val="24"/>
        </w:rPr>
        <w:t xml:space="preserve">. D’ailleurs, tel que nous l’avons mentionné </w:t>
      </w:r>
      <w:r w:rsidR="009D0902">
        <w:rPr>
          <w:sz w:val="24"/>
        </w:rPr>
        <w:t>dans nos représentations précédentes, le gouvernement québécois pourrait nous aider en ce sens.</w:t>
      </w:r>
    </w:p>
    <w:p w14:paraId="184358CA" w14:textId="6AB1F79A" w:rsidR="00E70F6E" w:rsidRDefault="00E70F6E" w:rsidP="00CC446B">
      <w:pPr>
        <w:spacing w:line="240" w:lineRule="auto"/>
        <w:jc w:val="both"/>
        <w:rPr>
          <w:sz w:val="24"/>
        </w:rPr>
      </w:pPr>
    </w:p>
    <w:p w14:paraId="4874ADF4" w14:textId="515ECCEB" w:rsidR="00E70F6E" w:rsidRDefault="007F7FA5" w:rsidP="00CC446B">
      <w:pPr>
        <w:spacing w:line="240" w:lineRule="auto"/>
        <w:jc w:val="both"/>
        <w:rPr>
          <w:sz w:val="24"/>
        </w:rPr>
      </w:pPr>
      <w:r>
        <w:rPr>
          <w:sz w:val="24"/>
        </w:rPr>
        <w:t xml:space="preserve">Enfin, le moment est plus indiqué que jamais de faire la promotion du </w:t>
      </w:r>
      <w:r w:rsidR="0042116D">
        <w:rPr>
          <w:sz w:val="24"/>
        </w:rPr>
        <w:t>m</w:t>
      </w:r>
      <w:r>
        <w:rPr>
          <w:sz w:val="24"/>
        </w:rPr>
        <w:t>ontant pour déficience grave et prolongée des fonctions mentales ou physiques.</w:t>
      </w:r>
      <w:r w:rsidR="0077103B">
        <w:rPr>
          <w:sz w:val="24"/>
        </w:rPr>
        <w:t xml:space="preserve"> En effet, ce crédit d’impôt semble méconnu dans la population des personnes handicapées. Des mesures devraient être mises en place pour promouvoir ce crédit d’impôt et inciter toute personne admissible à le réclamer. </w:t>
      </w:r>
      <w:r w:rsidR="00084F45">
        <w:rPr>
          <w:sz w:val="24"/>
        </w:rPr>
        <w:t>Bien entendu, rendre ce crédit d’impôt remboursable rendrait ce besoin de promotion encore plus criant.</w:t>
      </w:r>
    </w:p>
    <w:p w14:paraId="3CE83EAB" w14:textId="77777777" w:rsidR="0042116D" w:rsidRDefault="0042116D" w:rsidP="00CC446B">
      <w:pPr>
        <w:spacing w:line="240" w:lineRule="auto"/>
        <w:jc w:val="both"/>
        <w:rPr>
          <w:sz w:val="24"/>
        </w:rPr>
      </w:pPr>
    </w:p>
    <w:p w14:paraId="68A3C700" w14:textId="75915760" w:rsidR="0086063E" w:rsidRPr="0086063E" w:rsidRDefault="0086063E" w:rsidP="00CC446B">
      <w:pPr>
        <w:pStyle w:val="Titre3"/>
        <w:jc w:val="both"/>
        <w:rPr>
          <w:rFonts w:ascii="Arial" w:hAnsi="Arial"/>
          <w:b/>
          <w:color w:val="000000" w:themeColor="text1"/>
          <w:sz w:val="28"/>
        </w:rPr>
      </w:pPr>
      <w:bookmarkStart w:id="28" w:name="_Toc63440746"/>
      <w:r w:rsidRPr="0086063E">
        <w:rPr>
          <w:rFonts w:ascii="Arial" w:hAnsi="Arial"/>
          <w:b/>
          <w:color w:val="000000" w:themeColor="text1"/>
          <w:sz w:val="28"/>
        </w:rPr>
        <w:t>Recommandation</w:t>
      </w:r>
      <w:r w:rsidR="00685709">
        <w:rPr>
          <w:rFonts w:ascii="Arial" w:hAnsi="Arial"/>
          <w:b/>
          <w:color w:val="000000" w:themeColor="text1"/>
          <w:sz w:val="28"/>
        </w:rPr>
        <w:t xml:space="preserve"> 1</w:t>
      </w:r>
      <w:bookmarkEnd w:id="28"/>
    </w:p>
    <w:p w14:paraId="79B0A9DB" w14:textId="0F6F36A6" w:rsidR="009D0902" w:rsidRPr="00685709" w:rsidRDefault="0042116D" w:rsidP="00CC446B">
      <w:pPr>
        <w:spacing w:line="240" w:lineRule="auto"/>
        <w:jc w:val="both"/>
        <w:rPr>
          <w:sz w:val="24"/>
        </w:rPr>
      </w:pPr>
      <w:r>
        <w:rPr>
          <w:sz w:val="24"/>
        </w:rPr>
        <w:t xml:space="preserve">Investir </w:t>
      </w:r>
      <w:r w:rsidR="00F413ED">
        <w:rPr>
          <w:sz w:val="24"/>
        </w:rPr>
        <w:t xml:space="preserve">un minimum de </w:t>
      </w:r>
      <w:r>
        <w:rPr>
          <w:sz w:val="24"/>
        </w:rPr>
        <w:t>23 M$ pour r</w:t>
      </w:r>
      <w:r w:rsidR="003053E1" w:rsidRPr="00685709">
        <w:rPr>
          <w:sz w:val="24"/>
        </w:rPr>
        <w:t>endre</w:t>
      </w:r>
      <w:r>
        <w:rPr>
          <w:sz w:val="24"/>
        </w:rPr>
        <w:t xml:space="preserve"> remboursable</w:t>
      </w:r>
      <w:r w:rsidR="003053E1" w:rsidRPr="00685709">
        <w:rPr>
          <w:sz w:val="24"/>
        </w:rPr>
        <w:t xml:space="preserve"> le Montant pour déficience grave et prolongée des fonctions mentales ou physiques</w:t>
      </w:r>
      <w:r w:rsidR="001F583B">
        <w:rPr>
          <w:sz w:val="24"/>
        </w:rPr>
        <w:t xml:space="preserve"> dès l’année fiscale 2021</w:t>
      </w:r>
      <w:r>
        <w:rPr>
          <w:sz w:val="24"/>
        </w:rPr>
        <w:t>.</w:t>
      </w:r>
    </w:p>
    <w:p w14:paraId="4E060E69" w14:textId="1B1AFD14" w:rsidR="00A93BD2" w:rsidRDefault="00A93BD2" w:rsidP="00CC446B">
      <w:pPr>
        <w:pStyle w:val="Titre3"/>
        <w:jc w:val="both"/>
        <w:rPr>
          <w:rFonts w:ascii="Arial" w:hAnsi="Arial"/>
          <w:b/>
          <w:color w:val="000000" w:themeColor="text1"/>
          <w:sz w:val="28"/>
        </w:rPr>
      </w:pPr>
      <w:bookmarkStart w:id="29" w:name="_Toc63440747"/>
      <w:r w:rsidRPr="00A93BD2">
        <w:rPr>
          <w:rFonts w:ascii="Arial" w:hAnsi="Arial"/>
          <w:b/>
          <w:color w:val="000000" w:themeColor="text1"/>
          <w:sz w:val="28"/>
        </w:rPr>
        <w:t>Recommandation 2</w:t>
      </w:r>
      <w:bookmarkEnd w:id="29"/>
    </w:p>
    <w:p w14:paraId="0EB33488" w14:textId="6419B7C6" w:rsidR="00770482" w:rsidRPr="0042116D" w:rsidRDefault="00341E16" w:rsidP="006544DE">
      <w:pPr>
        <w:rPr>
          <w:sz w:val="24"/>
          <w:szCs w:val="24"/>
        </w:rPr>
      </w:pPr>
      <w:r w:rsidRPr="0042116D">
        <w:rPr>
          <w:sz w:val="24"/>
          <w:szCs w:val="24"/>
        </w:rPr>
        <w:t xml:space="preserve">Produire des données pour alimenter une réflexion concernant l’opportunité de rendre le </w:t>
      </w:r>
      <w:r w:rsidR="00373515">
        <w:rPr>
          <w:sz w:val="24"/>
          <w:szCs w:val="24"/>
        </w:rPr>
        <w:t>m</w:t>
      </w:r>
      <w:r w:rsidRPr="0042116D">
        <w:rPr>
          <w:sz w:val="24"/>
          <w:szCs w:val="24"/>
        </w:rPr>
        <w:t xml:space="preserve">ontant pour déficience grave et prolongée des fonctions mentales ou </w:t>
      </w:r>
      <w:r w:rsidRPr="0042116D">
        <w:rPr>
          <w:sz w:val="24"/>
          <w:szCs w:val="24"/>
        </w:rPr>
        <w:lastRenderedPageBreak/>
        <w:t xml:space="preserve">physiques régressif tel que </w:t>
      </w:r>
      <w:r w:rsidR="00770482" w:rsidRPr="0042116D">
        <w:rPr>
          <w:sz w:val="24"/>
          <w:szCs w:val="24"/>
        </w:rPr>
        <w:t>recommandé par le rapport Godbout. Il nous faudrait savoir : le nombre de personnes touchées, l’impact financier pour ces individus et l’impact macroéconomique pour l’État.</w:t>
      </w:r>
    </w:p>
    <w:p w14:paraId="6CFBECEA" w14:textId="3CBB34BF" w:rsidR="006544DE" w:rsidRPr="0086063E" w:rsidRDefault="006544DE" w:rsidP="006544DE">
      <w:pPr>
        <w:pStyle w:val="Titre3"/>
        <w:jc w:val="both"/>
        <w:rPr>
          <w:rFonts w:ascii="Arial" w:hAnsi="Arial"/>
          <w:b/>
          <w:color w:val="000000" w:themeColor="text1"/>
          <w:sz w:val="28"/>
        </w:rPr>
      </w:pPr>
      <w:bookmarkStart w:id="30" w:name="_Toc63440748"/>
      <w:r w:rsidRPr="0086063E">
        <w:rPr>
          <w:rFonts w:ascii="Arial" w:hAnsi="Arial"/>
          <w:b/>
          <w:color w:val="000000" w:themeColor="text1"/>
          <w:sz w:val="28"/>
        </w:rPr>
        <w:t>Recommandation</w:t>
      </w:r>
      <w:r>
        <w:rPr>
          <w:rFonts w:ascii="Arial" w:hAnsi="Arial"/>
          <w:b/>
          <w:color w:val="000000" w:themeColor="text1"/>
          <w:sz w:val="28"/>
        </w:rPr>
        <w:t xml:space="preserve"> 3</w:t>
      </w:r>
      <w:bookmarkEnd w:id="30"/>
    </w:p>
    <w:p w14:paraId="17FA00C3" w14:textId="75871B71" w:rsidR="006544DE" w:rsidRDefault="006544DE" w:rsidP="00CC446B">
      <w:pPr>
        <w:spacing w:line="240" w:lineRule="auto"/>
        <w:jc w:val="both"/>
        <w:rPr>
          <w:sz w:val="24"/>
        </w:rPr>
      </w:pPr>
      <w:r>
        <w:rPr>
          <w:sz w:val="24"/>
        </w:rPr>
        <w:t>F</w:t>
      </w:r>
      <w:r w:rsidRPr="00A93BD2">
        <w:rPr>
          <w:sz w:val="24"/>
        </w:rPr>
        <w:t>aire des représentations en vue de rendre le CIPH du gouvernement fédéral remboursable.</w:t>
      </w:r>
    </w:p>
    <w:p w14:paraId="5B34B749" w14:textId="56F46611" w:rsidR="006908B1" w:rsidRDefault="006908B1" w:rsidP="006908B1">
      <w:pPr>
        <w:pStyle w:val="Titre3"/>
        <w:jc w:val="both"/>
        <w:rPr>
          <w:rFonts w:ascii="Arial" w:hAnsi="Arial"/>
          <w:b/>
          <w:color w:val="000000" w:themeColor="text1"/>
          <w:sz w:val="28"/>
        </w:rPr>
      </w:pPr>
      <w:bookmarkStart w:id="31" w:name="_Toc63440749"/>
      <w:r w:rsidRPr="00A93BD2">
        <w:rPr>
          <w:rFonts w:ascii="Arial" w:hAnsi="Arial"/>
          <w:b/>
          <w:color w:val="000000" w:themeColor="text1"/>
          <w:sz w:val="28"/>
        </w:rPr>
        <w:t xml:space="preserve">Recommandation </w:t>
      </w:r>
      <w:r>
        <w:rPr>
          <w:rFonts w:ascii="Arial" w:hAnsi="Arial"/>
          <w:b/>
          <w:color w:val="000000" w:themeColor="text1"/>
          <w:sz w:val="28"/>
        </w:rPr>
        <w:t>4</w:t>
      </w:r>
      <w:bookmarkEnd w:id="31"/>
    </w:p>
    <w:p w14:paraId="66F4DF15" w14:textId="69133B4D" w:rsidR="008C07B2" w:rsidRPr="0042116D" w:rsidRDefault="006908B1">
      <w:pPr>
        <w:rPr>
          <w:sz w:val="24"/>
          <w:szCs w:val="24"/>
        </w:rPr>
      </w:pPr>
      <w:r w:rsidRPr="0042116D">
        <w:rPr>
          <w:sz w:val="24"/>
          <w:szCs w:val="24"/>
        </w:rPr>
        <w:t xml:space="preserve">Faire la promotion du </w:t>
      </w:r>
      <w:r w:rsidR="00373515">
        <w:rPr>
          <w:sz w:val="24"/>
          <w:szCs w:val="24"/>
        </w:rPr>
        <w:t>m</w:t>
      </w:r>
      <w:r w:rsidRPr="0042116D">
        <w:rPr>
          <w:sz w:val="24"/>
          <w:szCs w:val="24"/>
        </w:rPr>
        <w:t>ontant pour déficience grave et prolongée des fonctions mentales et physiques, de sorte que toutes les personnes admissibles à ce crédit d’impôt le réclament.</w:t>
      </w:r>
      <w:r w:rsidR="008C07B2" w:rsidRPr="0042116D">
        <w:rPr>
          <w:sz w:val="24"/>
          <w:szCs w:val="24"/>
        </w:rPr>
        <w:br w:type="page"/>
      </w:r>
    </w:p>
    <w:p w14:paraId="080B79A8" w14:textId="33BBA80B" w:rsidR="00FA1056" w:rsidRPr="00FA1056" w:rsidRDefault="00FA1056" w:rsidP="00CC446B">
      <w:pPr>
        <w:pStyle w:val="Titre2"/>
        <w:jc w:val="both"/>
        <w:rPr>
          <w:rFonts w:ascii="Arial" w:hAnsi="Arial"/>
          <w:b/>
          <w:color w:val="000000" w:themeColor="text1"/>
          <w:sz w:val="32"/>
        </w:rPr>
      </w:pPr>
      <w:bookmarkStart w:id="32" w:name="_Toc63440750"/>
      <w:r w:rsidRPr="00FA1056">
        <w:rPr>
          <w:rFonts w:ascii="Arial" w:hAnsi="Arial"/>
          <w:b/>
          <w:color w:val="000000" w:themeColor="text1"/>
          <w:sz w:val="32"/>
        </w:rPr>
        <w:lastRenderedPageBreak/>
        <w:t>Conclusion</w:t>
      </w:r>
      <w:bookmarkEnd w:id="32"/>
    </w:p>
    <w:p w14:paraId="179030B0" w14:textId="0246FE11" w:rsidR="006F6EFD" w:rsidRDefault="00D47229" w:rsidP="006A07BC">
      <w:pPr>
        <w:spacing w:line="240" w:lineRule="auto"/>
        <w:jc w:val="both"/>
        <w:rPr>
          <w:sz w:val="24"/>
        </w:rPr>
      </w:pPr>
      <w:r>
        <w:rPr>
          <w:sz w:val="24"/>
        </w:rPr>
        <w:t xml:space="preserve">Alors que la relance économique </w:t>
      </w:r>
      <w:proofErr w:type="spellStart"/>
      <w:r>
        <w:rPr>
          <w:sz w:val="24"/>
        </w:rPr>
        <w:t>post-pandémie</w:t>
      </w:r>
      <w:proofErr w:type="spellEnd"/>
      <w:r>
        <w:rPr>
          <w:sz w:val="24"/>
        </w:rPr>
        <w:t xml:space="preserve"> se profile à l’horizon, </w:t>
      </w:r>
      <w:r w:rsidR="002C0127">
        <w:rPr>
          <w:sz w:val="24"/>
        </w:rPr>
        <w:t>les personnes handicapées ne veulent pas être laissé</w:t>
      </w:r>
      <w:r w:rsidR="00FF1854">
        <w:rPr>
          <w:sz w:val="24"/>
        </w:rPr>
        <w:t>e</w:t>
      </w:r>
      <w:r w:rsidR="002C0127">
        <w:rPr>
          <w:sz w:val="24"/>
        </w:rPr>
        <w:t>s derrière comme</w:t>
      </w:r>
      <w:r w:rsidR="009332A0">
        <w:rPr>
          <w:sz w:val="24"/>
        </w:rPr>
        <w:t xml:space="preserve"> cela a tro</w:t>
      </w:r>
      <w:r w:rsidR="00FF1854">
        <w:rPr>
          <w:sz w:val="24"/>
        </w:rPr>
        <w:t xml:space="preserve">p </w:t>
      </w:r>
      <w:r w:rsidR="002C0127">
        <w:rPr>
          <w:sz w:val="24"/>
        </w:rPr>
        <w:t xml:space="preserve">souvent </w:t>
      </w:r>
      <w:r w:rsidR="009332A0">
        <w:rPr>
          <w:sz w:val="24"/>
        </w:rPr>
        <w:t xml:space="preserve">été </w:t>
      </w:r>
      <w:r w:rsidR="002C0127">
        <w:rPr>
          <w:sz w:val="24"/>
        </w:rPr>
        <w:t>le cas par le passé. Pour une relance plus équitable pour tous, le gouvernement du Québec doit donner une bouffée d’oxygène aux personnes handicapées</w:t>
      </w:r>
      <w:r w:rsidR="001567A6">
        <w:rPr>
          <w:sz w:val="24"/>
        </w:rPr>
        <w:t xml:space="preserve"> </w:t>
      </w:r>
      <w:r w:rsidR="0042116D">
        <w:rPr>
          <w:sz w:val="24"/>
        </w:rPr>
        <w:t xml:space="preserve">en investissant dans les services et programmes et </w:t>
      </w:r>
      <w:r w:rsidR="001567A6">
        <w:rPr>
          <w:sz w:val="24"/>
        </w:rPr>
        <w:t xml:space="preserve">en </w:t>
      </w:r>
      <w:r w:rsidR="002C0127">
        <w:rPr>
          <w:sz w:val="24"/>
        </w:rPr>
        <w:t>rend</w:t>
      </w:r>
      <w:r w:rsidR="001567A6">
        <w:rPr>
          <w:sz w:val="24"/>
        </w:rPr>
        <w:t>ant</w:t>
      </w:r>
      <w:r w:rsidR="002C0127">
        <w:rPr>
          <w:sz w:val="24"/>
        </w:rPr>
        <w:t xml:space="preserve"> le </w:t>
      </w:r>
      <w:r w:rsidR="00373515">
        <w:rPr>
          <w:sz w:val="24"/>
        </w:rPr>
        <w:t>m</w:t>
      </w:r>
      <w:r w:rsidR="002C0127">
        <w:rPr>
          <w:sz w:val="24"/>
        </w:rPr>
        <w:t>ontant pour déficience grave et prolongée des fonctions mentales ou physiques remboursable pour permettre aux personnes handicapées les plus pauvres d’y avoir accès.</w:t>
      </w:r>
      <w:r w:rsidR="009332A0">
        <w:rPr>
          <w:sz w:val="24"/>
        </w:rPr>
        <w:t xml:space="preserve"> </w:t>
      </w:r>
      <w:r w:rsidR="00753B6F">
        <w:rPr>
          <w:sz w:val="24"/>
        </w:rPr>
        <w:t xml:space="preserve">De plus, une promotion sérieuse de ce crédit d’impôt doit être faite, pour s’assurer que toutes les personnes admissibles à ce crédit d’impôt le réclament. Enfin, </w:t>
      </w:r>
      <w:r w:rsidR="00FB6F47">
        <w:rPr>
          <w:sz w:val="24"/>
        </w:rPr>
        <w:t xml:space="preserve">l’État devrait fournir des données quant aux impacts, pour les individus et pour l’État, de rendre ce crédit d’impôt régressif selon les paramètres qu’on retrouve dans le rapport Godbout. </w:t>
      </w:r>
      <w:r w:rsidR="00516AAF">
        <w:rPr>
          <w:sz w:val="24"/>
        </w:rPr>
        <w:t xml:space="preserve">Grâce à ces recommandations, les </w:t>
      </w:r>
      <w:r w:rsidR="009332A0">
        <w:rPr>
          <w:sz w:val="24"/>
        </w:rPr>
        <w:t xml:space="preserve">personnes </w:t>
      </w:r>
      <w:r w:rsidR="0042116D">
        <w:rPr>
          <w:sz w:val="24"/>
        </w:rPr>
        <w:t>vivant des situations de handicap</w:t>
      </w:r>
      <w:r w:rsidR="009332A0">
        <w:rPr>
          <w:sz w:val="24"/>
        </w:rPr>
        <w:t xml:space="preserve"> </w:t>
      </w:r>
      <w:r w:rsidR="00516AAF">
        <w:rPr>
          <w:sz w:val="24"/>
        </w:rPr>
        <w:t xml:space="preserve">pourront participer </w:t>
      </w:r>
      <w:r w:rsidR="009332A0">
        <w:rPr>
          <w:sz w:val="24"/>
        </w:rPr>
        <w:t xml:space="preserve">pleinement à la relance économique et ainsi </w:t>
      </w:r>
      <w:r w:rsidR="00C74B00">
        <w:rPr>
          <w:sz w:val="24"/>
        </w:rPr>
        <w:t xml:space="preserve">pourront contribuer </w:t>
      </w:r>
      <w:r w:rsidR="0019108D">
        <w:rPr>
          <w:sz w:val="24"/>
        </w:rPr>
        <w:t>à bâtir une économie québécoise plus forte et résiliente.</w:t>
      </w:r>
    </w:p>
    <w:sectPr w:rsidR="006F6E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13A2"/>
    <w:multiLevelType w:val="hybridMultilevel"/>
    <w:tmpl w:val="C8223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1C05060"/>
    <w:multiLevelType w:val="hybridMultilevel"/>
    <w:tmpl w:val="70F4D9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547163"/>
    <w:multiLevelType w:val="hybridMultilevel"/>
    <w:tmpl w:val="7ECE0F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C3"/>
    <w:rsid w:val="00002D00"/>
    <w:rsid w:val="00077FBD"/>
    <w:rsid w:val="00084F45"/>
    <w:rsid w:val="000938CB"/>
    <w:rsid w:val="000B567D"/>
    <w:rsid w:val="000E27FC"/>
    <w:rsid w:val="00120F83"/>
    <w:rsid w:val="001567A6"/>
    <w:rsid w:val="0016220F"/>
    <w:rsid w:val="0019108D"/>
    <w:rsid w:val="001E06A4"/>
    <w:rsid w:val="001E17DD"/>
    <w:rsid w:val="001F1F1E"/>
    <w:rsid w:val="001F583B"/>
    <w:rsid w:val="002017E8"/>
    <w:rsid w:val="00202280"/>
    <w:rsid w:val="00206DF2"/>
    <w:rsid w:val="002077B0"/>
    <w:rsid w:val="00211823"/>
    <w:rsid w:val="00220EB5"/>
    <w:rsid w:val="00263DB6"/>
    <w:rsid w:val="0029645A"/>
    <w:rsid w:val="002C0127"/>
    <w:rsid w:val="002E1C38"/>
    <w:rsid w:val="002E70F1"/>
    <w:rsid w:val="00301D68"/>
    <w:rsid w:val="003053E1"/>
    <w:rsid w:val="00327517"/>
    <w:rsid w:val="00341E16"/>
    <w:rsid w:val="003462F4"/>
    <w:rsid w:val="00366D53"/>
    <w:rsid w:val="00373515"/>
    <w:rsid w:val="003B24E8"/>
    <w:rsid w:val="003F1117"/>
    <w:rsid w:val="0040533E"/>
    <w:rsid w:val="00406F7B"/>
    <w:rsid w:val="0042116D"/>
    <w:rsid w:val="00450AAF"/>
    <w:rsid w:val="004779A3"/>
    <w:rsid w:val="004C409F"/>
    <w:rsid w:val="004D2E4E"/>
    <w:rsid w:val="004F11BE"/>
    <w:rsid w:val="004F61B3"/>
    <w:rsid w:val="00504544"/>
    <w:rsid w:val="00507B74"/>
    <w:rsid w:val="00516AAF"/>
    <w:rsid w:val="00520E64"/>
    <w:rsid w:val="0052190E"/>
    <w:rsid w:val="00523DD1"/>
    <w:rsid w:val="005345F4"/>
    <w:rsid w:val="00541799"/>
    <w:rsid w:val="00541E46"/>
    <w:rsid w:val="00552A6D"/>
    <w:rsid w:val="005632AD"/>
    <w:rsid w:val="005652F6"/>
    <w:rsid w:val="005928A0"/>
    <w:rsid w:val="005B2C30"/>
    <w:rsid w:val="005C3063"/>
    <w:rsid w:val="005C7FDD"/>
    <w:rsid w:val="005E1B43"/>
    <w:rsid w:val="006222D4"/>
    <w:rsid w:val="00625349"/>
    <w:rsid w:val="00631DBB"/>
    <w:rsid w:val="006544DE"/>
    <w:rsid w:val="006777D2"/>
    <w:rsid w:val="00684537"/>
    <w:rsid w:val="00685709"/>
    <w:rsid w:val="006908B1"/>
    <w:rsid w:val="006A07BC"/>
    <w:rsid w:val="006B1152"/>
    <w:rsid w:val="006D0FB5"/>
    <w:rsid w:val="006D11D0"/>
    <w:rsid w:val="006D3CDC"/>
    <w:rsid w:val="006D3EC2"/>
    <w:rsid w:val="006F6D56"/>
    <w:rsid w:val="006F6EFD"/>
    <w:rsid w:val="00733B0E"/>
    <w:rsid w:val="00735650"/>
    <w:rsid w:val="00753B6F"/>
    <w:rsid w:val="00770482"/>
    <w:rsid w:val="0077103B"/>
    <w:rsid w:val="00774C6B"/>
    <w:rsid w:val="00787CFF"/>
    <w:rsid w:val="007B30A2"/>
    <w:rsid w:val="007C61FC"/>
    <w:rsid w:val="007D51D3"/>
    <w:rsid w:val="007E0778"/>
    <w:rsid w:val="007E4376"/>
    <w:rsid w:val="007F60B4"/>
    <w:rsid w:val="007F7FA5"/>
    <w:rsid w:val="00803B6D"/>
    <w:rsid w:val="00854F49"/>
    <w:rsid w:val="0086063E"/>
    <w:rsid w:val="008915E6"/>
    <w:rsid w:val="008C07B2"/>
    <w:rsid w:val="008F3BAA"/>
    <w:rsid w:val="009241DB"/>
    <w:rsid w:val="009332A0"/>
    <w:rsid w:val="0093379D"/>
    <w:rsid w:val="009424C4"/>
    <w:rsid w:val="00950E40"/>
    <w:rsid w:val="0095189B"/>
    <w:rsid w:val="009536FB"/>
    <w:rsid w:val="009B38F8"/>
    <w:rsid w:val="009B474D"/>
    <w:rsid w:val="009D0902"/>
    <w:rsid w:val="00A100E7"/>
    <w:rsid w:val="00A23EA7"/>
    <w:rsid w:val="00A34E83"/>
    <w:rsid w:val="00A7031D"/>
    <w:rsid w:val="00A745CF"/>
    <w:rsid w:val="00A93BD2"/>
    <w:rsid w:val="00A97DE4"/>
    <w:rsid w:val="00B719B0"/>
    <w:rsid w:val="00B84A41"/>
    <w:rsid w:val="00B91432"/>
    <w:rsid w:val="00BA5797"/>
    <w:rsid w:val="00BB79EB"/>
    <w:rsid w:val="00BC73EC"/>
    <w:rsid w:val="00C04A2C"/>
    <w:rsid w:val="00C14C6C"/>
    <w:rsid w:val="00C47D37"/>
    <w:rsid w:val="00C50A1E"/>
    <w:rsid w:val="00C67FF8"/>
    <w:rsid w:val="00C74B00"/>
    <w:rsid w:val="00CA20FD"/>
    <w:rsid w:val="00CC446B"/>
    <w:rsid w:val="00CD3D2E"/>
    <w:rsid w:val="00CF304F"/>
    <w:rsid w:val="00D25909"/>
    <w:rsid w:val="00D47229"/>
    <w:rsid w:val="00D750D1"/>
    <w:rsid w:val="00D83C48"/>
    <w:rsid w:val="00D86FE5"/>
    <w:rsid w:val="00DB3257"/>
    <w:rsid w:val="00DD1053"/>
    <w:rsid w:val="00DD5E27"/>
    <w:rsid w:val="00DD78C3"/>
    <w:rsid w:val="00DE0870"/>
    <w:rsid w:val="00DE17EF"/>
    <w:rsid w:val="00E0542D"/>
    <w:rsid w:val="00E153CC"/>
    <w:rsid w:val="00E3041C"/>
    <w:rsid w:val="00E67EC6"/>
    <w:rsid w:val="00E70F6E"/>
    <w:rsid w:val="00E84750"/>
    <w:rsid w:val="00F020EE"/>
    <w:rsid w:val="00F05E79"/>
    <w:rsid w:val="00F0766C"/>
    <w:rsid w:val="00F35211"/>
    <w:rsid w:val="00F413ED"/>
    <w:rsid w:val="00F95E5E"/>
    <w:rsid w:val="00FA1056"/>
    <w:rsid w:val="00FB6F47"/>
    <w:rsid w:val="00FE1D20"/>
    <w:rsid w:val="00FF18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80E3"/>
  <w15:chartTrackingRefBased/>
  <w15:docId w15:val="{3CBC3346-1A38-4E99-98DF-A435AA16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3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C3"/>
  </w:style>
  <w:style w:type="paragraph" w:styleId="Titre1">
    <w:name w:val="heading 1"/>
    <w:basedOn w:val="Normal"/>
    <w:next w:val="Normal"/>
    <w:link w:val="Titre1Car"/>
    <w:uiPriority w:val="9"/>
    <w:qFormat/>
    <w:rsid w:val="00DD78C3"/>
    <w:pPr>
      <w:keepNext/>
      <w:keepLines/>
      <w:spacing w:before="240" w:after="0"/>
      <w:outlineLvl w:val="0"/>
    </w:pPr>
    <w:rPr>
      <w:rFonts w:asciiTheme="majorHAnsi" w:eastAsiaTheme="majorEastAsia" w:hAnsiTheme="majorHAnsi" w:cstheme="majorBidi"/>
      <w:color w:val="2F5496" w:themeColor="accent1" w:themeShade="BF"/>
      <w:szCs w:val="32"/>
    </w:rPr>
  </w:style>
  <w:style w:type="paragraph" w:styleId="Titre2">
    <w:name w:val="heading 2"/>
    <w:basedOn w:val="Normal"/>
    <w:next w:val="Normal"/>
    <w:link w:val="Titre2Car"/>
    <w:uiPriority w:val="9"/>
    <w:unhideWhenUsed/>
    <w:qFormat/>
    <w:rsid w:val="00DD78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60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8C3"/>
    <w:rPr>
      <w:rFonts w:asciiTheme="majorHAnsi" w:eastAsiaTheme="majorEastAsia" w:hAnsiTheme="majorHAnsi" w:cstheme="majorBidi"/>
      <w:color w:val="2F5496" w:themeColor="accent1" w:themeShade="BF"/>
      <w:szCs w:val="32"/>
    </w:rPr>
  </w:style>
  <w:style w:type="character" w:customStyle="1" w:styleId="Titre2Car">
    <w:name w:val="Titre 2 Car"/>
    <w:basedOn w:val="Policepardfaut"/>
    <w:link w:val="Titre2"/>
    <w:uiPriority w:val="9"/>
    <w:rsid w:val="00DD78C3"/>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DD78C3"/>
    <w:rPr>
      <w:color w:val="0563C1" w:themeColor="hyperlink"/>
      <w:u w:val="single"/>
    </w:rPr>
  </w:style>
  <w:style w:type="paragraph" w:styleId="En-ttedetabledesmatires">
    <w:name w:val="TOC Heading"/>
    <w:basedOn w:val="Titre1"/>
    <w:next w:val="Normal"/>
    <w:uiPriority w:val="39"/>
    <w:unhideWhenUsed/>
    <w:qFormat/>
    <w:rsid w:val="00DD78C3"/>
    <w:pPr>
      <w:outlineLvl w:val="9"/>
    </w:pPr>
    <w:rPr>
      <w:lang w:eastAsia="fr-CA"/>
    </w:rPr>
  </w:style>
  <w:style w:type="paragraph" w:styleId="TM2">
    <w:name w:val="toc 2"/>
    <w:basedOn w:val="Normal"/>
    <w:next w:val="Normal"/>
    <w:autoRedefine/>
    <w:uiPriority w:val="39"/>
    <w:unhideWhenUsed/>
    <w:rsid w:val="00DD78C3"/>
    <w:pPr>
      <w:spacing w:after="100"/>
      <w:ind w:left="320"/>
    </w:pPr>
  </w:style>
  <w:style w:type="paragraph" w:styleId="TM3">
    <w:name w:val="toc 3"/>
    <w:basedOn w:val="Normal"/>
    <w:next w:val="Normal"/>
    <w:autoRedefine/>
    <w:uiPriority w:val="39"/>
    <w:unhideWhenUsed/>
    <w:rsid w:val="00DD78C3"/>
    <w:pPr>
      <w:spacing w:after="100"/>
      <w:ind w:left="640"/>
    </w:pPr>
  </w:style>
  <w:style w:type="paragraph" w:styleId="TM1">
    <w:name w:val="toc 1"/>
    <w:basedOn w:val="Normal"/>
    <w:next w:val="Normal"/>
    <w:autoRedefine/>
    <w:uiPriority w:val="39"/>
    <w:unhideWhenUsed/>
    <w:rsid w:val="007E4376"/>
    <w:pPr>
      <w:spacing w:after="100"/>
    </w:pPr>
  </w:style>
  <w:style w:type="character" w:customStyle="1" w:styleId="Titre3Car">
    <w:name w:val="Titre 3 Car"/>
    <w:basedOn w:val="Policepardfaut"/>
    <w:link w:val="Titre3"/>
    <w:uiPriority w:val="9"/>
    <w:rsid w:val="0086063E"/>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6F6D56"/>
    <w:pPr>
      <w:ind w:left="720"/>
      <w:contextualSpacing/>
    </w:pPr>
  </w:style>
  <w:style w:type="character" w:styleId="Mentionnonrsolue">
    <w:name w:val="Unresolved Mention"/>
    <w:basedOn w:val="Policepardfaut"/>
    <w:uiPriority w:val="99"/>
    <w:semiHidden/>
    <w:unhideWhenUsed/>
    <w:rsid w:val="00F41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quebec.ca/fr/citoyens/credits-dimpot/montant-pour-deficience-grave-et-prolongee-des-fonctions-mentales-ou-physiqu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nada.ca/fr/agence-revenu/services/impot/particuliers/sujets/regime-enregistre-epargne-invalidite-reei.html" TargetMode="External"/><Relationship Id="rId4" Type="http://schemas.openxmlformats.org/officeDocument/2006/relationships/settings" Target="settings.xml"/><Relationship Id="rId9" Type="http://schemas.openxmlformats.org/officeDocument/2006/relationships/hyperlink" Target="https://www.canada.ca/fr/agence-revenu/services/impot/particuliers/segments/deductions-credits-impot-personnes-handicapees/credit-impot-personnes-handicape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3368-CBD7-4531-8DB5-A6706C93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Paul Lupien</cp:lastModifiedBy>
  <cp:revision>2</cp:revision>
  <dcterms:created xsi:type="dcterms:W3CDTF">2021-05-30T14:24:00Z</dcterms:created>
  <dcterms:modified xsi:type="dcterms:W3CDTF">2021-05-30T14:24:00Z</dcterms:modified>
</cp:coreProperties>
</file>