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B7" w:rsidRPr="00261869" w:rsidRDefault="000641B7" w:rsidP="000641B7">
      <w:pPr>
        <w:rPr>
          <w:rFonts w:ascii="Arial" w:hAnsi="Arial" w:cs="Arial"/>
        </w:rPr>
      </w:pPr>
      <w:r w:rsidRPr="00261869">
        <w:rPr>
          <w:rFonts w:ascii="Arial" w:hAnsi="Arial" w:cs="Arial"/>
          <w:noProof/>
        </w:rPr>
        <w:drawing>
          <wp:inline distT="0" distB="0" distL="0" distR="0">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2108DF" w:rsidP="000641B7">
      <w:pPr>
        <w:pBdr>
          <w:bottom w:val="single" w:sz="4" w:space="1" w:color="auto"/>
        </w:pBdr>
        <w:rPr>
          <w:rFonts w:ascii="Arial" w:hAnsi="Arial" w:cs="Arial"/>
          <w:b/>
          <w:sz w:val="36"/>
        </w:rPr>
      </w:pPr>
      <w:r>
        <w:rPr>
          <w:rFonts w:ascii="Arial" w:hAnsi="Arial" w:cs="Arial"/>
          <w:b/>
          <w:sz w:val="36"/>
        </w:rPr>
        <w:t>Mémoire</w:t>
      </w:r>
      <w:r w:rsidR="006B03C0">
        <w:rPr>
          <w:rFonts w:ascii="Arial" w:hAnsi="Arial" w:cs="Arial"/>
          <w:b/>
          <w:sz w:val="36"/>
        </w:rPr>
        <w:t xml:space="preserve"> sur </w:t>
      </w:r>
      <w:r w:rsidR="00BB55C3">
        <w:rPr>
          <w:rFonts w:ascii="Arial" w:hAnsi="Arial" w:cs="Arial"/>
          <w:b/>
          <w:sz w:val="36"/>
        </w:rPr>
        <w:t xml:space="preserve">le Plan d’action </w:t>
      </w:r>
      <w:r w:rsidR="00CA5452">
        <w:rPr>
          <w:rFonts w:ascii="Arial" w:hAnsi="Arial" w:cs="Arial"/>
          <w:b/>
          <w:sz w:val="36"/>
        </w:rPr>
        <w:t>gouvernemental</w:t>
      </w:r>
      <w:r w:rsidR="00674798">
        <w:rPr>
          <w:rFonts w:ascii="Arial" w:hAnsi="Arial" w:cs="Arial"/>
          <w:b/>
          <w:sz w:val="36"/>
        </w:rPr>
        <w:t xml:space="preserve"> </w:t>
      </w:r>
      <w:r w:rsidR="00BB55C3">
        <w:rPr>
          <w:rFonts w:ascii="Arial" w:hAnsi="Arial" w:cs="Arial"/>
          <w:b/>
          <w:sz w:val="36"/>
        </w:rPr>
        <w:t>en matière d’action communautaire (PAGAC)</w:t>
      </w:r>
    </w:p>
    <w:p w:rsidR="000641B7" w:rsidRPr="00261869" w:rsidRDefault="000641B7" w:rsidP="000641B7">
      <w:pPr>
        <w:rPr>
          <w:rFonts w:ascii="Arial" w:hAnsi="Arial" w:cs="Arial"/>
          <w:sz w:val="32"/>
        </w:rPr>
      </w:pPr>
    </w:p>
    <w:p w:rsidR="000641B7" w:rsidRPr="00BB55C3" w:rsidRDefault="000641B7" w:rsidP="00BB55C3">
      <w:pPr>
        <w:rPr>
          <w:rFonts w:ascii="Arial" w:hAnsi="Arial" w:cs="Arial"/>
          <w:sz w:val="32"/>
          <w:szCs w:val="32"/>
        </w:rPr>
      </w:pPr>
      <w:r w:rsidRPr="00261869">
        <w:rPr>
          <w:rFonts w:ascii="Arial" w:hAnsi="Arial" w:cs="Arial"/>
          <w:sz w:val="32"/>
        </w:rPr>
        <w:t xml:space="preserve">Remis par la Confédération des </w:t>
      </w:r>
      <w:r w:rsidR="00E605B2">
        <w:rPr>
          <w:rFonts w:ascii="Arial" w:hAnsi="Arial" w:cs="Arial"/>
          <w:sz w:val="32"/>
        </w:rPr>
        <w:t xml:space="preserve">organismes de personnes </w:t>
      </w:r>
      <w:r w:rsidRPr="00803F4D">
        <w:rPr>
          <w:rFonts w:ascii="Arial" w:hAnsi="Arial" w:cs="Arial"/>
          <w:sz w:val="32"/>
        </w:rPr>
        <w:t xml:space="preserve">handicapées du </w:t>
      </w:r>
      <w:r w:rsidRPr="00803F4D">
        <w:rPr>
          <w:rFonts w:ascii="Arial" w:hAnsi="Arial" w:cs="Arial"/>
          <w:sz w:val="32"/>
          <w:szCs w:val="32"/>
        </w:rPr>
        <w:t xml:space="preserve">Québec (« COPHAN ») au </w:t>
      </w:r>
      <w:r w:rsidR="009628FA">
        <w:rPr>
          <w:rFonts w:ascii="Arial" w:hAnsi="Arial" w:cs="Arial"/>
          <w:sz w:val="32"/>
          <w:szCs w:val="32"/>
        </w:rPr>
        <w:t>m</w:t>
      </w:r>
      <w:r w:rsidRPr="00803F4D">
        <w:rPr>
          <w:rFonts w:ascii="Arial" w:hAnsi="Arial" w:cs="Arial"/>
          <w:sz w:val="32"/>
          <w:szCs w:val="32"/>
        </w:rPr>
        <w:t xml:space="preserve">inistère </w:t>
      </w:r>
      <w:r w:rsidR="00BB55C3" w:rsidRPr="00BB55C3">
        <w:rPr>
          <w:rFonts w:ascii="Arial" w:hAnsi="Arial" w:cs="Arial"/>
          <w:sz w:val="32"/>
          <w:szCs w:val="32"/>
        </w:rPr>
        <w:t>du Travail, de l’Emploi et de la Solidarité sociale</w:t>
      </w: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BB55C3" w:rsidP="000641B7">
      <w:pPr>
        <w:rPr>
          <w:rFonts w:ascii="Arial" w:hAnsi="Arial" w:cs="Arial"/>
          <w:b/>
          <w:sz w:val="36"/>
          <w:szCs w:val="36"/>
        </w:rPr>
      </w:pPr>
      <w:r>
        <w:rPr>
          <w:rFonts w:ascii="Arial" w:hAnsi="Arial" w:cs="Arial"/>
          <w:b/>
          <w:sz w:val="36"/>
          <w:szCs w:val="36"/>
        </w:rPr>
        <w:t>Décembre 2019</w:t>
      </w:r>
    </w:p>
    <w:p w:rsidR="006B03C0" w:rsidRDefault="006B03C0">
      <w:pPr>
        <w:rPr>
          <w:rFonts w:ascii="Arial" w:hAnsi="Arial" w:cs="Arial"/>
          <w:sz w:val="24"/>
          <w:szCs w:val="24"/>
        </w:rPr>
      </w:pPr>
      <w:r>
        <w:rPr>
          <w:rFonts w:ascii="Arial" w:hAnsi="Arial" w:cs="Arial"/>
          <w:sz w:val="24"/>
          <w:szCs w:val="24"/>
        </w:rPr>
        <w:br w:type="page"/>
      </w:r>
    </w:p>
    <w:p w:rsidR="000641B7" w:rsidRPr="00261869" w:rsidRDefault="000641B7">
      <w:pPr>
        <w:rPr>
          <w:rFonts w:ascii="Arial" w:hAnsi="Arial" w:cs="Arial"/>
          <w:sz w:val="24"/>
          <w:szCs w:val="24"/>
        </w:rPr>
        <w:sectPr w:rsidR="000641B7" w:rsidRPr="00261869" w:rsidSect="009352E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0641B7" w:rsidRPr="00261869" w:rsidRDefault="000641B7">
      <w:pPr>
        <w:rPr>
          <w:rFonts w:ascii="Arial" w:hAnsi="Arial" w:cs="Arial"/>
          <w:sz w:val="24"/>
          <w:szCs w:val="24"/>
        </w:rPr>
      </w:pPr>
    </w:p>
    <w:p w:rsidR="000641B7" w:rsidRPr="00261869" w:rsidRDefault="000641B7" w:rsidP="000641B7">
      <w:pPr>
        <w:rPr>
          <w:rFonts w:ascii="Arial" w:hAnsi="Arial" w:cs="Arial"/>
          <w:sz w:val="36"/>
          <w:szCs w:val="36"/>
        </w:rPr>
      </w:pPr>
      <w:r w:rsidRPr="00261869">
        <w:rPr>
          <w:rFonts w:ascii="Arial" w:hAnsi="Arial" w:cs="Arial"/>
          <w:noProof/>
          <w:sz w:val="36"/>
          <w:szCs w:val="36"/>
        </w:rPr>
        <w:drawing>
          <wp:anchor distT="0" distB="0" distL="114300" distR="114300" simplePos="0" relativeHeight="251659264" behindDoc="0" locked="0" layoutInCell="1" allowOverlap="1" wp14:anchorId="7F735FC6" wp14:editId="082E234C">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0641B7" w:rsidRPr="00261869" w:rsidRDefault="000641B7" w:rsidP="000641B7">
      <w:pPr>
        <w:rPr>
          <w:rFonts w:ascii="Arial" w:hAnsi="Arial" w:cs="Arial"/>
          <w:sz w:val="36"/>
          <w:szCs w:val="36"/>
        </w:rPr>
      </w:pPr>
    </w:p>
    <w:p w:rsidR="000641B7" w:rsidRPr="00261869" w:rsidRDefault="000641B7" w:rsidP="000641B7">
      <w:pPr>
        <w:spacing w:before="100" w:beforeAutospacing="1" w:after="100" w:afterAutospacing="1"/>
        <w:contextualSpacing/>
        <w:rPr>
          <w:rFonts w:ascii="Arial" w:hAnsi="Arial" w:cs="Arial"/>
          <w:b/>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zCs w:val="24"/>
        </w:rPr>
        <w:t>R</w:t>
      </w:r>
      <w:r w:rsidRPr="00261869">
        <w:rPr>
          <w:rFonts w:ascii="Arial" w:hAnsi="Arial" w:cs="Arial"/>
          <w:b/>
          <w:smallCaps/>
          <w:sz w:val="28"/>
          <w:szCs w:val="28"/>
        </w:rPr>
        <w:t>édaction</w:t>
      </w:r>
    </w:p>
    <w:p w:rsidR="000641B7" w:rsidRPr="00261869" w:rsidRDefault="00BB55C3" w:rsidP="000641B7">
      <w:pPr>
        <w:spacing w:before="100" w:beforeAutospacing="1" w:after="100" w:afterAutospacing="1"/>
        <w:contextualSpacing/>
        <w:rPr>
          <w:rFonts w:ascii="Arial" w:hAnsi="Arial" w:cs="Arial"/>
          <w:sz w:val="24"/>
          <w:szCs w:val="24"/>
        </w:rPr>
      </w:pPr>
      <w:r>
        <w:rPr>
          <w:rFonts w:ascii="Arial" w:hAnsi="Arial" w:cs="Arial"/>
          <w:sz w:val="24"/>
          <w:szCs w:val="24"/>
        </w:rPr>
        <w:t>Camille Desforges</w:t>
      </w:r>
      <w:r w:rsidR="000641B7" w:rsidRPr="00261869">
        <w:rPr>
          <w:rFonts w:ascii="Arial" w:hAnsi="Arial" w:cs="Arial"/>
          <w:sz w:val="24"/>
          <w:szCs w:val="24"/>
        </w:rPr>
        <w:t xml:space="preserve"> – </w:t>
      </w:r>
      <w:r>
        <w:rPr>
          <w:rFonts w:ascii="Arial" w:hAnsi="Arial" w:cs="Arial"/>
          <w:sz w:val="24"/>
          <w:szCs w:val="24"/>
        </w:rPr>
        <w:t xml:space="preserve">Directrice </w:t>
      </w:r>
      <w:r w:rsidR="00D27E30">
        <w:rPr>
          <w:rFonts w:ascii="Arial" w:hAnsi="Arial" w:cs="Arial"/>
          <w:sz w:val="24"/>
          <w:szCs w:val="24"/>
        </w:rPr>
        <w:t xml:space="preserve">générale </w:t>
      </w:r>
      <w:r>
        <w:rPr>
          <w:rFonts w:ascii="Arial" w:hAnsi="Arial" w:cs="Arial"/>
          <w:sz w:val="24"/>
          <w:szCs w:val="24"/>
        </w:rPr>
        <w:t>adjointe</w:t>
      </w:r>
      <w:r w:rsidR="007E207B">
        <w:rPr>
          <w:rFonts w:ascii="Arial" w:hAnsi="Arial" w:cs="Arial"/>
          <w:sz w:val="24"/>
          <w:szCs w:val="24"/>
        </w:rPr>
        <w:t xml:space="preserve"> </w:t>
      </w:r>
    </w:p>
    <w:p w:rsidR="000641B7" w:rsidRPr="00261869" w:rsidRDefault="000641B7" w:rsidP="000641B7">
      <w:pPr>
        <w:spacing w:before="100" w:beforeAutospacing="1" w:after="100" w:afterAutospacing="1"/>
        <w:contextualSpacing/>
        <w:rPr>
          <w:rFonts w:ascii="Arial" w:hAnsi="Arial" w:cs="Arial"/>
          <w:szCs w:val="24"/>
        </w:rPr>
      </w:pPr>
    </w:p>
    <w:p w:rsidR="000641B7" w:rsidRPr="00261869" w:rsidRDefault="000641B7" w:rsidP="000641B7">
      <w:pPr>
        <w:spacing w:before="100" w:beforeAutospacing="1" w:after="100" w:afterAutospacing="1"/>
        <w:contextualSpacing/>
        <w:rPr>
          <w:rFonts w:ascii="Arial" w:hAnsi="Arial" w:cs="Arial"/>
          <w:b/>
          <w:sz w:val="24"/>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870576">
        <w:rPr>
          <w:rFonts w:ascii="Arial" w:hAnsi="Arial" w:cs="Arial"/>
          <w:b/>
          <w:smallCaps/>
          <w:sz w:val="28"/>
          <w:szCs w:val="28"/>
        </w:rPr>
        <w:t>Avec la collaboration de</w:t>
      </w:r>
    </w:p>
    <w:p w:rsidR="00102069" w:rsidRDefault="00102069" w:rsidP="000641B7">
      <w:pPr>
        <w:spacing w:before="100" w:beforeAutospacing="1" w:after="100" w:afterAutospacing="1"/>
        <w:contextualSpacing/>
        <w:rPr>
          <w:rFonts w:ascii="Arial" w:hAnsi="Arial" w:cs="Arial"/>
          <w:sz w:val="24"/>
          <w:szCs w:val="24"/>
        </w:rPr>
      </w:pPr>
    </w:p>
    <w:p w:rsidR="000641B7" w:rsidRPr="00261869" w:rsidRDefault="00232FA3" w:rsidP="000641B7">
      <w:pPr>
        <w:spacing w:before="100" w:beforeAutospacing="1" w:after="100" w:afterAutospacing="1"/>
        <w:contextualSpacing/>
        <w:rPr>
          <w:rFonts w:ascii="Arial" w:hAnsi="Arial" w:cs="Arial"/>
          <w:sz w:val="24"/>
          <w:szCs w:val="24"/>
        </w:rPr>
      </w:pPr>
      <w:r>
        <w:rPr>
          <w:rFonts w:ascii="Arial" w:hAnsi="Arial" w:cs="Arial"/>
          <w:sz w:val="24"/>
          <w:szCs w:val="24"/>
        </w:rPr>
        <w:t>AlterGo</w:t>
      </w:r>
    </w:p>
    <w:p w:rsidR="000641B7" w:rsidRPr="00261869" w:rsidRDefault="000641B7" w:rsidP="000641B7">
      <w:pPr>
        <w:spacing w:before="100" w:beforeAutospacing="1" w:after="100" w:afterAutospacing="1"/>
        <w:contextualSpacing/>
        <w:rPr>
          <w:rFonts w:ascii="Arial" w:hAnsi="Arial" w:cs="Arial"/>
          <w:sz w:val="24"/>
          <w:szCs w:val="24"/>
        </w:rPr>
      </w:pPr>
    </w:p>
    <w:p w:rsidR="006B03C0" w:rsidRPr="006B03C0" w:rsidRDefault="00232FA3" w:rsidP="006B03C0">
      <w:pPr>
        <w:spacing w:before="100" w:beforeAutospacing="1" w:after="100" w:afterAutospacing="1"/>
        <w:contextualSpacing/>
        <w:rPr>
          <w:rFonts w:ascii="Arial" w:hAnsi="Arial" w:cs="Arial"/>
          <w:sz w:val="24"/>
          <w:szCs w:val="24"/>
        </w:rPr>
      </w:pPr>
      <w:r w:rsidRPr="00232FA3">
        <w:rPr>
          <w:rFonts w:ascii="Arial" w:hAnsi="Arial" w:cs="Arial"/>
          <w:sz w:val="24"/>
          <w:szCs w:val="24"/>
        </w:rPr>
        <w:t xml:space="preserve">Association du Québec pour enfants avec problèmes auditifs </w:t>
      </w:r>
      <w:r w:rsidR="006B03C0" w:rsidRPr="006B03C0">
        <w:rPr>
          <w:rFonts w:ascii="Arial" w:hAnsi="Arial" w:cs="Arial"/>
          <w:sz w:val="24"/>
          <w:szCs w:val="24"/>
        </w:rPr>
        <w:t>(</w:t>
      </w:r>
      <w:r>
        <w:rPr>
          <w:rFonts w:ascii="Arial" w:hAnsi="Arial" w:cs="Arial"/>
          <w:sz w:val="24"/>
          <w:szCs w:val="24"/>
        </w:rPr>
        <w:t>AQEPA</w:t>
      </w:r>
      <w:r w:rsidR="006B03C0" w:rsidRPr="006B03C0">
        <w:rPr>
          <w:rFonts w:ascii="Arial" w:hAnsi="Arial" w:cs="Arial"/>
          <w:sz w:val="24"/>
          <w:szCs w:val="24"/>
        </w:rPr>
        <w:t>)</w:t>
      </w:r>
    </w:p>
    <w:p w:rsidR="003949FC" w:rsidRDefault="003949FC" w:rsidP="000641B7">
      <w:pPr>
        <w:spacing w:before="100" w:beforeAutospacing="1" w:after="100" w:afterAutospacing="1"/>
        <w:contextualSpacing/>
        <w:rPr>
          <w:rFonts w:ascii="Arial" w:hAnsi="Arial" w:cs="Arial"/>
          <w:sz w:val="24"/>
          <w:szCs w:val="24"/>
        </w:rPr>
      </w:pPr>
    </w:p>
    <w:p w:rsidR="006B03C0" w:rsidRPr="006B03C0" w:rsidRDefault="00232FA3" w:rsidP="006B03C0">
      <w:pPr>
        <w:spacing w:before="100" w:beforeAutospacing="1" w:after="100" w:afterAutospacing="1"/>
        <w:contextualSpacing/>
        <w:rPr>
          <w:rFonts w:ascii="Arial" w:hAnsi="Arial" w:cs="Arial"/>
          <w:sz w:val="24"/>
          <w:szCs w:val="24"/>
        </w:rPr>
      </w:pPr>
      <w:r w:rsidRPr="00232FA3">
        <w:rPr>
          <w:rFonts w:ascii="Arial" w:hAnsi="Arial" w:cs="Arial"/>
          <w:sz w:val="24"/>
          <w:szCs w:val="24"/>
        </w:rPr>
        <w:t>Association québécoise des parents d’enfants handicapés visuels</w:t>
      </w:r>
      <w:r w:rsidR="006B03C0" w:rsidRPr="006B03C0">
        <w:rPr>
          <w:rFonts w:ascii="Arial" w:hAnsi="Arial" w:cs="Arial"/>
          <w:sz w:val="24"/>
          <w:szCs w:val="24"/>
        </w:rPr>
        <w:t xml:space="preserve"> (</w:t>
      </w:r>
      <w:r>
        <w:rPr>
          <w:rFonts w:ascii="Arial" w:hAnsi="Arial" w:cs="Arial"/>
          <w:sz w:val="24"/>
          <w:szCs w:val="24"/>
        </w:rPr>
        <w:t>AQPEHV</w:t>
      </w:r>
      <w:r w:rsidR="006B03C0" w:rsidRPr="006B03C0">
        <w:rPr>
          <w:rFonts w:ascii="Arial" w:hAnsi="Arial" w:cs="Arial"/>
          <w:sz w:val="24"/>
          <w:szCs w:val="24"/>
        </w:rPr>
        <w:t>)</w:t>
      </w:r>
    </w:p>
    <w:p w:rsidR="000641B7" w:rsidRPr="00261869" w:rsidRDefault="000641B7" w:rsidP="000641B7">
      <w:pPr>
        <w:spacing w:before="100" w:beforeAutospacing="1" w:after="100" w:afterAutospacing="1"/>
        <w:contextualSpacing/>
        <w:rPr>
          <w:rFonts w:ascii="Arial" w:hAnsi="Arial" w:cs="Arial"/>
          <w:sz w:val="24"/>
          <w:szCs w:val="24"/>
        </w:rPr>
      </w:pPr>
    </w:p>
    <w:p w:rsidR="005A7AF8" w:rsidRDefault="005A7AF8" w:rsidP="005A7AF8">
      <w:pPr>
        <w:spacing w:before="100" w:beforeAutospacing="1" w:after="100" w:afterAutospacing="1"/>
        <w:contextualSpacing/>
        <w:rPr>
          <w:rFonts w:ascii="Arial" w:hAnsi="Arial" w:cs="Arial"/>
          <w:sz w:val="24"/>
          <w:szCs w:val="24"/>
        </w:rPr>
      </w:pPr>
      <w:r>
        <w:rPr>
          <w:rFonts w:ascii="Arial" w:hAnsi="Arial" w:cs="Arial"/>
          <w:sz w:val="24"/>
          <w:szCs w:val="24"/>
        </w:rPr>
        <w:t>DéPhy Montréal (</w:t>
      </w:r>
      <w:r w:rsidRPr="00232FA3">
        <w:rPr>
          <w:rFonts w:ascii="Arial" w:hAnsi="Arial" w:cs="Arial"/>
          <w:sz w:val="24"/>
          <w:szCs w:val="24"/>
        </w:rPr>
        <w:t>Regroupement des organismes en déficience physique de l</w:t>
      </w:r>
      <w:r>
        <w:rPr>
          <w:rFonts w:ascii="Arial" w:hAnsi="Arial" w:cs="Arial"/>
          <w:sz w:val="24"/>
          <w:szCs w:val="24"/>
        </w:rPr>
        <w:t>’Île de Montréal</w:t>
      </w:r>
      <w:r w:rsidRPr="00232FA3">
        <w:rPr>
          <w:rFonts w:ascii="Arial" w:hAnsi="Arial" w:cs="Arial"/>
          <w:sz w:val="24"/>
          <w:szCs w:val="24"/>
        </w:rPr>
        <w:t>)</w:t>
      </w:r>
    </w:p>
    <w:p w:rsidR="005A7AF8" w:rsidRDefault="005A7AF8" w:rsidP="000641B7">
      <w:pPr>
        <w:spacing w:before="100" w:beforeAutospacing="1" w:after="100" w:afterAutospacing="1"/>
        <w:contextualSpacing/>
        <w:rPr>
          <w:rFonts w:ascii="Arial" w:hAnsi="Arial" w:cs="Arial"/>
          <w:sz w:val="24"/>
          <w:szCs w:val="24"/>
        </w:rPr>
      </w:pPr>
    </w:p>
    <w:p w:rsidR="00753C69" w:rsidRDefault="00753C69" w:rsidP="000641B7">
      <w:pPr>
        <w:spacing w:before="100" w:beforeAutospacing="1" w:after="100" w:afterAutospacing="1"/>
        <w:contextualSpacing/>
        <w:rPr>
          <w:rFonts w:ascii="Arial" w:hAnsi="Arial" w:cs="Arial"/>
          <w:sz w:val="24"/>
          <w:szCs w:val="24"/>
        </w:rPr>
      </w:pPr>
      <w:r w:rsidRPr="00753C69">
        <w:rPr>
          <w:rFonts w:ascii="Arial" w:hAnsi="Arial" w:cs="Arial"/>
          <w:sz w:val="24"/>
          <w:szCs w:val="24"/>
        </w:rPr>
        <w:t>Fédération des Mouvements Personne D’Abord du Québec (FMPDAQ)</w:t>
      </w:r>
    </w:p>
    <w:p w:rsidR="00753C69" w:rsidRDefault="00753C69" w:rsidP="000641B7">
      <w:pPr>
        <w:spacing w:before="100" w:beforeAutospacing="1" w:after="100" w:afterAutospacing="1"/>
        <w:contextualSpacing/>
        <w:rPr>
          <w:rFonts w:ascii="Arial" w:hAnsi="Arial" w:cs="Arial"/>
          <w:sz w:val="24"/>
          <w:szCs w:val="24"/>
        </w:rPr>
      </w:pPr>
    </w:p>
    <w:p w:rsidR="00232FA3" w:rsidRDefault="00232FA3" w:rsidP="000641B7">
      <w:pPr>
        <w:spacing w:before="100" w:beforeAutospacing="1" w:after="100" w:afterAutospacing="1"/>
        <w:contextualSpacing/>
        <w:rPr>
          <w:rFonts w:ascii="Arial" w:hAnsi="Arial" w:cs="Arial"/>
          <w:sz w:val="24"/>
          <w:szCs w:val="24"/>
        </w:rPr>
      </w:pPr>
      <w:r w:rsidRPr="00232FA3">
        <w:rPr>
          <w:rFonts w:ascii="Arial" w:hAnsi="Arial" w:cs="Arial"/>
          <w:sz w:val="24"/>
          <w:szCs w:val="24"/>
        </w:rPr>
        <w:t>Regroupement des aveugles et amblyopes du Québec (RAAQ)</w:t>
      </w:r>
    </w:p>
    <w:p w:rsidR="00870EB7" w:rsidRDefault="00870EB7" w:rsidP="000641B7">
      <w:pPr>
        <w:spacing w:before="100" w:beforeAutospacing="1" w:after="100" w:afterAutospacing="1"/>
        <w:contextualSpacing/>
        <w:rPr>
          <w:rFonts w:ascii="Arial" w:hAnsi="Arial" w:cs="Arial"/>
          <w:sz w:val="24"/>
          <w:szCs w:val="24"/>
        </w:rPr>
      </w:pPr>
    </w:p>
    <w:p w:rsidR="00870EB7" w:rsidRPr="00232FA3" w:rsidRDefault="00870EB7" w:rsidP="000641B7">
      <w:pPr>
        <w:spacing w:before="100" w:beforeAutospacing="1" w:after="100" w:afterAutospacing="1"/>
        <w:contextualSpacing/>
        <w:rPr>
          <w:rFonts w:ascii="Arial" w:hAnsi="Arial" w:cs="Arial"/>
          <w:sz w:val="24"/>
          <w:szCs w:val="24"/>
        </w:rPr>
      </w:pPr>
      <w:r w:rsidRPr="00870EB7">
        <w:rPr>
          <w:rFonts w:ascii="Arial" w:hAnsi="Arial" w:cs="Arial"/>
          <w:sz w:val="24"/>
          <w:szCs w:val="24"/>
        </w:rPr>
        <w:t>Regroupement des organismes de personnes handicapées (03) (ROP 03)</w:t>
      </w:r>
    </w:p>
    <w:p w:rsidR="000641B7" w:rsidRPr="00232FA3" w:rsidRDefault="000641B7" w:rsidP="000641B7">
      <w:pPr>
        <w:spacing w:before="100" w:beforeAutospacing="1" w:after="100" w:afterAutospacing="1"/>
        <w:contextualSpacing/>
        <w:rPr>
          <w:rFonts w:ascii="Arial" w:hAnsi="Arial" w:cs="Arial"/>
          <w:sz w:val="24"/>
          <w:szCs w:val="24"/>
        </w:rPr>
      </w:pPr>
    </w:p>
    <w:p w:rsidR="000641B7" w:rsidRPr="00232FA3" w:rsidRDefault="00232FA3" w:rsidP="000641B7">
      <w:pPr>
        <w:spacing w:before="100" w:beforeAutospacing="1" w:after="100" w:afterAutospacing="1"/>
        <w:contextualSpacing/>
        <w:rPr>
          <w:rFonts w:ascii="Arial" w:hAnsi="Arial" w:cs="Arial"/>
          <w:sz w:val="24"/>
          <w:szCs w:val="24"/>
        </w:rPr>
      </w:pPr>
      <w:r w:rsidRPr="00232FA3">
        <w:rPr>
          <w:rFonts w:ascii="Arial" w:hAnsi="Arial" w:cs="Arial"/>
          <w:sz w:val="24"/>
          <w:szCs w:val="24"/>
        </w:rPr>
        <w:t>Réseau québécois pour l’inclusion sociale des personnes sourdes et malentendantes (ReQIS)</w:t>
      </w:r>
    </w:p>
    <w:p w:rsidR="000641B7" w:rsidRDefault="000641B7" w:rsidP="000641B7">
      <w:pPr>
        <w:spacing w:before="100" w:beforeAutospacing="1" w:after="100" w:afterAutospacing="1"/>
        <w:contextualSpacing/>
        <w:rPr>
          <w:rFonts w:ascii="Arial" w:hAnsi="Arial" w:cs="Arial"/>
          <w:sz w:val="24"/>
          <w:szCs w:val="24"/>
        </w:rPr>
      </w:pPr>
    </w:p>
    <w:p w:rsidR="00232FA3" w:rsidRDefault="00232FA3" w:rsidP="000641B7">
      <w:pPr>
        <w:spacing w:before="100" w:beforeAutospacing="1" w:after="100" w:afterAutospacing="1"/>
        <w:contextualSpacing/>
        <w:rPr>
          <w:rFonts w:ascii="Arial" w:hAnsi="Arial" w:cs="Arial"/>
          <w:sz w:val="24"/>
          <w:szCs w:val="24"/>
        </w:rPr>
      </w:pPr>
    </w:p>
    <w:p w:rsidR="00753C69" w:rsidRDefault="00753C69" w:rsidP="000641B7">
      <w:pPr>
        <w:spacing w:before="100" w:beforeAutospacing="1" w:after="100" w:afterAutospacing="1"/>
        <w:contextualSpacing/>
        <w:rPr>
          <w:rFonts w:ascii="Arial" w:hAnsi="Arial" w:cs="Arial"/>
          <w:sz w:val="24"/>
          <w:szCs w:val="24"/>
        </w:rPr>
      </w:pPr>
    </w:p>
    <w:p w:rsidR="00232FA3" w:rsidRPr="00232FA3" w:rsidRDefault="00232FA3" w:rsidP="000641B7">
      <w:pPr>
        <w:spacing w:before="100" w:beforeAutospacing="1" w:after="100" w:afterAutospacing="1"/>
        <w:contextualSpacing/>
        <w:rPr>
          <w:rFonts w:ascii="Arial" w:hAnsi="Arial" w:cs="Arial"/>
          <w:sz w:val="24"/>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rsidR="000641B7" w:rsidRPr="00261869" w:rsidRDefault="000641B7" w:rsidP="000641B7">
      <w:pPr>
        <w:rPr>
          <w:rFonts w:ascii="Arial" w:hAnsi="Arial" w:cs="Arial"/>
          <w:sz w:val="24"/>
          <w:szCs w:val="24"/>
        </w:rPr>
      </w:pPr>
      <w:r w:rsidRPr="00261869">
        <w:rPr>
          <w:rFonts w:ascii="Arial" w:hAnsi="Arial" w:cs="Arial"/>
          <w:sz w:val="24"/>
          <w:szCs w:val="24"/>
        </w:rPr>
        <w:t xml:space="preserve">Le </w:t>
      </w:r>
      <w:r w:rsidR="00BB55C3">
        <w:rPr>
          <w:rFonts w:ascii="Arial" w:hAnsi="Arial" w:cs="Arial"/>
          <w:sz w:val="24"/>
          <w:szCs w:val="24"/>
        </w:rPr>
        <w:t>6 décembre 2019</w:t>
      </w:r>
    </w:p>
    <w:p w:rsidR="000641B7" w:rsidRDefault="000641B7">
      <w:pPr>
        <w:rPr>
          <w:rFonts w:ascii="Arial" w:hAnsi="Arial" w:cs="Arial"/>
          <w:sz w:val="24"/>
          <w:szCs w:val="24"/>
        </w:rPr>
      </w:pPr>
    </w:p>
    <w:p w:rsidR="0077784C" w:rsidRDefault="0077784C">
      <w:pPr>
        <w:rPr>
          <w:rFonts w:ascii="Arial" w:hAnsi="Arial" w:cs="Arial"/>
          <w:sz w:val="24"/>
          <w:szCs w:val="24"/>
        </w:rPr>
      </w:pPr>
    </w:p>
    <w:p w:rsidR="0077784C" w:rsidRDefault="0077784C">
      <w:pPr>
        <w:rPr>
          <w:rFonts w:ascii="Arial" w:hAnsi="Arial" w:cs="Arial"/>
          <w:sz w:val="24"/>
          <w:szCs w:val="24"/>
        </w:rPr>
        <w:sectPr w:rsidR="0077784C" w:rsidSect="009352E2">
          <w:footerReference w:type="default" r:id="rId16"/>
          <w:pgSz w:w="12240" w:h="15840"/>
          <w:pgMar w:top="1440" w:right="1080" w:bottom="1440" w:left="1080" w:header="708" w:footer="708" w:gutter="0"/>
          <w:cols w:space="708"/>
          <w:docGrid w:linePitch="360"/>
        </w:sectPr>
      </w:pPr>
    </w:p>
    <w:p w:rsidR="0077784C" w:rsidRDefault="0077784C">
      <w:pPr>
        <w:rPr>
          <w:rFonts w:ascii="Arial" w:hAnsi="Arial" w:cs="Arial"/>
          <w:sz w:val="24"/>
          <w:szCs w:val="24"/>
        </w:rPr>
      </w:pPr>
    </w:p>
    <w:p w:rsidR="0077784C" w:rsidRDefault="0077784C">
      <w:pPr>
        <w:rPr>
          <w:rFonts w:ascii="Arial" w:hAnsi="Arial" w:cs="Arial"/>
          <w:sz w:val="24"/>
          <w:szCs w:val="24"/>
        </w:rPr>
      </w:pPr>
    </w:p>
    <w:p w:rsidR="0077784C" w:rsidRDefault="0077784C" w:rsidP="0077784C">
      <w:pPr>
        <w:rPr>
          <w:rFonts w:ascii="Arial" w:hAnsi="Arial" w:cs="Arial"/>
          <w:sz w:val="24"/>
          <w:szCs w:val="24"/>
        </w:rPr>
      </w:pPr>
      <w:r w:rsidRPr="00FE54FF">
        <w:rPr>
          <w:rFonts w:ascii="Arial" w:hAnsi="Arial" w:cs="Arial"/>
          <w:noProof/>
          <w:sz w:val="36"/>
          <w:szCs w:val="36"/>
        </w:rPr>
        <w:drawing>
          <wp:anchor distT="0" distB="0" distL="114300" distR="114300" simplePos="0" relativeHeight="251661312" behindDoc="0" locked="0" layoutInCell="1" allowOverlap="1" wp14:anchorId="370D16B9" wp14:editId="0C2D7819">
            <wp:simplePos x="0" y="0"/>
            <wp:positionH relativeFrom="margin">
              <wp:align>right</wp:align>
            </wp:positionH>
            <wp:positionV relativeFrom="margin">
              <wp:posOffset>-85149</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rsidR="00E00521" w:rsidRDefault="00E00521" w:rsidP="0077784C">
      <w:pPr>
        <w:rPr>
          <w:rFonts w:ascii="Arial" w:hAnsi="Arial" w:cs="Arial"/>
          <w:i/>
          <w:sz w:val="24"/>
          <w:szCs w:val="24"/>
        </w:rPr>
      </w:pPr>
    </w:p>
    <w:p w:rsidR="004126E3" w:rsidRDefault="004126E3" w:rsidP="0077784C">
      <w:pPr>
        <w:rPr>
          <w:rFonts w:ascii="Arial" w:hAnsi="Arial" w:cs="Arial"/>
          <w:sz w:val="24"/>
          <w:szCs w:val="24"/>
        </w:rPr>
      </w:pPr>
    </w:p>
    <w:p w:rsidR="00782FD4" w:rsidRDefault="00782FD4" w:rsidP="00782FD4">
      <w:pPr>
        <w:rPr>
          <w:rFonts w:ascii="Arial" w:hAnsi="Arial" w:cs="Arial"/>
          <w:i/>
          <w:sz w:val="24"/>
          <w:szCs w:val="24"/>
        </w:rPr>
      </w:pPr>
      <w:r w:rsidRPr="0077784C">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environ 50 organismes et regroupements nationaux et régionaux de personnes ayant </w:t>
      </w:r>
      <w:r w:rsidRPr="0077784C">
        <w:rPr>
          <w:rFonts w:ascii="Arial" w:hAnsi="Arial" w:cs="Arial"/>
          <w:i/>
          <w:color w:val="231F20"/>
          <w:sz w:val="24"/>
          <w:szCs w:val="24"/>
          <w:shd w:val="clear" w:color="auto" w:fill="FFFFFF"/>
        </w:rPr>
        <w:t>tous les types de limitations fonctionnelles : motrices, organiques, neurologiques, intellectuelles, visuelles, auditives, troubles d’apprentissage, du langage, du spectre de l’autisme et de santé mentale.</w:t>
      </w:r>
      <w:r w:rsidRPr="0077784C">
        <w:rPr>
          <w:rFonts w:ascii="Arial" w:hAnsi="Arial" w:cs="Arial"/>
          <w:i/>
          <w:sz w:val="24"/>
          <w:szCs w:val="24"/>
        </w:rPr>
        <w:t xml:space="preserve">  </w:t>
      </w:r>
    </w:p>
    <w:p w:rsidR="0077784C" w:rsidRPr="00261869" w:rsidRDefault="004126E3">
      <w:pPr>
        <w:rPr>
          <w:rFonts w:ascii="Arial" w:hAnsi="Arial" w:cs="Arial"/>
          <w:sz w:val="24"/>
          <w:szCs w:val="24"/>
        </w:rPr>
        <w:sectPr w:rsidR="0077784C" w:rsidRPr="00261869" w:rsidSect="009352E2">
          <w:headerReference w:type="default" r:id="rId17"/>
          <w:footerReference w:type="default" r:id="rId18"/>
          <w:pgSz w:w="12240" w:h="15840"/>
          <w:pgMar w:top="1440" w:right="1080" w:bottom="1440" w:left="1080" w:header="708" w:footer="708" w:gutter="0"/>
          <w:cols w:space="708"/>
          <w:docGrid w:linePitch="360"/>
        </w:sectPr>
      </w:pPr>
      <w:r>
        <w:rPr>
          <w:rFonts w:ascii="Arial" w:hAnsi="Arial" w:cs="Arial"/>
          <w:sz w:val="24"/>
          <w:szCs w:val="24"/>
        </w:rPr>
        <w:t xml:space="preserve"> </w:t>
      </w:r>
    </w:p>
    <w:sdt>
      <w:sdtPr>
        <w:rPr>
          <w:rFonts w:ascii="Arial" w:eastAsiaTheme="minorHAnsi" w:hAnsi="Arial" w:cs="Arial"/>
          <w:b w:val="0"/>
          <w:bCs w:val="0"/>
          <w:color w:val="auto"/>
          <w:sz w:val="22"/>
          <w:szCs w:val="22"/>
          <w:lang w:val="fr-CA"/>
        </w:rPr>
        <w:id w:val="174902391"/>
        <w:docPartObj>
          <w:docPartGallery w:val="Table of Contents"/>
          <w:docPartUnique/>
        </w:docPartObj>
      </w:sdtPr>
      <w:sdtEndPr>
        <w:rPr>
          <w:rFonts w:eastAsiaTheme="minorEastAsia"/>
        </w:rPr>
      </w:sdtEndPr>
      <w:sdtContent>
        <w:p w:rsidR="000641B7" w:rsidRPr="00261869" w:rsidRDefault="000641B7">
          <w:pPr>
            <w:pStyle w:val="En-ttedetabledesmatires"/>
            <w:rPr>
              <w:rFonts w:ascii="Arial" w:hAnsi="Arial" w:cs="Arial"/>
            </w:rPr>
          </w:pPr>
          <w:r w:rsidRPr="00261869">
            <w:rPr>
              <w:rFonts w:ascii="Arial" w:hAnsi="Arial" w:cs="Arial"/>
            </w:rPr>
            <w:t>Sommaire</w:t>
          </w:r>
        </w:p>
        <w:p w:rsidR="00E557B6" w:rsidRDefault="00FF17AA">
          <w:pPr>
            <w:pStyle w:val="TM1"/>
            <w:tabs>
              <w:tab w:val="right" w:leader="dot" w:pos="10070"/>
            </w:tabs>
            <w:rPr>
              <w:noProof/>
            </w:rPr>
          </w:pPr>
          <w:r w:rsidRPr="00261869">
            <w:rPr>
              <w:rFonts w:ascii="Arial" w:hAnsi="Arial" w:cs="Arial"/>
              <w:lang w:val="fr-FR"/>
            </w:rPr>
            <w:fldChar w:fldCharType="begin"/>
          </w:r>
          <w:r w:rsidR="000641B7" w:rsidRPr="00261869">
            <w:rPr>
              <w:rFonts w:ascii="Arial" w:hAnsi="Arial" w:cs="Arial"/>
              <w:lang w:val="fr-FR"/>
            </w:rPr>
            <w:instrText xml:space="preserve"> TOC \o "1-3" \h \z \u </w:instrText>
          </w:r>
          <w:r w:rsidRPr="00261869">
            <w:rPr>
              <w:rFonts w:ascii="Arial" w:hAnsi="Arial" w:cs="Arial"/>
              <w:lang w:val="fr-FR"/>
            </w:rPr>
            <w:fldChar w:fldCharType="separate"/>
          </w:r>
          <w:hyperlink w:anchor="_Toc26517337" w:history="1">
            <w:r w:rsidR="00E557B6" w:rsidRPr="003521EB">
              <w:rPr>
                <w:rStyle w:val="Lienhypertexte"/>
                <w:rFonts w:ascii="Arial" w:hAnsi="Arial" w:cs="Arial"/>
                <w:noProof/>
              </w:rPr>
              <w:t>Introduction</w:t>
            </w:r>
            <w:r w:rsidR="00E557B6">
              <w:rPr>
                <w:noProof/>
                <w:webHidden/>
              </w:rPr>
              <w:tab/>
            </w:r>
            <w:r w:rsidR="00E557B6">
              <w:rPr>
                <w:noProof/>
                <w:webHidden/>
              </w:rPr>
              <w:fldChar w:fldCharType="begin"/>
            </w:r>
            <w:r w:rsidR="00E557B6">
              <w:rPr>
                <w:noProof/>
                <w:webHidden/>
              </w:rPr>
              <w:instrText xml:space="preserve"> PAGEREF _Toc26517337 \h </w:instrText>
            </w:r>
            <w:r w:rsidR="00E557B6">
              <w:rPr>
                <w:noProof/>
                <w:webHidden/>
              </w:rPr>
            </w:r>
            <w:r w:rsidR="00E557B6">
              <w:rPr>
                <w:noProof/>
                <w:webHidden/>
              </w:rPr>
              <w:fldChar w:fldCharType="separate"/>
            </w:r>
            <w:r w:rsidR="00E557B6">
              <w:rPr>
                <w:noProof/>
                <w:webHidden/>
              </w:rPr>
              <w:t>1</w:t>
            </w:r>
            <w:r w:rsidR="00E557B6">
              <w:rPr>
                <w:noProof/>
                <w:webHidden/>
              </w:rPr>
              <w:fldChar w:fldCharType="end"/>
            </w:r>
          </w:hyperlink>
        </w:p>
        <w:p w:rsidR="00E557B6" w:rsidRDefault="00E557B6">
          <w:pPr>
            <w:pStyle w:val="TM1"/>
            <w:tabs>
              <w:tab w:val="right" w:leader="dot" w:pos="10070"/>
            </w:tabs>
            <w:rPr>
              <w:noProof/>
            </w:rPr>
          </w:pPr>
          <w:hyperlink w:anchor="_Toc26517338" w:history="1">
            <w:r w:rsidRPr="003521EB">
              <w:rPr>
                <w:rStyle w:val="Lienhypertexte"/>
                <w:rFonts w:ascii="Arial" w:hAnsi="Arial" w:cs="Arial"/>
                <w:noProof/>
              </w:rPr>
              <w:t>Consolidation et développement de l’action communautaire</w:t>
            </w:r>
            <w:r>
              <w:rPr>
                <w:noProof/>
                <w:webHidden/>
              </w:rPr>
              <w:tab/>
            </w:r>
            <w:r>
              <w:rPr>
                <w:noProof/>
                <w:webHidden/>
              </w:rPr>
              <w:fldChar w:fldCharType="begin"/>
            </w:r>
            <w:r>
              <w:rPr>
                <w:noProof/>
                <w:webHidden/>
              </w:rPr>
              <w:instrText xml:space="preserve"> PAGEREF _Toc26517338 \h </w:instrText>
            </w:r>
            <w:r>
              <w:rPr>
                <w:noProof/>
                <w:webHidden/>
              </w:rPr>
            </w:r>
            <w:r>
              <w:rPr>
                <w:noProof/>
                <w:webHidden/>
              </w:rPr>
              <w:fldChar w:fldCharType="separate"/>
            </w:r>
            <w:r>
              <w:rPr>
                <w:noProof/>
                <w:webHidden/>
              </w:rPr>
              <w:t>3</w:t>
            </w:r>
            <w:r>
              <w:rPr>
                <w:noProof/>
                <w:webHidden/>
              </w:rPr>
              <w:fldChar w:fldCharType="end"/>
            </w:r>
          </w:hyperlink>
        </w:p>
        <w:p w:rsidR="00E557B6" w:rsidRDefault="00E557B6">
          <w:pPr>
            <w:pStyle w:val="TM2"/>
            <w:tabs>
              <w:tab w:val="right" w:leader="dot" w:pos="10070"/>
            </w:tabs>
            <w:rPr>
              <w:noProof/>
            </w:rPr>
          </w:pPr>
          <w:hyperlink w:anchor="_Toc26517339" w:history="1">
            <w:r w:rsidRPr="003521EB">
              <w:rPr>
                <w:rStyle w:val="Lienhypertexte"/>
                <w:rFonts w:ascii="Arial" w:hAnsi="Arial" w:cs="Arial"/>
                <w:noProof/>
              </w:rPr>
              <w:t>Participation des personnes ayant des limitations fonctionnelles à la vie associative des organismes</w:t>
            </w:r>
            <w:r>
              <w:rPr>
                <w:noProof/>
                <w:webHidden/>
              </w:rPr>
              <w:tab/>
            </w:r>
            <w:r>
              <w:rPr>
                <w:noProof/>
                <w:webHidden/>
              </w:rPr>
              <w:fldChar w:fldCharType="begin"/>
            </w:r>
            <w:r>
              <w:rPr>
                <w:noProof/>
                <w:webHidden/>
              </w:rPr>
              <w:instrText xml:space="preserve"> PAGEREF _Toc26517339 \h </w:instrText>
            </w:r>
            <w:r>
              <w:rPr>
                <w:noProof/>
                <w:webHidden/>
              </w:rPr>
            </w:r>
            <w:r>
              <w:rPr>
                <w:noProof/>
                <w:webHidden/>
              </w:rPr>
              <w:fldChar w:fldCharType="separate"/>
            </w:r>
            <w:r>
              <w:rPr>
                <w:noProof/>
                <w:webHidden/>
              </w:rPr>
              <w:t>3</w:t>
            </w:r>
            <w:r>
              <w:rPr>
                <w:noProof/>
                <w:webHidden/>
              </w:rPr>
              <w:fldChar w:fldCharType="end"/>
            </w:r>
          </w:hyperlink>
        </w:p>
        <w:p w:rsidR="00E557B6" w:rsidRDefault="00E557B6">
          <w:pPr>
            <w:pStyle w:val="TM2"/>
            <w:tabs>
              <w:tab w:val="right" w:leader="dot" w:pos="10070"/>
            </w:tabs>
            <w:rPr>
              <w:noProof/>
            </w:rPr>
          </w:pPr>
          <w:hyperlink w:anchor="_Toc26517340" w:history="1">
            <w:r w:rsidRPr="003521EB">
              <w:rPr>
                <w:rStyle w:val="Lienhypertexte"/>
                <w:rFonts w:ascii="Arial" w:hAnsi="Arial" w:cs="Arial"/>
                <w:noProof/>
              </w:rPr>
              <w:t>Financement de la mission globale</w:t>
            </w:r>
            <w:r>
              <w:rPr>
                <w:noProof/>
                <w:webHidden/>
              </w:rPr>
              <w:tab/>
            </w:r>
            <w:r>
              <w:rPr>
                <w:noProof/>
                <w:webHidden/>
              </w:rPr>
              <w:fldChar w:fldCharType="begin"/>
            </w:r>
            <w:r>
              <w:rPr>
                <w:noProof/>
                <w:webHidden/>
              </w:rPr>
              <w:instrText xml:space="preserve"> PAGEREF _Toc26517340 \h </w:instrText>
            </w:r>
            <w:r>
              <w:rPr>
                <w:noProof/>
                <w:webHidden/>
              </w:rPr>
            </w:r>
            <w:r>
              <w:rPr>
                <w:noProof/>
                <w:webHidden/>
              </w:rPr>
              <w:fldChar w:fldCharType="separate"/>
            </w:r>
            <w:r>
              <w:rPr>
                <w:noProof/>
                <w:webHidden/>
              </w:rPr>
              <w:t>4</w:t>
            </w:r>
            <w:r>
              <w:rPr>
                <w:noProof/>
                <w:webHidden/>
              </w:rPr>
              <w:fldChar w:fldCharType="end"/>
            </w:r>
          </w:hyperlink>
        </w:p>
        <w:p w:rsidR="00E557B6" w:rsidRDefault="00E557B6">
          <w:pPr>
            <w:pStyle w:val="TM2"/>
            <w:tabs>
              <w:tab w:val="right" w:leader="dot" w:pos="10070"/>
            </w:tabs>
            <w:rPr>
              <w:noProof/>
            </w:rPr>
          </w:pPr>
          <w:hyperlink w:anchor="_Toc26517341" w:history="1">
            <w:r w:rsidRPr="003521EB">
              <w:rPr>
                <w:rStyle w:val="Lienhypertexte"/>
                <w:rFonts w:ascii="Arial" w:hAnsi="Arial" w:cs="Arial"/>
                <w:noProof/>
              </w:rPr>
              <w:t>Récurrence et reconduction</w:t>
            </w:r>
            <w:r>
              <w:rPr>
                <w:noProof/>
                <w:webHidden/>
              </w:rPr>
              <w:tab/>
            </w:r>
            <w:r>
              <w:rPr>
                <w:noProof/>
                <w:webHidden/>
              </w:rPr>
              <w:fldChar w:fldCharType="begin"/>
            </w:r>
            <w:r>
              <w:rPr>
                <w:noProof/>
                <w:webHidden/>
              </w:rPr>
              <w:instrText xml:space="preserve"> PAGEREF _Toc26517341 \h </w:instrText>
            </w:r>
            <w:r>
              <w:rPr>
                <w:noProof/>
                <w:webHidden/>
              </w:rPr>
            </w:r>
            <w:r>
              <w:rPr>
                <w:noProof/>
                <w:webHidden/>
              </w:rPr>
              <w:fldChar w:fldCharType="separate"/>
            </w:r>
            <w:r>
              <w:rPr>
                <w:noProof/>
                <w:webHidden/>
              </w:rPr>
              <w:t>5</w:t>
            </w:r>
            <w:r>
              <w:rPr>
                <w:noProof/>
                <w:webHidden/>
              </w:rPr>
              <w:fldChar w:fldCharType="end"/>
            </w:r>
          </w:hyperlink>
        </w:p>
        <w:p w:rsidR="00E557B6" w:rsidRDefault="00E557B6">
          <w:pPr>
            <w:pStyle w:val="TM2"/>
            <w:tabs>
              <w:tab w:val="right" w:leader="dot" w:pos="10070"/>
            </w:tabs>
            <w:rPr>
              <w:noProof/>
            </w:rPr>
          </w:pPr>
          <w:hyperlink w:anchor="_Toc26517342" w:history="1">
            <w:r w:rsidRPr="003521EB">
              <w:rPr>
                <w:rStyle w:val="Lienhypertexte"/>
                <w:rFonts w:ascii="Arial" w:hAnsi="Arial" w:cs="Arial"/>
                <w:noProof/>
              </w:rPr>
              <w:t>Financement des projets ponctuels</w:t>
            </w:r>
            <w:r>
              <w:rPr>
                <w:noProof/>
                <w:webHidden/>
              </w:rPr>
              <w:tab/>
            </w:r>
            <w:r>
              <w:rPr>
                <w:noProof/>
                <w:webHidden/>
              </w:rPr>
              <w:fldChar w:fldCharType="begin"/>
            </w:r>
            <w:r>
              <w:rPr>
                <w:noProof/>
                <w:webHidden/>
              </w:rPr>
              <w:instrText xml:space="preserve"> PAGEREF _Toc26517342 \h </w:instrText>
            </w:r>
            <w:r>
              <w:rPr>
                <w:noProof/>
                <w:webHidden/>
              </w:rPr>
            </w:r>
            <w:r>
              <w:rPr>
                <w:noProof/>
                <w:webHidden/>
              </w:rPr>
              <w:fldChar w:fldCharType="separate"/>
            </w:r>
            <w:r>
              <w:rPr>
                <w:noProof/>
                <w:webHidden/>
              </w:rPr>
              <w:t>5</w:t>
            </w:r>
            <w:r>
              <w:rPr>
                <w:noProof/>
                <w:webHidden/>
              </w:rPr>
              <w:fldChar w:fldCharType="end"/>
            </w:r>
          </w:hyperlink>
        </w:p>
        <w:p w:rsidR="00E557B6" w:rsidRDefault="00E557B6">
          <w:pPr>
            <w:pStyle w:val="TM2"/>
            <w:tabs>
              <w:tab w:val="right" w:leader="dot" w:pos="10070"/>
            </w:tabs>
            <w:rPr>
              <w:noProof/>
            </w:rPr>
          </w:pPr>
          <w:hyperlink w:anchor="_Toc26517343" w:history="1">
            <w:r w:rsidRPr="003521EB">
              <w:rPr>
                <w:rStyle w:val="Lienhypertexte"/>
                <w:rFonts w:ascii="Arial" w:hAnsi="Arial" w:cs="Arial"/>
                <w:noProof/>
              </w:rPr>
              <w:t>Harmonisation du financement entre les différentes régions</w:t>
            </w:r>
            <w:r>
              <w:rPr>
                <w:noProof/>
                <w:webHidden/>
              </w:rPr>
              <w:tab/>
            </w:r>
            <w:r>
              <w:rPr>
                <w:noProof/>
                <w:webHidden/>
              </w:rPr>
              <w:fldChar w:fldCharType="begin"/>
            </w:r>
            <w:r>
              <w:rPr>
                <w:noProof/>
                <w:webHidden/>
              </w:rPr>
              <w:instrText xml:space="preserve"> PAGEREF _Toc26517343 \h </w:instrText>
            </w:r>
            <w:r>
              <w:rPr>
                <w:noProof/>
                <w:webHidden/>
              </w:rPr>
            </w:r>
            <w:r>
              <w:rPr>
                <w:noProof/>
                <w:webHidden/>
              </w:rPr>
              <w:fldChar w:fldCharType="separate"/>
            </w:r>
            <w:r>
              <w:rPr>
                <w:noProof/>
                <w:webHidden/>
              </w:rPr>
              <w:t>6</w:t>
            </w:r>
            <w:r>
              <w:rPr>
                <w:noProof/>
                <w:webHidden/>
              </w:rPr>
              <w:fldChar w:fldCharType="end"/>
            </w:r>
          </w:hyperlink>
        </w:p>
        <w:p w:rsidR="00E557B6" w:rsidRDefault="00E557B6">
          <w:pPr>
            <w:pStyle w:val="TM1"/>
            <w:tabs>
              <w:tab w:val="right" w:leader="dot" w:pos="10070"/>
            </w:tabs>
            <w:rPr>
              <w:noProof/>
            </w:rPr>
          </w:pPr>
          <w:hyperlink w:anchor="_Toc26517344" w:history="1">
            <w:r w:rsidRPr="003521EB">
              <w:rPr>
                <w:rStyle w:val="Lienhypertexte"/>
                <w:rFonts w:ascii="Arial" w:hAnsi="Arial" w:cs="Arial"/>
                <w:noProof/>
              </w:rPr>
              <w:t>Cohérence de l’intervention gouvernementale</w:t>
            </w:r>
            <w:r>
              <w:rPr>
                <w:noProof/>
                <w:webHidden/>
              </w:rPr>
              <w:tab/>
            </w:r>
            <w:r>
              <w:rPr>
                <w:noProof/>
                <w:webHidden/>
              </w:rPr>
              <w:fldChar w:fldCharType="begin"/>
            </w:r>
            <w:r>
              <w:rPr>
                <w:noProof/>
                <w:webHidden/>
              </w:rPr>
              <w:instrText xml:space="preserve"> PAGEREF _Toc26517344 \h </w:instrText>
            </w:r>
            <w:r>
              <w:rPr>
                <w:noProof/>
                <w:webHidden/>
              </w:rPr>
            </w:r>
            <w:r>
              <w:rPr>
                <w:noProof/>
                <w:webHidden/>
              </w:rPr>
              <w:fldChar w:fldCharType="separate"/>
            </w:r>
            <w:r>
              <w:rPr>
                <w:noProof/>
                <w:webHidden/>
              </w:rPr>
              <w:t>7</w:t>
            </w:r>
            <w:r>
              <w:rPr>
                <w:noProof/>
                <w:webHidden/>
              </w:rPr>
              <w:fldChar w:fldCharType="end"/>
            </w:r>
          </w:hyperlink>
        </w:p>
        <w:p w:rsidR="00E557B6" w:rsidRDefault="00E557B6">
          <w:pPr>
            <w:pStyle w:val="TM2"/>
            <w:tabs>
              <w:tab w:val="right" w:leader="dot" w:pos="10070"/>
            </w:tabs>
            <w:rPr>
              <w:noProof/>
            </w:rPr>
          </w:pPr>
          <w:hyperlink w:anchor="_Toc26517345" w:history="1">
            <w:r w:rsidRPr="003521EB">
              <w:rPr>
                <w:rStyle w:val="Lienhypertexte"/>
                <w:rFonts w:ascii="Arial" w:hAnsi="Arial" w:cs="Arial"/>
                <w:noProof/>
              </w:rPr>
              <w:t>Inclusion d’une clause d’handi-responsabilité</w:t>
            </w:r>
            <w:r>
              <w:rPr>
                <w:noProof/>
                <w:webHidden/>
              </w:rPr>
              <w:tab/>
            </w:r>
            <w:r>
              <w:rPr>
                <w:noProof/>
                <w:webHidden/>
              </w:rPr>
              <w:fldChar w:fldCharType="begin"/>
            </w:r>
            <w:r>
              <w:rPr>
                <w:noProof/>
                <w:webHidden/>
              </w:rPr>
              <w:instrText xml:space="preserve"> PAGEREF _Toc26517345 \h </w:instrText>
            </w:r>
            <w:r>
              <w:rPr>
                <w:noProof/>
                <w:webHidden/>
              </w:rPr>
            </w:r>
            <w:r>
              <w:rPr>
                <w:noProof/>
                <w:webHidden/>
              </w:rPr>
              <w:fldChar w:fldCharType="separate"/>
            </w:r>
            <w:r>
              <w:rPr>
                <w:noProof/>
                <w:webHidden/>
              </w:rPr>
              <w:t>7</w:t>
            </w:r>
            <w:r>
              <w:rPr>
                <w:noProof/>
                <w:webHidden/>
              </w:rPr>
              <w:fldChar w:fldCharType="end"/>
            </w:r>
          </w:hyperlink>
        </w:p>
        <w:p w:rsidR="00E557B6" w:rsidRDefault="00E557B6">
          <w:pPr>
            <w:pStyle w:val="TM2"/>
            <w:tabs>
              <w:tab w:val="right" w:leader="dot" w:pos="10070"/>
            </w:tabs>
            <w:rPr>
              <w:noProof/>
            </w:rPr>
          </w:pPr>
          <w:hyperlink w:anchor="_Toc26517346" w:history="1">
            <w:r w:rsidRPr="003521EB">
              <w:rPr>
                <w:rStyle w:val="Lienhypertexte"/>
                <w:rFonts w:ascii="Arial" w:hAnsi="Arial" w:cs="Arial"/>
                <w:noProof/>
              </w:rPr>
              <w:t>Accessibilité des formulaires</w:t>
            </w:r>
            <w:r>
              <w:rPr>
                <w:noProof/>
                <w:webHidden/>
              </w:rPr>
              <w:tab/>
            </w:r>
            <w:r>
              <w:rPr>
                <w:noProof/>
                <w:webHidden/>
              </w:rPr>
              <w:fldChar w:fldCharType="begin"/>
            </w:r>
            <w:r>
              <w:rPr>
                <w:noProof/>
                <w:webHidden/>
              </w:rPr>
              <w:instrText xml:space="preserve"> PAGEREF _Toc26517346 \h </w:instrText>
            </w:r>
            <w:r>
              <w:rPr>
                <w:noProof/>
                <w:webHidden/>
              </w:rPr>
            </w:r>
            <w:r>
              <w:rPr>
                <w:noProof/>
                <w:webHidden/>
              </w:rPr>
              <w:fldChar w:fldCharType="separate"/>
            </w:r>
            <w:r>
              <w:rPr>
                <w:noProof/>
                <w:webHidden/>
              </w:rPr>
              <w:t>7</w:t>
            </w:r>
            <w:r>
              <w:rPr>
                <w:noProof/>
                <w:webHidden/>
              </w:rPr>
              <w:fldChar w:fldCharType="end"/>
            </w:r>
          </w:hyperlink>
        </w:p>
        <w:p w:rsidR="00E557B6" w:rsidRDefault="00E557B6">
          <w:pPr>
            <w:pStyle w:val="TM2"/>
            <w:tabs>
              <w:tab w:val="right" w:leader="dot" w:pos="10070"/>
            </w:tabs>
            <w:rPr>
              <w:noProof/>
            </w:rPr>
          </w:pPr>
          <w:hyperlink w:anchor="_Toc26517347" w:history="1">
            <w:r w:rsidRPr="003521EB">
              <w:rPr>
                <w:rStyle w:val="Lienhypertexte"/>
                <w:rFonts w:ascii="Arial" w:hAnsi="Arial" w:cs="Arial"/>
                <w:noProof/>
              </w:rPr>
              <w:t>Application de la Politique de reconnaissance de l’action communautaire</w:t>
            </w:r>
            <w:r>
              <w:rPr>
                <w:noProof/>
                <w:webHidden/>
              </w:rPr>
              <w:tab/>
            </w:r>
            <w:r>
              <w:rPr>
                <w:noProof/>
                <w:webHidden/>
              </w:rPr>
              <w:fldChar w:fldCharType="begin"/>
            </w:r>
            <w:r>
              <w:rPr>
                <w:noProof/>
                <w:webHidden/>
              </w:rPr>
              <w:instrText xml:space="preserve"> PAGEREF _Toc26517347 \h </w:instrText>
            </w:r>
            <w:r>
              <w:rPr>
                <w:noProof/>
                <w:webHidden/>
              </w:rPr>
            </w:r>
            <w:r>
              <w:rPr>
                <w:noProof/>
                <w:webHidden/>
              </w:rPr>
              <w:fldChar w:fldCharType="separate"/>
            </w:r>
            <w:r>
              <w:rPr>
                <w:noProof/>
                <w:webHidden/>
              </w:rPr>
              <w:t>8</w:t>
            </w:r>
            <w:r>
              <w:rPr>
                <w:noProof/>
                <w:webHidden/>
              </w:rPr>
              <w:fldChar w:fldCharType="end"/>
            </w:r>
          </w:hyperlink>
        </w:p>
        <w:p w:rsidR="00E557B6" w:rsidRDefault="00E557B6">
          <w:pPr>
            <w:pStyle w:val="TM1"/>
            <w:tabs>
              <w:tab w:val="right" w:leader="dot" w:pos="10070"/>
            </w:tabs>
            <w:rPr>
              <w:noProof/>
            </w:rPr>
          </w:pPr>
          <w:hyperlink w:anchor="_Toc26517348" w:history="1">
            <w:r w:rsidRPr="003521EB">
              <w:rPr>
                <w:rStyle w:val="Lienhypertexte"/>
                <w:rFonts w:ascii="Arial" w:hAnsi="Arial" w:cs="Arial"/>
                <w:noProof/>
                <w:lang w:val="fr-FR"/>
              </w:rPr>
              <w:t>Promotion et valorisation de l’action communautaire</w:t>
            </w:r>
            <w:r>
              <w:rPr>
                <w:noProof/>
                <w:webHidden/>
              </w:rPr>
              <w:tab/>
            </w:r>
            <w:r>
              <w:rPr>
                <w:noProof/>
                <w:webHidden/>
              </w:rPr>
              <w:fldChar w:fldCharType="begin"/>
            </w:r>
            <w:r>
              <w:rPr>
                <w:noProof/>
                <w:webHidden/>
              </w:rPr>
              <w:instrText xml:space="preserve"> PAGEREF _Toc26517348 \h </w:instrText>
            </w:r>
            <w:r>
              <w:rPr>
                <w:noProof/>
                <w:webHidden/>
              </w:rPr>
            </w:r>
            <w:r>
              <w:rPr>
                <w:noProof/>
                <w:webHidden/>
              </w:rPr>
              <w:fldChar w:fldCharType="separate"/>
            </w:r>
            <w:r>
              <w:rPr>
                <w:noProof/>
                <w:webHidden/>
              </w:rPr>
              <w:t>9</w:t>
            </w:r>
            <w:r>
              <w:rPr>
                <w:noProof/>
                <w:webHidden/>
              </w:rPr>
              <w:fldChar w:fldCharType="end"/>
            </w:r>
          </w:hyperlink>
        </w:p>
        <w:p w:rsidR="00E557B6" w:rsidRDefault="00E557B6">
          <w:pPr>
            <w:pStyle w:val="TM2"/>
            <w:tabs>
              <w:tab w:val="right" w:leader="dot" w:pos="10070"/>
            </w:tabs>
            <w:rPr>
              <w:noProof/>
            </w:rPr>
          </w:pPr>
          <w:hyperlink w:anchor="_Toc26517349" w:history="1">
            <w:r w:rsidRPr="003521EB">
              <w:rPr>
                <w:rStyle w:val="Lienhypertexte"/>
                <w:rFonts w:ascii="Arial" w:hAnsi="Arial" w:cs="Arial"/>
                <w:noProof/>
              </w:rPr>
              <w:t>Consultation du milieu communautaire</w:t>
            </w:r>
            <w:r>
              <w:rPr>
                <w:noProof/>
                <w:webHidden/>
              </w:rPr>
              <w:tab/>
            </w:r>
            <w:r>
              <w:rPr>
                <w:noProof/>
                <w:webHidden/>
              </w:rPr>
              <w:fldChar w:fldCharType="begin"/>
            </w:r>
            <w:r>
              <w:rPr>
                <w:noProof/>
                <w:webHidden/>
              </w:rPr>
              <w:instrText xml:space="preserve"> PAGEREF _Toc26517349 \h </w:instrText>
            </w:r>
            <w:r>
              <w:rPr>
                <w:noProof/>
                <w:webHidden/>
              </w:rPr>
            </w:r>
            <w:r>
              <w:rPr>
                <w:noProof/>
                <w:webHidden/>
              </w:rPr>
              <w:fldChar w:fldCharType="separate"/>
            </w:r>
            <w:r>
              <w:rPr>
                <w:noProof/>
                <w:webHidden/>
              </w:rPr>
              <w:t>9</w:t>
            </w:r>
            <w:r>
              <w:rPr>
                <w:noProof/>
                <w:webHidden/>
              </w:rPr>
              <w:fldChar w:fldCharType="end"/>
            </w:r>
          </w:hyperlink>
        </w:p>
        <w:p w:rsidR="00E557B6" w:rsidRDefault="00E557B6">
          <w:pPr>
            <w:pStyle w:val="TM2"/>
            <w:tabs>
              <w:tab w:val="right" w:leader="dot" w:pos="10070"/>
            </w:tabs>
            <w:rPr>
              <w:noProof/>
            </w:rPr>
          </w:pPr>
          <w:hyperlink w:anchor="_Toc26517350" w:history="1">
            <w:r w:rsidRPr="003521EB">
              <w:rPr>
                <w:rStyle w:val="Lienhypertexte"/>
                <w:rFonts w:ascii="Arial" w:hAnsi="Arial" w:cs="Arial"/>
                <w:noProof/>
              </w:rPr>
              <w:t>Rôle important des regroupements</w:t>
            </w:r>
            <w:r>
              <w:rPr>
                <w:noProof/>
                <w:webHidden/>
              </w:rPr>
              <w:tab/>
            </w:r>
            <w:r>
              <w:rPr>
                <w:noProof/>
                <w:webHidden/>
              </w:rPr>
              <w:fldChar w:fldCharType="begin"/>
            </w:r>
            <w:r>
              <w:rPr>
                <w:noProof/>
                <w:webHidden/>
              </w:rPr>
              <w:instrText xml:space="preserve"> PAGEREF _Toc26517350 \h </w:instrText>
            </w:r>
            <w:r>
              <w:rPr>
                <w:noProof/>
                <w:webHidden/>
              </w:rPr>
            </w:r>
            <w:r>
              <w:rPr>
                <w:noProof/>
                <w:webHidden/>
              </w:rPr>
              <w:fldChar w:fldCharType="separate"/>
            </w:r>
            <w:r>
              <w:rPr>
                <w:noProof/>
                <w:webHidden/>
              </w:rPr>
              <w:t>10</w:t>
            </w:r>
            <w:r>
              <w:rPr>
                <w:noProof/>
                <w:webHidden/>
              </w:rPr>
              <w:fldChar w:fldCharType="end"/>
            </w:r>
          </w:hyperlink>
        </w:p>
        <w:p w:rsidR="00E557B6" w:rsidRDefault="00E557B6">
          <w:pPr>
            <w:pStyle w:val="TM2"/>
            <w:tabs>
              <w:tab w:val="right" w:leader="dot" w:pos="10070"/>
            </w:tabs>
            <w:rPr>
              <w:noProof/>
            </w:rPr>
          </w:pPr>
          <w:hyperlink w:anchor="_Toc26517351" w:history="1">
            <w:r w:rsidRPr="003521EB">
              <w:rPr>
                <w:rStyle w:val="Lienhypertexte"/>
                <w:rFonts w:ascii="Arial" w:hAnsi="Arial" w:cs="Arial"/>
                <w:noProof/>
              </w:rPr>
              <w:t>Fausse présomption de dédoublement</w:t>
            </w:r>
            <w:r>
              <w:rPr>
                <w:noProof/>
                <w:webHidden/>
              </w:rPr>
              <w:tab/>
            </w:r>
            <w:r>
              <w:rPr>
                <w:noProof/>
                <w:webHidden/>
              </w:rPr>
              <w:fldChar w:fldCharType="begin"/>
            </w:r>
            <w:r>
              <w:rPr>
                <w:noProof/>
                <w:webHidden/>
              </w:rPr>
              <w:instrText xml:space="preserve"> PAGEREF _Toc26517351 \h </w:instrText>
            </w:r>
            <w:r>
              <w:rPr>
                <w:noProof/>
                <w:webHidden/>
              </w:rPr>
            </w:r>
            <w:r>
              <w:rPr>
                <w:noProof/>
                <w:webHidden/>
              </w:rPr>
              <w:fldChar w:fldCharType="separate"/>
            </w:r>
            <w:r>
              <w:rPr>
                <w:noProof/>
                <w:webHidden/>
              </w:rPr>
              <w:t>10</w:t>
            </w:r>
            <w:r>
              <w:rPr>
                <w:noProof/>
                <w:webHidden/>
              </w:rPr>
              <w:fldChar w:fldCharType="end"/>
            </w:r>
          </w:hyperlink>
        </w:p>
        <w:p w:rsidR="00E557B6" w:rsidRDefault="00E557B6">
          <w:pPr>
            <w:pStyle w:val="TM2"/>
            <w:tabs>
              <w:tab w:val="right" w:leader="dot" w:pos="10070"/>
            </w:tabs>
            <w:rPr>
              <w:noProof/>
            </w:rPr>
          </w:pPr>
          <w:hyperlink w:anchor="_Toc26517352" w:history="1">
            <w:r w:rsidRPr="003521EB">
              <w:rPr>
                <w:rStyle w:val="Lienhypertexte"/>
                <w:rFonts w:ascii="Arial" w:hAnsi="Arial" w:cs="Arial"/>
                <w:noProof/>
              </w:rPr>
              <w:t>Fausse association au lobbyisme</w:t>
            </w:r>
            <w:r>
              <w:rPr>
                <w:noProof/>
                <w:webHidden/>
              </w:rPr>
              <w:tab/>
            </w:r>
            <w:r>
              <w:rPr>
                <w:noProof/>
                <w:webHidden/>
              </w:rPr>
              <w:fldChar w:fldCharType="begin"/>
            </w:r>
            <w:r>
              <w:rPr>
                <w:noProof/>
                <w:webHidden/>
              </w:rPr>
              <w:instrText xml:space="preserve"> PAGEREF _Toc26517352 \h </w:instrText>
            </w:r>
            <w:r>
              <w:rPr>
                <w:noProof/>
                <w:webHidden/>
              </w:rPr>
            </w:r>
            <w:r>
              <w:rPr>
                <w:noProof/>
                <w:webHidden/>
              </w:rPr>
              <w:fldChar w:fldCharType="separate"/>
            </w:r>
            <w:r>
              <w:rPr>
                <w:noProof/>
                <w:webHidden/>
              </w:rPr>
              <w:t>11</w:t>
            </w:r>
            <w:r>
              <w:rPr>
                <w:noProof/>
                <w:webHidden/>
              </w:rPr>
              <w:fldChar w:fldCharType="end"/>
            </w:r>
          </w:hyperlink>
        </w:p>
        <w:p w:rsidR="00E557B6" w:rsidRDefault="00E557B6">
          <w:pPr>
            <w:pStyle w:val="TM1"/>
            <w:tabs>
              <w:tab w:val="right" w:leader="dot" w:pos="10070"/>
            </w:tabs>
            <w:rPr>
              <w:noProof/>
            </w:rPr>
          </w:pPr>
          <w:hyperlink w:anchor="_Toc26517353" w:history="1">
            <w:r w:rsidRPr="003521EB">
              <w:rPr>
                <w:rStyle w:val="Lienhypertexte"/>
                <w:rFonts w:ascii="Arial" w:hAnsi="Arial" w:cs="Arial"/>
                <w:noProof/>
              </w:rPr>
              <w:t>Conclusion</w:t>
            </w:r>
            <w:r>
              <w:rPr>
                <w:noProof/>
                <w:webHidden/>
              </w:rPr>
              <w:tab/>
            </w:r>
            <w:r>
              <w:rPr>
                <w:noProof/>
                <w:webHidden/>
              </w:rPr>
              <w:fldChar w:fldCharType="begin"/>
            </w:r>
            <w:r>
              <w:rPr>
                <w:noProof/>
                <w:webHidden/>
              </w:rPr>
              <w:instrText xml:space="preserve"> PAGEREF _Toc26517353 \h </w:instrText>
            </w:r>
            <w:r>
              <w:rPr>
                <w:noProof/>
                <w:webHidden/>
              </w:rPr>
            </w:r>
            <w:r>
              <w:rPr>
                <w:noProof/>
                <w:webHidden/>
              </w:rPr>
              <w:fldChar w:fldCharType="separate"/>
            </w:r>
            <w:r>
              <w:rPr>
                <w:noProof/>
                <w:webHidden/>
              </w:rPr>
              <w:t>12</w:t>
            </w:r>
            <w:r>
              <w:rPr>
                <w:noProof/>
                <w:webHidden/>
              </w:rPr>
              <w:fldChar w:fldCharType="end"/>
            </w:r>
          </w:hyperlink>
        </w:p>
        <w:p w:rsidR="00E557B6" w:rsidRDefault="00E557B6">
          <w:pPr>
            <w:pStyle w:val="TM1"/>
            <w:tabs>
              <w:tab w:val="right" w:leader="dot" w:pos="10070"/>
            </w:tabs>
            <w:rPr>
              <w:noProof/>
            </w:rPr>
          </w:pPr>
          <w:hyperlink w:anchor="_Toc26517354" w:history="1">
            <w:r w:rsidRPr="003521EB">
              <w:rPr>
                <w:rStyle w:val="Lienhypertexte"/>
                <w:rFonts w:ascii="Arial" w:hAnsi="Arial" w:cs="Arial"/>
                <w:noProof/>
              </w:rPr>
              <w:t>Liste des recommandations</w:t>
            </w:r>
            <w:r>
              <w:rPr>
                <w:noProof/>
                <w:webHidden/>
              </w:rPr>
              <w:tab/>
            </w:r>
            <w:r>
              <w:rPr>
                <w:noProof/>
                <w:webHidden/>
              </w:rPr>
              <w:fldChar w:fldCharType="begin"/>
            </w:r>
            <w:r>
              <w:rPr>
                <w:noProof/>
                <w:webHidden/>
              </w:rPr>
              <w:instrText xml:space="preserve"> PAGEREF _Toc26517354 \h </w:instrText>
            </w:r>
            <w:r>
              <w:rPr>
                <w:noProof/>
                <w:webHidden/>
              </w:rPr>
            </w:r>
            <w:r>
              <w:rPr>
                <w:noProof/>
                <w:webHidden/>
              </w:rPr>
              <w:fldChar w:fldCharType="separate"/>
            </w:r>
            <w:r>
              <w:rPr>
                <w:noProof/>
                <w:webHidden/>
              </w:rPr>
              <w:t>13</w:t>
            </w:r>
            <w:r>
              <w:rPr>
                <w:noProof/>
                <w:webHidden/>
              </w:rPr>
              <w:fldChar w:fldCharType="end"/>
            </w:r>
          </w:hyperlink>
        </w:p>
        <w:p w:rsidR="000641B7" w:rsidRPr="00AB715B" w:rsidRDefault="00FF17AA">
          <w:pPr>
            <w:rPr>
              <w:rFonts w:ascii="Arial" w:hAnsi="Arial" w:cs="Arial"/>
              <w:lang w:val="fr-FR"/>
            </w:rPr>
            <w:sectPr w:rsidR="000641B7" w:rsidRPr="00AB715B" w:rsidSect="009352E2">
              <w:footerReference w:type="default" r:id="rId19"/>
              <w:pgSz w:w="12240" w:h="15840"/>
              <w:pgMar w:top="1440" w:right="1080" w:bottom="1440" w:left="1080" w:header="708" w:footer="708" w:gutter="0"/>
              <w:cols w:space="708"/>
              <w:docGrid w:linePitch="360"/>
            </w:sectPr>
          </w:pPr>
          <w:r w:rsidRPr="00261869">
            <w:rPr>
              <w:rFonts w:ascii="Arial" w:hAnsi="Arial" w:cs="Arial"/>
              <w:lang w:val="fr-FR"/>
            </w:rPr>
            <w:fldChar w:fldCharType="end"/>
          </w:r>
        </w:p>
        <w:bookmarkStart w:id="0" w:name="_GoBack" w:displacedByCustomXml="next"/>
        <w:bookmarkEnd w:id="0" w:displacedByCustomXml="next"/>
      </w:sdtContent>
    </w:sdt>
    <w:p w:rsidR="000641B7" w:rsidRPr="0046364E" w:rsidRDefault="000641B7" w:rsidP="000641B7">
      <w:pPr>
        <w:pStyle w:val="Titre1"/>
        <w:rPr>
          <w:rFonts w:ascii="Arial" w:hAnsi="Arial" w:cs="Arial"/>
          <w:color w:val="auto"/>
        </w:rPr>
      </w:pPr>
      <w:bookmarkStart w:id="1" w:name="_Toc26517337"/>
      <w:r w:rsidRPr="0046364E">
        <w:rPr>
          <w:rFonts w:ascii="Arial" w:hAnsi="Arial" w:cs="Arial"/>
          <w:color w:val="auto"/>
        </w:rPr>
        <w:lastRenderedPageBreak/>
        <w:t>Introduction</w:t>
      </w:r>
      <w:bookmarkEnd w:id="1"/>
    </w:p>
    <w:p w:rsidR="00E00521" w:rsidRDefault="0031308B" w:rsidP="00754641">
      <w:pPr>
        <w:rPr>
          <w:rFonts w:ascii="Arial" w:hAnsi="Arial" w:cs="Arial"/>
          <w:sz w:val="24"/>
          <w:szCs w:val="24"/>
        </w:rPr>
      </w:pPr>
      <w:r>
        <w:rPr>
          <w:rFonts w:ascii="Arial" w:hAnsi="Arial" w:cs="Arial"/>
          <w:sz w:val="24"/>
          <w:szCs w:val="24"/>
        </w:rPr>
        <w:t>En mai 2019, l</w:t>
      </w:r>
      <w:r w:rsidR="00F6156E" w:rsidRPr="0046364E">
        <w:rPr>
          <w:rFonts w:ascii="Arial" w:hAnsi="Arial" w:cs="Arial"/>
          <w:sz w:val="24"/>
          <w:szCs w:val="24"/>
        </w:rPr>
        <w:t xml:space="preserve">e </w:t>
      </w:r>
      <w:r w:rsidR="009628FA">
        <w:rPr>
          <w:rFonts w:ascii="Arial" w:hAnsi="Arial" w:cs="Arial"/>
          <w:sz w:val="24"/>
          <w:szCs w:val="24"/>
        </w:rPr>
        <w:t>m</w:t>
      </w:r>
      <w:r w:rsidR="00F6156E" w:rsidRPr="0046364E">
        <w:rPr>
          <w:rFonts w:ascii="Arial" w:hAnsi="Arial" w:cs="Arial"/>
          <w:sz w:val="24"/>
          <w:szCs w:val="24"/>
        </w:rPr>
        <w:t xml:space="preserve">inistère </w:t>
      </w:r>
      <w:r w:rsidR="001508DD" w:rsidRPr="0046364E">
        <w:rPr>
          <w:rFonts w:ascii="Arial" w:hAnsi="Arial" w:cs="Arial"/>
          <w:sz w:val="24"/>
          <w:szCs w:val="24"/>
        </w:rPr>
        <w:t xml:space="preserve">du Travail, de l’Emploi et de la Solidarité </w:t>
      </w:r>
      <w:r>
        <w:rPr>
          <w:rFonts w:ascii="Arial" w:hAnsi="Arial" w:cs="Arial"/>
          <w:sz w:val="24"/>
          <w:szCs w:val="24"/>
        </w:rPr>
        <w:t xml:space="preserve">sociale (MTESS) </w:t>
      </w:r>
      <w:r w:rsidR="001508DD" w:rsidRPr="0046364E">
        <w:rPr>
          <w:rFonts w:ascii="Arial" w:hAnsi="Arial" w:cs="Arial"/>
          <w:sz w:val="24"/>
          <w:szCs w:val="24"/>
        </w:rPr>
        <w:t xml:space="preserve">a lancé des consultations en vue de l’élaboration du </w:t>
      </w:r>
      <w:r w:rsidR="00762781">
        <w:rPr>
          <w:rFonts w:ascii="Arial" w:hAnsi="Arial" w:cs="Arial"/>
          <w:sz w:val="24"/>
          <w:szCs w:val="24"/>
        </w:rPr>
        <w:t xml:space="preserve">second </w:t>
      </w:r>
      <w:r w:rsidR="00EC64B9">
        <w:rPr>
          <w:rFonts w:ascii="Arial" w:hAnsi="Arial" w:cs="Arial"/>
          <w:sz w:val="24"/>
          <w:szCs w:val="24"/>
        </w:rPr>
        <w:t>P</w:t>
      </w:r>
      <w:r w:rsidR="001508DD" w:rsidRPr="0046364E">
        <w:rPr>
          <w:rFonts w:ascii="Arial" w:hAnsi="Arial" w:cs="Arial"/>
          <w:sz w:val="24"/>
          <w:szCs w:val="24"/>
        </w:rPr>
        <w:t>lan d’action gouvernemental en matière d’action communautaire</w:t>
      </w:r>
      <w:r>
        <w:rPr>
          <w:rFonts w:ascii="Arial" w:hAnsi="Arial" w:cs="Arial"/>
          <w:sz w:val="24"/>
          <w:szCs w:val="24"/>
        </w:rPr>
        <w:t xml:space="preserve"> (PAGAC)</w:t>
      </w:r>
      <w:r w:rsidR="00F6156E" w:rsidRPr="0046364E">
        <w:rPr>
          <w:rFonts w:ascii="Arial" w:hAnsi="Arial" w:cs="Arial"/>
          <w:sz w:val="24"/>
          <w:szCs w:val="24"/>
        </w:rPr>
        <w:t>. Le présent document contient</w:t>
      </w:r>
      <w:r w:rsidR="00762781">
        <w:rPr>
          <w:rFonts w:ascii="Arial" w:hAnsi="Arial" w:cs="Arial"/>
          <w:sz w:val="24"/>
          <w:szCs w:val="24"/>
        </w:rPr>
        <w:t xml:space="preserve"> ainsi</w:t>
      </w:r>
      <w:r w:rsidR="00F6156E" w:rsidRPr="0046364E">
        <w:rPr>
          <w:rFonts w:ascii="Arial" w:hAnsi="Arial" w:cs="Arial"/>
          <w:sz w:val="24"/>
          <w:szCs w:val="24"/>
        </w:rPr>
        <w:t xml:space="preserve"> les commentaires de la Confédération des organismes de personnes handicapées du Québec (COPHAN)</w:t>
      </w:r>
      <w:r w:rsidR="00762781">
        <w:rPr>
          <w:rFonts w:ascii="Arial" w:hAnsi="Arial" w:cs="Arial"/>
          <w:sz w:val="24"/>
          <w:szCs w:val="24"/>
        </w:rPr>
        <w:t xml:space="preserve"> en lien avec le document de consultation</w:t>
      </w:r>
      <w:r w:rsidR="002926A4">
        <w:rPr>
          <w:rFonts w:ascii="Arial" w:hAnsi="Arial" w:cs="Arial"/>
          <w:sz w:val="24"/>
          <w:szCs w:val="24"/>
        </w:rPr>
        <w:t>.</w:t>
      </w:r>
      <w:r w:rsidR="0077784C">
        <w:rPr>
          <w:rFonts w:ascii="Arial" w:hAnsi="Arial" w:cs="Arial"/>
          <w:sz w:val="24"/>
          <w:szCs w:val="24"/>
        </w:rPr>
        <w:t xml:space="preserve"> </w:t>
      </w:r>
    </w:p>
    <w:p w:rsidR="005E6C20" w:rsidRDefault="005E6C20" w:rsidP="005E6C20">
      <w:pPr>
        <w:rPr>
          <w:rFonts w:ascii="Arial" w:hAnsi="Arial" w:cs="Arial"/>
          <w:sz w:val="24"/>
          <w:szCs w:val="24"/>
        </w:rPr>
      </w:pPr>
      <w:r>
        <w:rPr>
          <w:rFonts w:ascii="Arial" w:hAnsi="Arial" w:cs="Arial"/>
          <w:sz w:val="24"/>
          <w:szCs w:val="24"/>
        </w:rPr>
        <w:t>Pour la rédaction du présent mémoire, la COPHAN s’est inspirée en grande partie du mémoire du R</w:t>
      </w:r>
      <w:r w:rsidR="00050F21">
        <w:rPr>
          <w:rFonts w:ascii="Arial" w:hAnsi="Arial" w:cs="Arial"/>
          <w:sz w:val="24"/>
          <w:szCs w:val="24"/>
        </w:rPr>
        <w:t>éseau québécois d’action communautaire autonome (R</w:t>
      </w:r>
      <w:r>
        <w:rPr>
          <w:rFonts w:ascii="Arial" w:hAnsi="Arial" w:cs="Arial"/>
          <w:sz w:val="24"/>
          <w:szCs w:val="24"/>
        </w:rPr>
        <w:t>Q-ACA</w:t>
      </w:r>
      <w:r w:rsidR="00050F21">
        <w:rPr>
          <w:rFonts w:ascii="Arial" w:hAnsi="Arial" w:cs="Arial"/>
          <w:sz w:val="24"/>
          <w:szCs w:val="24"/>
        </w:rPr>
        <w:t>)</w:t>
      </w:r>
      <w:r>
        <w:rPr>
          <w:rFonts w:ascii="Arial" w:hAnsi="Arial" w:cs="Arial"/>
          <w:sz w:val="24"/>
          <w:szCs w:val="24"/>
        </w:rPr>
        <w:t xml:space="preserve">. </w:t>
      </w:r>
      <w:r w:rsidR="004021AF">
        <w:rPr>
          <w:rFonts w:ascii="Arial" w:hAnsi="Arial" w:cs="Arial"/>
          <w:sz w:val="24"/>
          <w:szCs w:val="24"/>
        </w:rPr>
        <w:t>D’ailleurs en tant que membre du RQ-ACA, nous appuyons leurs recommandations en apportant toutefois une nuance à</w:t>
      </w:r>
      <w:r>
        <w:rPr>
          <w:rFonts w:ascii="Arial" w:hAnsi="Arial" w:cs="Arial"/>
          <w:sz w:val="24"/>
          <w:szCs w:val="24"/>
        </w:rPr>
        <w:t xml:space="preserve"> la recommandation à l’effet d’intégrer et d’inclure des personnes en situation de handicap dans les milieux de travail ainsi que dans la vie associative des organismes communautaires via des fonds intégrés à la mission globale. Nous sommes plutôt d’avis qu’il existe déjà des programmes pour soutenir l’inclusion des personnes ayant des limitations fonctionnelles en emploi et que ceux-ci doivent simplement être plus accessibles au milieu communautaire. </w:t>
      </w:r>
    </w:p>
    <w:p w:rsidR="00CA5452" w:rsidRDefault="00754C5C" w:rsidP="00754641">
      <w:pPr>
        <w:rPr>
          <w:rFonts w:ascii="Arial" w:hAnsi="Arial" w:cs="Arial"/>
          <w:sz w:val="24"/>
          <w:szCs w:val="24"/>
        </w:rPr>
      </w:pPr>
      <w:r>
        <w:rPr>
          <w:rFonts w:ascii="Arial" w:hAnsi="Arial" w:cs="Arial"/>
          <w:sz w:val="24"/>
          <w:szCs w:val="24"/>
        </w:rPr>
        <w:t>Dans le présent document, n</w:t>
      </w:r>
      <w:r w:rsidR="006F6214">
        <w:rPr>
          <w:rFonts w:ascii="Arial" w:hAnsi="Arial" w:cs="Arial"/>
          <w:sz w:val="24"/>
          <w:szCs w:val="24"/>
        </w:rPr>
        <w:t>ous insisto</w:t>
      </w:r>
      <w:r w:rsidR="00CA5452" w:rsidRPr="000C1AF7">
        <w:rPr>
          <w:rFonts w:ascii="Arial" w:hAnsi="Arial" w:cs="Arial"/>
          <w:sz w:val="24"/>
          <w:szCs w:val="24"/>
        </w:rPr>
        <w:t xml:space="preserve">ns pour que le </w:t>
      </w:r>
      <w:r w:rsidR="0031308B" w:rsidRPr="000C1AF7">
        <w:rPr>
          <w:rFonts w:ascii="Arial" w:hAnsi="Arial" w:cs="Arial"/>
          <w:sz w:val="24"/>
          <w:szCs w:val="24"/>
        </w:rPr>
        <w:t>PAGAC</w:t>
      </w:r>
      <w:r w:rsidR="000C1AF7">
        <w:rPr>
          <w:rFonts w:ascii="Arial" w:hAnsi="Arial" w:cs="Arial"/>
          <w:sz w:val="24"/>
          <w:szCs w:val="24"/>
        </w:rPr>
        <w:t xml:space="preserve"> tienne compte</w:t>
      </w:r>
      <w:r w:rsidR="00431600">
        <w:rPr>
          <w:rFonts w:ascii="Arial" w:hAnsi="Arial" w:cs="Arial"/>
          <w:sz w:val="24"/>
          <w:szCs w:val="24"/>
        </w:rPr>
        <w:t xml:space="preserve"> des enjeux spécifiques des personnes ayant des limitations fonctionnelles</w:t>
      </w:r>
      <w:r w:rsidR="009628FA">
        <w:rPr>
          <w:rFonts w:ascii="Arial" w:hAnsi="Arial" w:cs="Arial"/>
          <w:sz w:val="24"/>
          <w:szCs w:val="24"/>
        </w:rPr>
        <w:t>,</w:t>
      </w:r>
      <w:r w:rsidR="000C1AF7">
        <w:rPr>
          <w:rFonts w:ascii="Arial" w:hAnsi="Arial" w:cs="Arial"/>
          <w:sz w:val="24"/>
          <w:szCs w:val="24"/>
        </w:rPr>
        <w:t xml:space="preserve"> </w:t>
      </w:r>
      <w:r w:rsidR="00431600">
        <w:rPr>
          <w:rFonts w:ascii="Arial" w:hAnsi="Arial" w:cs="Arial"/>
          <w:sz w:val="24"/>
          <w:szCs w:val="24"/>
        </w:rPr>
        <w:t>à savoir</w:t>
      </w:r>
      <w:r w:rsidR="009628FA">
        <w:rPr>
          <w:rFonts w:ascii="Arial" w:hAnsi="Arial" w:cs="Arial"/>
          <w:sz w:val="24"/>
          <w:szCs w:val="24"/>
        </w:rPr>
        <w:t xml:space="preserve"> : </w:t>
      </w:r>
      <w:r w:rsidR="001153F9">
        <w:rPr>
          <w:rFonts w:ascii="Arial" w:hAnsi="Arial" w:cs="Arial"/>
          <w:sz w:val="24"/>
          <w:szCs w:val="24"/>
        </w:rPr>
        <w:t>le concept d’</w:t>
      </w:r>
      <w:r w:rsidR="007E0924">
        <w:rPr>
          <w:rFonts w:ascii="Arial" w:hAnsi="Arial" w:cs="Arial"/>
          <w:sz w:val="24"/>
          <w:szCs w:val="24"/>
        </w:rPr>
        <w:t>handi-responsabilité, la reconnaissance des frais supplémentaire</w:t>
      </w:r>
      <w:r w:rsidR="00A17A2A">
        <w:rPr>
          <w:rFonts w:ascii="Arial" w:hAnsi="Arial" w:cs="Arial"/>
          <w:sz w:val="24"/>
          <w:szCs w:val="24"/>
        </w:rPr>
        <w:t>s</w:t>
      </w:r>
      <w:r w:rsidR="007E0924">
        <w:rPr>
          <w:rFonts w:ascii="Arial" w:hAnsi="Arial" w:cs="Arial"/>
          <w:sz w:val="24"/>
          <w:szCs w:val="24"/>
        </w:rPr>
        <w:t xml:space="preserve"> lié</w:t>
      </w:r>
      <w:r w:rsidR="00A17A2A">
        <w:rPr>
          <w:rFonts w:ascii="Arial" w:hAnsi="Arial" w:cs="Arial"/>
          <w:sz w:val="24"/>
          <w:szCs w:val="24"/>
        </w:rPr>
        <w:t>s</w:t>
      </w:r>
      <w:r w:rsidR="007E0924">
        <w:rPr>
          <w:rFonts w:ascii="Arial" w:hAnsi="Arial" w:cs="Arial"/>
          <w:sz w:val="24"/>
          <w:szCs w:val="24"/>
        </w:rPr>
        <w:t xml:space="preserve"> à la participation </w:t>
      </w:r>
      <w:r w:rsidR="00B22863" w:rsidRPr="000D498E">
        <w:rPr>
          <w:rFonts w:ascii="Arial" w:hAnsi="Arial" w:cs="Arial"/>
          <w:sz w:val="24"/>
          <w:szCs w:val="24"/>
        </w:rPr>
        <w:t xml:space="preserve">des personnes ayant des limitations </w:t>
      </w:r>
      <w:r w:rsidR="001153F9">
        <w:rPr>
          <w:rFonts w:ascii="Arial" w:hAnsi="Arial" w:cs="Arial"/>
          <w:sz w:val="24"/>
          <w:szCs w:val="24"/>
        </w:rPr>
        <w:t xml:space="preserve">fonctionnelles </w:t>
      </w:r>
      <w:r w:rsidR="00431600" w:rsidRPr="000D498E">
        <w:rPr>
          <w:rFonts w:ascii="Arial" w:hAnsi="Arial" w:cs="Arial"/>
          <w:sz w:val="24"/>
          <w:szCs w:val="24"/>
        </w:rPr>
        <w:t>à la vie associative</w:t>
      </w:r>
      <w:r w:rsidR="007E0924">
        <w:rPr>
          <w:rFonts w:ascii="Arial" w:hAnsi="Arial" w:cs="Arial"/>
          <w:sz w:val="24"/>
          <w:szCs w:val="24"/>
        </w:rPr>
        <w:t xml:space="preserve">, </w:t>
      </w:r>
      <w:r w:rsidR="00431600" w:rsidRPr="000D498E">
        <w:rPr>
          <w:rFonts w:ascii="Arial" w:hAnsi="Arial" w:cs="Arial"/>
          <w:sz w:val="24"/>
          <w:szCs w:val="24"/>
        </w:rPr>
        <w:t xml:space="preserve">l’accessibilité des locaux </w:t>
      </w:r>
      <w:r w:rsidR="008A2D9E">
        <w:rPr>
          <w:rFonts w:ascii="Arial" w:hAnsi="Arial" w:cs="Arial"/>
          <w:sz w:val="24"/>
          <w:szCs w:val="24"/>
        </w:rPr>
        <w:t xml:space="preserve">et </w:t>
      </w:r>
      <w:r w:rsidR="007E0924">
        <w:rPr>
          <w:rFonts w:ascii="Arial" w:hAnsi="Arial" w:cs="Arial"/>
          <w:sz w:val="24"/>
          <w:szCs w:val="24"/>
        </w:rPr>
        <w:t>leur financement</w:t>
      </w:r>
      <w:r w:rsidR="00431600" w:rsidRPr="000D498E">
        <w:rPr>
          <w:rFonts w:ascii="Arial" w:hAnsi="Arial" w:cs="Arial"/>
          <w:sz w:val="24"/>
          <w:szCs w:val="24"/>
        </w:rPr>
        <w:t>. Nous souhaitons aussi que le</w:t>
      </w:r>
      <w:r w:rsidR="00431600">
        <w:rPr>
          <w:rFonts w:ascii="Arial" w:hAnsi="Arial" w:cs="Arial"/>
          <w:sz w:val="24"/>
          <w:szCs w:val="24"/>
        </w:rPr>
        <w:t xml:space="preserve"> </w:t>
      </w:r>
      <w:r w:rsidR="000D498E">
        <w:rPr>
          <w:rFonts w:ascii="Arial" w:hAnsi="Arial" w:cs="Arial"/>
          <w:sz w:val="24"/>
          <w:szCs w:val="24"/>
        </w:rPr>
        <w:t>PAGAC</w:t>
      </w:r>
      <w:r w:rsidR="00431600">
        <w:rPr>
          <w:rFonts w:ascii="Arial" w:hAnsi="Arial" w:cs="Arial"/>
          <w:sz w:val="24"/>
          <w:szCs w:val="24"/>
        </w:rPr>
        <w:t xml:space="preserve"> tienne également compte </w:t>
      </w:r>
      <w:r w:rsidR="000C1AF7">
        <w:rPr>
          <w:rFonts w:ascii="Arial" w:hAnsi="Arial" w:cs="Arial"/>
          <w:sz w:val="24"/>
          <w:szCs w:val="24"/>
        </w:rPr>
        <w:t xml:space="preserve">d’un meilleur financement sous différentes formes, </w:t>
      </w:r>
      <w:r w:rsidR="009628FA">
        <w:rPr>
          <w:rFonts w:ascii="Arial" w:hAnsi="Arial" w:cs="Arial"/>
          <w:sz w:val="24"/>
          <w:szCs w:val="24"/>
        </w:rPr>
        <w:t xml:space="preserve">de </w:t>
      </w:r>
      <w:r w:rsidR="000C1AF7">
        <w:rPr>
          <w:rFonts w:ascii="Arial" w:hAnsi="Arial" w:cs="Arial"/>
          <w:sz w:val="24"/>
          <w:szCs w:val="24"/>
        </w:rPr>
        <w:t xml:space="preserve">l’importance du rôle des regroupements et d’une </w:t>
      </w:r>
      <w:r w:rsidR="00904C36">
        <w:rPr>
          <w:rFonts w:ascii="Arial" w:hAnsi="Arial" w:cs="Arial"/>
          <w:sz w:val="24"/>
          <w:szCs w:val="24"/>
        </w:rPr>
        <w:t>meilleure</w:t>
      </w:r>
      <w:r w:rsidR="000C1AF7">
        <w:rPr>
          <w:rFonts w:ascii="Arial" w:hAnsi="Arial" w:cs="Arial"/>
          <w:sz w:val="24"/>
          <w:szCs w:val="24"/>
        </w:rPr>
        <w:t xml:space="preserve"> consu</w:t>
      </w:r>
      <w:r w:rsidR="00431600">
        <w:rPr>
          <w:rFonts w:ascii="Arial" w:hAnsi="Arial" w:cs="Arial"/>
          <w:sz w:val="24"/>
          <w:szCs w:val="24"/>
        </w:rPr>
        <w:t xml:space="preserve">ltation du milieu communautaire. </w:t>
      </w: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422FB2" w:rsidRDefault="00422FB2" w:rsidP="003F7DB6">
      <w:pPr>
        <w:rPr>
          <w:rFonts w:ascii="Arial" w:hAnsi="Arial" w:cs="Arial"/>
          <w:sz w:val="24"/>
          <w:szCs w:val="24"/>
        </w:rPr>
      </w:pPr>
    </w:p>
    <w:p w:rsidR="000D498E" w:rsidRDefault="000D498E" w:rsidP="003F7DB6">
      <w:pPr>
        <w:rPr>
          <w:rFonts w:ascii="Arial" w:hAnsi="Arial" w:cs="Arial"/>
          <w:sz w:val="24"/>
          <w:szCs w:val="24"/>
        </w:rPr>
      </w:pPr>
      <w:r>
        <w:rPr>
          <w:rFonts w:ascii="Arial" w:hAnsi="Arial" w:cs="Arial"/>
          <w:sz w:val="24"/>
          <w:szCs w:val="24"/>
        </w:rPr>
        <w:lastRenderedPageBreak/>
        <w:t xml:space="preserve">Selon nous, nos enjeux par ordre de priorité sont les suivants : </w:t>
      </w:r>
    </w:p>
    <w:p w:rsidR="000D498E" w:rsidRPr="00334553" w:rsidRDefault="000D498E" w:rsidP="0000222F">
      <w:pPr>
        <w:rPr>
          <w:rFonts w:ascii="Arial" w:hAnsi="Arial" w:cs="Arial"/>
          <w:b/>
          <w:sz w:val="24"/>
          <w:szCs w:val="24"/>
        </w:rPr>
      </w:pPr>
      <w:r w:rsidRPr="00334553">
        <w:rPr>
          <w:rFonts w:ascii="Arial" w:hAnsi="Arial" w:cs="Arial"/>
          <w:b/>
          <w:sz w:val="24"/>
          <w:szCs w:val="24"/>
        </w:rPr>
        <w:t>Consolidation et développem</w:t>
      </w:r>
      <w:r w:rsidR="0077784C" w:rsidRPr="00334553">
        <w:rPr>
          <w:rFonts w:ascii="Arial" w:hAnsi="Arial" w:cs="Arial"/>
          <w:b/>
          <w:sz w:val="24"/>
          <w:szCs w:val="24"/>
        </w:rPr>
        <w:t>ent de l’action communautaire </w:t>
      </w:r>
    </w:p>
    <w:p w:rsidR="0077784C" w:rsidRDefault="0077784C" w:rsidP="0077784C">
      <w:pPr>
        <w:pStyle w:val="Paragraphedeliste"/>
        <w:numPr>
          <w:ilvl w:val="0"/>
          <w:numId w:val="24"/>
        </w:numPr>
        <w:rPr>
          <w:rFonts w:ascii="Arial" w:hAnsi="Arial" w:cs="Arial"/>
          <w:sz w:val="24"/>
          <w:szCs w:val="24"/>
        </w:rPr>
      </w:pPr>
      <w:r>
        <w:rPr>
          <w:rFonts w:ascii="Arial" w:hAnsi="Arial" w:cs="Arial"/>
          <w:sz w:val="24"/>
          <w:szCs w:val="24"/>
        </w:rPr>
        <w:t xml:space="preserve">Participation des personnes ayant des limitations fonctionnelles à la vie associative des organismes </w:t>
      </w:r>
    </w:p>
    <w:p w:rsidR="0077784C" w:rsidRDefault="009628FA" w:rsidP="0077784C">
      <w:pPr>
        <w:pStyle w:val="Paragraphedeliste"/>
        <w:numPr>
          <w:ilvl w:val="0"/>
          <w:numId w:val="24"/>
        </w:numPr>
        <w:rPr>
          <w:rFonts w:ascii="Arial" w:hAnsi="Arial" w:cs="Arial"/>
          <w:sz w:val="24"/>
          <w:szCs w:val="24"/>
        </w:rPr>
      </w:pPr>
      <w:r>
        <w:rPr>
          <w:rFonts w:ascii="Arial" w:hAnsi="Arial" w:cs="Arial"/>
          <w:sz w:val="24"/>
          <w:szCs w:val="24"/>
        </w:rPr>
        <w:t>F</w:t>
      </w:r>
      <w:r w:rsidR="0077784C">
        <w:rPr>
          <w:rFonts w:ascii="Arial" w:hAnsi="Arial" w:cs="Arial"/>
          <w:sz w:val="24"/>
          <w:szCs w:val="24"/>
        </w:rPr>
        <w:t xml:space="preserve">inancement </w:t>
      </w:r>
      <w:r>
        <w:rPr>
          <w:rFonts w:ascii="Arial" w:hAnsi="Arial" w:cs="Arial"/>
          <w:sz w:val="24"/>
          <w:szCs w:val="24"/>
        </w:rPr>
        <w:t>de la mission globale</w:t>
      </w:r>
    </w:p>
    <w:p w:rsidR="0077784C" w:rsidRDefault="0077784C" w:rsidP="0077784C">
      <w:pPr>
        <w:pStyle w:val="Paragraphedeliste"/>
        <w:numPr>
          <w:ilvl w:val="0"/>
          <w:numId w:val="24"/>
        </w:numPr>
        <w:rPr>
          <w:rFonts w:ascii="Arial" w:hAnsi="Arial" w:cs="Arial"/>
          <w:sz w:val="24"/>
          <w:szCs w:val="24"/>
        </w:rPr>
      </w:pPr>
      <w:r>
        <w:rPr>
          <w:rFonts w:ascii="Arial" w:hAnsi="Arial" w:cs="Arial"/>
          <w:sz w:val="24"/>
          <w:szCs w:val="24"/>
        </w:rPr>
        <w:t xml:space="preserve">Récurrence et reconduction </w:t>
      </w:r>
    </w:p>
    <w:p w:rsidR="0077784C" w:rsidRDefault="0077784C" w:rsidP="0077784C">
      <w:pPr>
        <w:pStyle w:val="Paragraphedeliste"/>
        <w:numPr>
          <w:ilvl w:val="0"/>
          <w:numId w:val="24"/>
        </w:numPr>
        <w:rPr>
          <w:rFonts w:ascii="Arial" w:hAnsi="Arial" w:cs="Arial"/>
          <w:sz w:val="24"/>
          <w:szCs w:val="24"/>
        </w:rPr>
      </w:pPr>
      <w:r>
        <w:rPr>
          <w:rFonts w:ascii="Arial" w:hAnsi="Arial" w:cs="Arial"/>
          <w:sz w:val="24"/>
          <w:szCs w:val="24"/>
        </w:rPr>
        <w:t xml:space="preserve">Financement des projets ponctuels </w:t>
      </w:r>
    </w:p>
    <w:p w:rsidR="0077784C" w:rsidRPr="0077784C" w:rsidRDefault="009628FA" w:rsidP="0077784C">
      <w:pPr>
        <w:pStyle w:val="Paragraphedeliste"/>
        <w:numPr>
          <w:ilvl w:val="0"/>
          <w:numId w:val="24"/>
        </w:numPr>
        <w:rPr>
          <w:rFonts w:ascii="Arial" w:hAnsi="Arial" w:cs="Arial"/>
          <w:sz w:val="24"/>
          <w:szCs w:val="24"/>
        </w:rPr>
      </w:pPr>
      <w:r>
        <w:rPr>
          <w:rFonts w:ascii="Arial" w:hAnsi="Arial" w:cs="Arial"/>
          <w:sz w:val="24"/>
          <w:szCs w:val="24"/>
        </w:rPr>
        <w:t>H</w:t>
      </w:r>
      <w:r w:rsidR="0077784C">
        <w:rPr>
          <w:rFonts w:ascii="Arial" w:hAnsi="Arial" w:cs="Arial"/>
          <w:sz w:val="24"/>
          <w:szCs w:val="24"/>
        </w:rPr>
        <w:t>armonisation du financement entre les différentes régions</w:t>
      </w:r>
    </w:p>
    <w:p w:rsidR="000D498E" w:rsidRPr="00334553" w:rsidRDefault="000D498E" w:rsidP="0000222F">
      <w:pPr>
        <w:rPr>
          <w:rFonts w:ascii="Arial" w:hAnsi="Arial" w:cs="Arial"/>
          <w:b/>
          <w:sz w:val="24"/>
          <w:szCs w:val="24"/>
        </w:rPr>
      </w:pPr>
      <w:r w:rsidRPr="00334553">
        <w:rPr>
          <w:rFonts w:ascii="Arial" w:hAnsi="Arial" w:cs="Arial"/>
          <w:b/>
          <w:sz w:val="24"/>
          <w:szCs w:val="24"/>
        </w:rPr>
        <w:t>Cohérenc</w:t>
      </w:r>
      <w:r w:rsidR="0077784C" w:rsidRPr="00334553">
        <w:rPr>
          <w:rFonts w:ascii="Arial" w:hAnsi="Arial" w:cs="Arial"/>
          <w:b/>
          <w:sz w:val="24"/>
          <w:szCs w:val="24"/>
        </w:rPr>
        <w:t>e de l’action gouvernementale </w:t>
      </w:r>
    </w:p>
    <w:p w:rsidR="0077784C" w:rsidRPr="0001235D" w:rsidRDefault="009628FA" w:rsidP="0077784C">
      <w:pPr>
        <w:pStyle w:val="Paragraphedeliste"/>
        <w:numPr>
          <w:ilvl w:val="0"/>
          <w:numId w:val="25"/>
        </w:numPr>
        <w:rPr>
          <w:rFonts w:ascii="Arial" w:hAnsi="Arial" w:cs="Arial"/>
          <w:sz w:val="24"/>
          <w:szCs w:val="24"/>
        </w:rPr>
      </w:pPr>
      <w:r w:rsidRPr="0001235D">
        <w:rPr>
          <w:rFonts w:ascii="Arial" w:hAnsi="Arial" w:cs="Arial"/>
          <w:sz w:val="24"/>
          <w:szCs w:val="24"/>
        </w:rPr>
        <w:t>Inclusion d’une clause d’h</w:t>
      </w:r>
      <w:r w:rsidR="0077784C" w:rsidRPr="0001235D">
        <w:rPr>
          <w:rFonts w:ascii="Arial" w:hAnsi="Arial" w:cs="Arial"/>
          <w:sz w:val="24"/>
          <w:szCs w:val="24"/>
        </w:rPr>
        <w:t xml:space="preserve">andi-responsabilité </w:t>
      </w:r>
    </w:p>
    <w:p w:rsidR="0077784C" w:rsidRDefault="0077784C" w:rsidP="0077784C">
      <w:pPr>
        <w:pStyle w:val="Paragraphedeliste"/>
        <w:numPr>
          <w:ilvl w:val="0"/>
          <w:numId w:val="25"/>
        </w:numPr>
        <w:rPr>
          <w:rFonts w:ascii="Arial" w:hAnsi="Arial" w:cs="Arial"/>
          <w:sz w:val="24"/>
          <w:szCs w:val="24"/>
        </w:rPr>
      </w:pPr>
      <w:r>
        <w:rPr>
          <w:rFonts w:ascii="Arial" w:hAnsi="Arial" w:cs="Arial"/>
          <w:sz w:val="24"/>
          <w:szCs w:val="24"/>
        </w:rPr>
        <w:t>Accessibilité des formulaires de reconnaissance, de financement et de reddition de compte</w:t>
      </w:r>
    </w:p>
    <w:p w:rsidR="0077784C" w:rsidRPr="0077784C" w:rsidRDefault="0077784C" w:rsidP="0077784C">
      <w:pPr>
        <w:pStyle w:val="Paragraphedeliste"/>
        <w:numPr>
          <w:ilvl w:val="0"/>
          <w:numId w:val="25"/>
        </w:numPr>
        <w:rPr>
          <w:rFonts w:ascii="Arial" w:hAnsi="Arial" w:cs="Arial"/>
          <w:sz w:val="24"/>
          <w:szCs w:val="24"/>
        </w:rPr>
      </w:pPr>
      <w:r>
        <w:rPr>
          <w:rFonts w:ascii="Arial" w:hAnsi="Arial" w:cs="Arial"/>
          <w:sz w:val="24"/>
          <w:szCs w:val="24"/>
        </w:rPr>
        <w:t xml:space="preserve">Application de la Politique de reconnaissance de l’action communautaire </w:t>
      </w:r>
    </w:p>
    <w:p w:rsidR="000D498E" w:rsidRPr="00334553" w:rsidRDefault="000D498E" w:rsidP="0000222F">
      <w:pPr>
        <w:rPr>
          <w:rFonts w:ascii="Arial" w:hAnsi="Arial" w:cs="Arial"/>
          <w:b/>
          <w:sz w:val="24"/>
          <w:szCs w:val="24"/>
        </w:rPr>
      </w:pPr>
      <w:r w:rsidRPr="00334553">
        <w:rPr>
          <w:rFonts w:ascii="Arial" w:hAnsi="Arial" w:cs="Arial"/>
          <w:b/>
          <w:sz w:val="24"/>
          <w:szCs w:val="24"/>
        </w:rPr>
        <w:t xml:space="preserve">Promotion </w:t>
      </w:r>
      <w:r w:rsidR="0077784C" w:rsidRPr="00334553">
        <w:rPr>
          <w:rFonts w:ascii="Arial" w:hAnsi="Arial" w:cs="Arial"/>
          <w:b/>
          <w:sz w:val="24"/>
          <w:szCs w:val="24"/>
        </w:rPr>
        <w:t>et valorisation de l’action communautaire </w:t>
      </w:r>
    </w:p>
    <w:p w:rsidR="0077784C" w:rsidRDefault="0077784C" w:rsidP="0077784C">
      <w:pPr>
        <w:pStyle w:val="Paragraphedeliste"/>
        <w:numPr>
          <w:ilvl w:val="0"/>
          <w:numId w:val="26"/>
        </w:numPr>
        <w:rPr>
          <w:rFonts w:ascii="Arial" w:hAnsi="Arial" w:cs="Arial"/>
          <w:sz w:val="24"/>
          <w:szCs w:val="24"/>
        </w:rPr>
      </w:pPr>
      <w:r>
        <w:rPr>
          <w:rFonts w:ascii="Arial" w:hAnsi="Arial" w:cs="Arial"/>
          <w:sz w:val="24"/>
          <w:szCs w:val="24"/>
        </w:rPr>
        <w:t>Consultation du milieu communautaire</w:t>
      </w:r>
    </w:p>
    <w:p w:rsidR="0077784C" w:rsidRDefault="009628FA" w:rsidP="0077784C">
      <w:pPr>
        <w:pStyle w:val="Paragraphedeliste"/>
        <w:numPr>
          <w:ilvl w:val="0"/>
          <w:numId w:val="26"/>
        </w:numPr>
        <w:rPr>
          <w:rFonts w:ascii="Arial" w:hAnsi="Arial" w:cs="Arial"/>
          <w:sz w:val="24"/>
          <w:szCs w:val="24"/>
        </w:rPr>
      </w:pPr>
      <w:r>
        <w:rPr>
          <w:rFonts w:ascii="Arial" w:hAnsi="Arial" w:cs="Arial"/>
          <w:sz w:val="24"/>
          <w:szCs w:val="24"/>
        </w:rPr>
        <w:t xml:space="preserve">Rôle important </w:t>
      </w:r>
      <w:r w:rsidR="0077784C">
        <w:rPr>
          <w:rFonts w:ascii="Arial" w:hAnsi="Arial" w:cs="Arial"/>
          <w:sz w:val="24"/>
          <w:szCs w:val="24"/>
        </w:rPr>
        <w:t xml:space="preserve">des regroupements </w:t>
      </w:r>
    </w:p>
    <w:p w:rsidR="0077784C" w:rsidRDefault="0077784C" w:rsidP="0077784C">
      <w:pPr>
        <w:pStyle w:val="Paragraphedeliste"/>
        <w:numPr>
          <w:ilvl w:val="0"/>
          <w:numId w:val="26"/>
        </w:numPr>
        <w:rPr>
          <w:rFonts w:ascii="Arial" w:hAnsi="Arial" w:cs="Arial"/>
          <w:sz w:val="24"/>
          <w:szCs w:val="24"/>
        </w:rPr>
      </w:pPr>
      <w:r>
        <w:rPr>
          <w:rFonts w:ascii="Arial" w:hAnsi="Arial" w:cs="Arial"/>
          <w:sz w:val="24"/>
          <w:szCs w:val="24"/>
        </w:rPr>
        <w:t>Fausse présomption de dédoublement</w:t>
      </w:r>
    </w:p>
    <w:p w:rsidR="0077784C" w:rsidRPr="0077784C" w:rsidRDefault="009628FA" w:rsidP="0077784C">
      <w:pPr>
        <w:pStyle w:val="Paragraphedeliste"/>
        <w:numPr>
          <w:ilvl w:val="0"/>
          <w:numId w:val="26"/>
        </w:numPr>
        <w:rPr>
          <w:rFonts w:ascii="Arial" w:hAnsi="Arial" w:cs="Arial"/>
          <w:sz w:val="24"/>
          <w:szCs w:val="24"/>
        </w:rPr>
      </w:pPr>
      <w:r>
        <w:rPr>
          <w:rFonts w:ascii="Arial" w:hAnsi="Arial" w:cs="Arial"/>
          <w:sz w:val="24"/>
          <w:szCs w:val="24"/>
        </w:rPr>
        <w:t>Fausse association au l</w:t>
      </w:r>
      <w:r w:rsidR="0077784C">
        <w:rPr>
          <w:rFonts w:ascii="Arial" w:hAnsi="Arial" w:cs="Arial"/>
          <w:sz w:val="24"/>
          <w:szCs w:val="24"/>
        </w:rPr>
        <w:t xml:space="preserve">obbyisme </w:t>
      </w:r>
    </w:p>
    <w:p w:rsidR="00422FB2" w:rsidRDefault="00422FB2" w:rsidP="00956CD9">
      <w:pPr>
        <w:pStyle w:val="Titre1"/>
        <w:spacing w:after="200"/>
        <w:rPr>
          <w:rFonts w:ascii="Arial" w:hAnsi="Arial" w:cs="Arial"/>
          <w:sz w:val="32"/>
          <w:szCs w:val="32"/>
        </w:rPr>
      </w:pPr>
    </w:p>
    <w:p w:rsidR="00422FB2" w:rsidRDefault="00422FB2" w:rsidP="00956CD9">
      <w:pPr>
        <w:pStyle w:val="Titre1"/>
        <w:spacing w:after="200"/>
        <w:rPr>
          <w:rFonts w:ascii="Arial" w:hAnsi="Arial" w:cs="Arial"/>
          <w:sz w:val="32"/>
          <w:szCs w:val="32"/>
        </w:rPr>
      </w:pPr>
    </w:p>
    <w:p w:rsidR="00422FB2" w:rsidRDefault="00422FB2" w:rsidP="00956CD9">
      <w:pPr>
        <w:pStyle w:val="Titre1"/>
        <w:spacing w:after="200"/>
        <w:rPr>
          <w:rFonts w:ascii="Arial" w:hAnsi="Arial" w:cs="Arial"/>
          <w:sz w:val="32"/>
          <w:szCs w:val="32"/>
        </w:rPr>
      </w:pPr>
    </w:p>
    <w:p w:rsidR="00422FB2" w:rsidRDefault="00422FB2" w:rsidP="00422FB2"/>
    <w:p w:rsidR="00422FB2" w:rsidRPr="00422FB2" w:rsidRDefault="00422FB2" w:rsidP="00422FB2"/>
    <w:p w:rsidR="00956CD9" w:rsidRPr="00611CEF" w:rsidRDefault="00870576" w:rsidP="00956CD9">
      <w:pPr>
        <w:pStyle w:val="Titre1"/>
        <w:spacing w:after="200"/>
        <w:rPr>
          <w:rFonts w:ascii="Arial" w:hAnsi="Arial" w:cs="Arial"/>
          <w:sz w:val="32"/>
          <w:szCs w:val="32"/>
        </w:rPr>
      </w:pPr>
      <w:bookmarkStart w:id="2" w:name="_Toc26517338"/>
      <w:r w:rsidRPr="00611CEF">
        <w:rPr>
          <w:rFonts w:ascii="Arial" w:hAnsi="Arial" w:cs="Arial"/>
          <w:sz w:val="32"/>
          <w:szCs w:val="32"/>
        </w:rPr>
        <w:lastRenderedPageBreak/>
        <w:t>Consolidation et développement de l’action communautaire</w:t>
      </w:r>
      <w:bookmarkEnd w:id="2"/>
      <w:r w:rsidRPr="00611CEF">
        <w:rPr>
          <w:rFonts w:ascii="Arial" w:hAnsi="Arial" w:cs="Arial"/>
          <w:sz w:val="32"/>
          <w:szCs w:val="32"/>
        </w:rPr>
        <w:t xml:space="preserve"> </w:t>
      </w:r>
    </w:p>
    <w:p w:rsidR="0029286D" w:rsidRDefault="0029286D" w:rsidP="000D498E">
      <w:pPr>
        <w:pStyle w:val="Titre2"/>
        <w:rPr>
          <w:rFonts w:ascii="Arial" w:hAnsi="Arial" w:cs="Arial"/>
        </w:rPr>
      </w:pPr>
    </w:p>
    <w:p w:rsidR="000D498E" w:rsidRPr="00CA5452" w:rsidRDefault="000D498E" w:rsidP="00A608CA">
      <w:pPr>
        <w:pStyle w:val="Titre2"/>
        <w:spacing w:after="200"/>
        <w:rPr>
          <w:rFonts w:ascii="Arial" w:hAnsi="Arial" w:cs="Arial"/>
        </w:rPr>
      </w:pPr>
      <w:bookmarkStart w:id="3" w:name="_Toc26517339"/>
      <w:r w:rsidRPr="005A451F">
        <w:rPr>
          <w:rFonts w:ascii="Arial" w:hAnsi="Arial" w:cs="Arial"/>
        </w:rPr>
        <w:t>Participation des personnes ayant des limitations fonctionnelles à la vie associative des organismes</w:t>
      </w:r>
      <w:bookmarkEnd w:id="3"/>
      <w:r>
        <w:rPr>
          <w:rFonts w:ascii="Arial" w:hAnsi="Arial" w:cs="Arial"/>
        </w:rPr>
        <w:t xml:space="preserve"> </w:t>
      </w:r>
    </w:p>
    <w:p w:rsidR="000D498E" w:rsidRPr="0046364E" w:rsidRDefault="000D498E" w:rsidP="000D498E">
      <w:pPr>
        <w:rPr>
          <w:rFonts w:ascii="Arial" w:hAnsi="Arial" w:cs="Arial"/>
          <w:sz w:val="24"/>
          <w:szCs w:val="24"/>
        </w:rPr>
      </w:pPr>
      <w:r w:rsidRPr="0046364E">
        <w:rPr>
          <w:rFonts w:ascii="Arial" w:hAnsi="Arial" w:cs="Arial"/>
          <w:sz w:val="24"/>
          <w:szCs w:val="24"/>
        </w:rPr>
        <w:t xml:space="preserve">Concernant spécifiquement la participation des personnes que nous représentons à la vie associative, </w:t>
      </w:r>
      <w:r w:rsidRPr="002926A4">
        <w:rPr>
          <w:rFonts w:ascii="Arial" w:hAnsi="Arial" w:cs="Arial"/>
          <w:sz w:val="24"/>
          <w:szCs w:val="24"/>
        </w:rPr>
        <w:t>nous nous référons</w:t>
      </w:r>
      <w:r w:rsidRPr="0046364E">
        <w:rPr>
          <w:rFonts w:ascii="Arial" w:hAnsi="Arial" w:cs="Arial"/>
          <w:sz w:val="24"/>
          <w:szCs w:val="24"/>
        </w:rPr>
        <w:t xml:space="preserve"> à l’étude </w:t>
      </w:r>
      <w:r w:rsidR="0009247F">
        <w:rPr>
          <w:rFonts w:ascii="Arial" w:hAnsi="Arial" w:cs="Arial"/>
          <w:sz w:val="24"/>
          <w:szCs w:val="24"/>
        </w:rPr>
        <w:t>réalisée</w:t>
      </w:r>
      <w:r w:rsidR="0009247F" w:rsidRPr="0046364E">
        <w:rPr>
          <w:rFonts w:ascii="Arial" w:hAnsi="Arial" w:cs="Arial"/>
          <w:sz w:val="24"/>
          <w:szCs w:val="24"/>
        </w:rPr>
        <w:t xml:space="preserve"> </w:t>
      </w:r>
      <w:r w:rsidRPr="0046364E">
        <w:rPr>
          <w:rFonts w:ascii="Arial" w:hAnsi="Arial" w:cs="Arial"/>
          <w:sz w:val="24"/>
          <w:szCs w:val="24"/>
        </w:rPr>
        <w:t>par l’Institut de recherche et d’informations socio-économiques (IRIS), « </w:t>
      </w:r>
      <w:hyperlink r:id="rId20" w:history="1">
        <w:r w:rsidRPr="0046364E">
          <w:rPr>
            <w:rStyle w:val="Lienhypertexte"/>
            <w:rFonts w:ascii="Arial" w:hAnsi="Arial" w:cs="Arial"/>
            <w:sz w:val="24"/>
            <w:szCs w:val="24"/>
          </w:rPr>
          <w:t>L’accès à la vie associative pour les personnes en situation de handicap dans le mouvement de l’action communautaire autonome : Pratiques et besoins pour un accès non discriminatoire</w:t>
        </w:r>
      </w:hyperlink>
      <w:r w:rsidRPr="0046364E">
        <w:rPr>
          <w:rFonts w:ascii="Arial" w:hAnsi="Arial" w:cs="Arial"/>
          <w:sz w:val="24"/>
          <w:szCs w:val="24"/>
        </w:rPr>
        <w:t> », qui estime qu’en moyenne un organisme représentant les personnes en situation de handicap dépense 12 366</w:t>
      </w:r>
      <w:r w:rsidR="009628FA">
        <w:rPr>
          <w:rFonts w:ascii="Arial" w:hAnsi="Arial" w:cs="Arial"/>
          <w:sz w:val="24"/>
          <w:szCs w:val="24"/>
        </w:rPr>
        <w:t> </w:t>
      </w:r>
      <w:r w:rsidRPr="0046364E">
        <w:rPr>
          <w:rFonts w:ascii="Arial" w:hAnsi="Arial" w:cs="Arial"/>
          <w:sz w:val="24"/>
          <w:szCs w:val="24"/>
        </w:rPr>
        <w:t xml:space="preserve">$ pour les accommodements liés à la vie associative. L’IRIS précise aussi que : </w:t>
      </w:r>
    </w:p>
    <w:p w:rsidR="000D498E" w:rsidRPr="0046364E" w:rsidRDefault="000D498E" w:rsidP="000D498E">
      <w:pPr>
        <w:ind w:left="708"/>
        <w:rPr>
          <w:rFonts w:ascii="Arial" w:hAnsi="Arial" w:cs="Arial"/>
          <w:sz w:val="24"/>
          <w:szCs w:val="24"/>
        </w:rPr>
      </w:pPr>
      <w:r w:rsidRPr="0046364E">
        <w:rPr>
          <w:rFonts w:ascii="Arial" w:hAnsi="Arial" w:cs="Arial"/>
          <w:sz w:val="24"/>
          <w:szCs w:val="24"/>
        </w:rPr>
        <w:t xml:space="preserve">« Malgré le fait que les organismes d’ACA </w:t>
      </w:r>
      <w:r w:rsidR="00A608CA">
        <w:rPr>
          <w:rFonts w:ascii="Arial" w:hAnsi="Arial" w:cs="Arial"/>
          <w:sz w:val="24"/>
          <w:szCs w:val="24"/>
        </w:rPr>
        <w:t>[a</w:t>
      </w:r>
      <w:r>
        <w:rPr>
          <w:rFonts w:ascii="Arial" w:hAnsi="Arial" w:cs="Arial"/>
          <w:sz w:val="24"/>
          <w:szCs w:val="24"/>
        </w:rPr>
        <w:t xml:space="preserve">ction communautaire autonome] </w:t>
      </w:r>
      <w:r w:rsidRPr="0046364E">
        <w:rPr>
          <w:rFonts w:ascii="Arial" w:hAnsi="Arial" w:cs="Arial"/>
          <w:sz w:val="24"/>
          <w:szCs w:val="24"/>
        </w:rPr>
        <w:t xml:space="preserve">ne possèdent pas d’enveloppe spécifique afin de couvrir les dépenses liées aux accommodements effectués lors de leurs activités de vie associative, ceux-ci dépensent déjà environ 13,2 </w:t>
      </w:r>
      <w:r>
        <w:rPr>
          <w:rFonts w:ascii="Arial" w:hAnsi="Arial" w:cs="Arial"/>
          <w:sz w:val="24"/>
          <w:szCs w:val="24"/>
        </w:rPr>
        <w:t>[millions de dollars]</w:t>
      </w:r>
      <w:r w:rsidRPr="0046364E">
        <w:rPr>
          <w:rFonts w:ascii="Arial" w:hAnsi="Arial" w:cs="Arial"/>
          <w:sz w:val="24"/>
          <w:szCs w:val="24"/>
        </w:rPr>
        <w:t xml:space="preserve"> annuellement. Pour offrir un accès véritablement non discriminatoire à la vie associative des organismes communautaires, il faut y ajouter les co</w:t>
      </w:r>
      <w:r>
        <w:rPr>
          <w:rFonts w:ascii="Arial" w:hAnsi="Arial" w:cs="Arial"/>
          <w:sz w:val="24"/>
          <w:szCs w:val="24"/>
        </w:rPr>
        <w:t>û</w:t>
      </w:r>
      <w:r w:rsidRPr="0046364E">
        <w:rPr>
          <w:rFonts w:ascii="Arial" w:hAnsi="Arial" w:cs="Arial"/>
          <w:sz w:val="24"/>
          <w:szCs w:val="24"/>
        </w:rPr>
        <w:t xml:space="preserve">ts couvrant les accommodements qui n’ont pas pu être effectués (1,9 </w:t>
      </w:r>
      <w:r w:rsidRPr="004E24F3">
        <w:rPr>
          <w:rFonts w:ascii="Arial" w:hAnsi="Arial" w:cs="Arial"/>
          <w:sz w:val="24"/>
          <w:szCs w:val="24"/>
        </w:rPr>
        <w:t>[millions de dollars]</w:t>
      </w:r>
      <w:r w:rsidRPr="0046364E">
        <w:rPr>
          <w:rFonts w:ascii="Arial" w:hAnsi="Arial" w:cs="Arial"/>
          <w:sz w:val="24"/>
          <w:szCs w:val="24"/>
        </w:rPr>
        <w:t>). Par conséquent, le co</w:t>
      </w:r>
      <w:r>
        <w:rPr>
          <w:rFonts w:ascii="Arial" w:hAnsi="Arial" w:cs="Arial"/>
          <w:sz w:val="24"/>
          <w:szCs w:val="24"/>
        </w:rPr>
        <w:t>û</w:t>
      </w:r>
      <w:r w:rsidRPr="0046364E">
        <w:rPr>
          <w:rFonts w:ascii="Arial" w:hAnsi="Arial" w:cs="Arial"/>
          <w:sz w:val="24"/>
          <w:szCs w:val="24"/>
        </w:rPr>
        <w:t xml:space="preserve">t annuel est d’environ 15 </w:t>
      </w:r>
      <w:r w:rsidRPr="004E24F3">
        <w:rPr>
          <w:rFonts w:ascii="Arial" w:hAnsi="Arial" w:cs="Arial"/>
          <w:sz w:val="24"/>
          <w:szCs w:val="24"/>
        </w:rPr>
        <w:t>[millions de dollars]</w:t>
      </w:r>
      <w:r w:rsidRPr="0046364E">
        <w:rPr>
          <w:rFonts w:ascii="Arial" w:hAnsi="Arial" w:cs="Arial"/>
          <w:sz w:val="24"/>
          <w:szCs w:val="24"/>
        </w:rPr>
        <w:t>. »</w:t>
      </w:r>
      <w:r w:rsidR="009628FA">
        <w:rPr>
          <w:rStyle w:val="Appelnotedebasdep"/>
          <w:rFonts w:ascii="Arial" w:hAnsi="Arial"/>
          <w:sz w:val="24"/>
          <w:szCs w:val="24"/>
        </w:rPr>
        <w:footnoteReference w:id="1"/>
      </w:r>
    </w:p>
    <w:p w:rsidR="000D498E" w:rsidRPr="0046364E" w:rsidRDefault="000D498E" w:rsidP="000D498E">
      <w:pPr>
        <w:rPr>
          <w:rFonts w:ascii="Arial" w:hAnsi="Arial" w:cs="Arial"/>
          <w:sz w:val="24"/>
          <w:szCs w:val="24"/>
        </w:rPr>
      </w:pPr>
      <w:r w:rsidRPr="0046364E">
        <w:rPr>
          <w:rFonts w:ascii="Arial" w:hAnsi="Arial" w:cs="Arial"/>
          <w:sz w:val="24"/>
          <w:szCs w:val="24"/>
        </w:rPr>
        <w:t xml:space="preserve">Ainsi, nous proposons que le gouvernement finance les activités visant à permettre aux personnes </w:t>
      </w:r>
      <w:r w:rsidR="00A608CA">
        <w:rPr>
          <w:rFonts w:ascii="Arial" w:hAnsi="Arial" w:cs="Arial"/>
          <w:sz w:val="24"/>
          <w:szCs w:val="24"/>
        </w:rPr>
        <w:t>ayant des limitations fonctionnelles</w:t>
      </w:r>
      <w:r w:rsidRPr="0046364E">
        <w:rPr>
          <w:rFonts w:ascii="Arial" w:hAnsi="Arial" w:cs="Arial"/>
          <w:sz w:val="24"/>
          <w:szCs w:val="24"/>
        </w:rPr>
        <w:t xml:space="preserve"> de participer à la vie associative </w:t>
      </w:r>
      <w:r>
        <w:rPr>
          <w:rFonts w:ascii="Arial" w:hAnsi="Arial" w:cs="Arial"/>
          <w:sz w:val="24"/>
          <w:szCs w:val="24"/>
        </w:rPr>
        <w:t>à l’aide</w:t>
      </w:r>
      <w:r w:rsidRPr="0046364E">
        <w:rPr>
          <w:rFonts w:ascii="Arial" w:hAnsi="Arial" w:cs="Arial"/>
          <w:sz w:val="24"/>
          <w:szCs w:val="24"/>
        </w:rPr>
        <w:t xml:space="preserve"> </w:t>
      </w:r>
      <w:r>
        <w:rPr>
          <w:rFonts w:ascii="Arial" w:hAnsi="Arial" w:cs="Arial"/>
          <w:sz w:val="24"/>
          <w:szCs w:val="24"/>
        </w:rPr>
        <w:t>d</w:t>
      </w:r>
      <w:r w:rsidRPr="0046364E">
        <w:rPr>
          <w:rFonts w:ascii="Arial" w:hAnsi="Arial" w:cs="Arial"/>
          <w:sz w:val="24"/>
          <w:szCs w:val="24"/>
        </w:rPr>
        <w:t>es mesures d’accommodement</w:t>
      </w:r>
      <w:r>
        <w:rPr>
          <w:rFonts w:ascii="Arial" w:hAnsi="Arial" w:cs="Arial"/>
          <w:sz w:val="24"/>
          <w:szCs w:val="24"/>
        </w:rPr>
        <w:t>s</w:t>
      </w:r>
      <w:r w:rsidRPr="0046364E">
        <w:rPr>
          <w:rFonts w:ascii="Arial" w:hAnsi="Arial" w:cs="Arial"/>
          <w:sz w:val="24"/>
          <w:szCs w:val="24"/>
        </w:rPr>
        <w:t xml:space="preserve"> nécessaire</w:t>
      </w:r>
      <w:r>
        <w:rPr>
          <w:rFonts w:ascii="Arial" w:hAnsi="Arial" w:cs="Arial"/>
          <w:sz w:val="24"/>
          <w:szCs w:val="24"/>
        </w:rPr>
        <w:t>s</w:t>
      </w:r>
      <w:r w:rsidRPr="0046364E">
        <w:rPr>
          <w:rFonts w:ascii="Arial" w:hAnsi="Arial" w:cs="Arial"/>
          <w:sz w:val="24"/>
          <w:szCs w:val="24"/>
        </w:rPr>
        <w:t>. Toutefois, bien que cette somme supplémentaire doi</w:t>
      </w:r>
      <w:r>
        <w:rPr>
          <w:rFonts w:ascii="Arial" w:hAnsi="Arial" w:cs="Arial"/>
          <w:sz w:val="24"/>
          <w:szCs w:val="24"/>
        </w:rPr>
        <w:t>ve</w:t>
      </w:r>
      <w:r w:rsidRPr="0046364E">
        <w:rPr>
          <w:rFonts w:ascii="Arial" w:hAnsi="Arial" w:cs="Arial"/>
          <w:sz w:val="24"/>
          <w:szCs w:val="24"/>
        </w:rPr>
        <w:t xml:space="preserve"> être inclus</w:t>
      </w:r>
      <w:r>
        <w:rPr>
          <w:rFonts w:ascii="Arial" w:hAnsi="Arial" w:cs="Arial"/>
          <w:sz w:val="24"/>
          <w:szCs w:val="24"/>
        </w:rPr>
        <w:t>e</w:t>
      </w:r>
      <w:r w:rsidRPr="0046364E">
        <w:rPr>
          <w:rFonts w:ascii="Arial" w:hAnsi="Arial" w:cs="Arial"/>
          <w:sz w:val="24"/>
          <w:szCs w:val="24"/>
        </w:rPr>
        <w:t xml:space="preserve"> dans le financement global à la mission, une reddition de compte </w:t>
      </w:r>
      <w:r w:rsidR="001675A0">
        <w:rPr>
          <w:rFonts w:ascii="Arial" w:hAnsi="Arial" w:cs="Arial"/>
          <w:sz w:val="24"/>
          <w:szCs w:val="24"/>
        </w:rPr>
        <w:t>distincte</w:t>
      </w:r>
      <w:r w:rsidRPr="0046364E">
        <w:rPr>
          <w:rFonts w:ascii="Arial" w:hAnsi="Arial" w:cs="Arial"/>
          <w:sz w:val="24"/>
          <w:szCs w:val="24"/>
        </w:rPr>
        <w:t xml:space="preserve"> concernant les accom</w:t>
      </w:r>
      <w:r w:rsidR="004021AF">
        <w:rPr>
          <w:rFonts w:ascii="Arial" w:hAnsi="Arial" w:cs="Arial"/>
          <w:sz w:val="24"/>
          <w:szCs w:val="24"/>
        </w:rPr>
        <w:t>modements doit être faite</w:t>
      </w:r>
      <w:r w:rsidRPr="0046364E">
        <w:rPr>
          <w:rFonts w:ascii="Arial" w:hAnsi="Arial" w:cs="Arial"/>
          <w:sz w:val="24"/>
          <w:szCs w:val="24"/>
        </w:rPr>
        <w:t xml:space="preserve"> pour s’assurer que les fonds aient véritablement </w:t>
      </w:r>
      <w:r>
        <w:rPr>
          <w:rFonts w:ascii="Arial" w:hAnsi="Arial" w:cs="Arial"/>
          <w:sz w:val="24"/>
          <w:szCs w:val="24"/>
        </w:rPr>
        <w:t xml:space="preserve">été dépensés </w:t>
      </w:r>
      <w:r w:rsidRPr="0046364E">
        <w:rPr>
          <w:rFonts w:ascii="Arial" w:hAnsi="Arial" w:cs="Arial"/>
          <w:sz w:val="24"/>
          <w:szCs w:val="24"/>
        </w:rPr>
        <w:t xml:space="preserve">pour </w:t>
      </w:r>
      <w:r>
        <w:rPr>
          <w:rFonts w:ascii="Arial" w:hAnsi="Arial" w:cs="Arial"/>
          <w:sz w:val="24"/>
          <w:szCs w:val="24"/>
        </w:rPr>
        <w:t>inclure</w:t>
      </w:r>
      <w:r w:rsidRPr="0046364E">
        <w:rPr>
          <w:rFonts w:ascii="Arial" w:hAnsi="Arial" w:cs="Arial"/>
          <w:sz w:val="24"/>
          <w:szCs w:val="24"/>
        </w:rPr>
        <w:t xml:space="preserve"> des personnes ayant des limitations fonctionnelles. </w:t>
      </w:r>
    </w:p>
    <w:p w:rsidR="000D498E" w:rsidRDefault="000D498E" w:rsidP="000D498E">
      <w:pPr>
        <w:ind w:left="708"/>
        <w:rPr>
          <w:rFonts w:ascii="Arial" w:hAnsi="Arial" w:cs="Arial"/>
          <w:sz w:val="24"/>
          <w:szCs w:val="24"/>
        </w:rPr>
      </w:pPr>
      <w:r w:rsidRPr="0046364E">
        <w:rPr>
          <w:rFonts w:ascii="Arial" w:hAnsi="Arial" w:cs="Arial"/>
          <w:b/>
          <w:bCs/>
          <w:sz w:val="24"/>
          <w:szCs w:val="24"/>
        </w:rPr>
        <w:t>Recommandations</w:t>
      </w:r>
      <w:r w:rsidRPr="0046364E">
        <w:rPr>
          <w:rFonts w:ascii="Arial" w:hAnsi="Arial" w:cs="Arial"/>
          <w:sz w:val="24"/>
          <w:szCs w:val="24"/>
        </w:rPr>
        <w:t> :</w:t>
      </w:r>
    </w:p>
    <w:p w:rsidR="000D498E" w:rsidRPr="0046364E" w:rsidRDefault="000D498E" w:rsidP="000D498E">
      <w:pPr>
        <w:ind w:left="708"/>
        <w:rPr>
          <w:rFonts w:ascii="Arial" w:hAnsi="Arial" w:cs="Arial"/>
          <w:sz w:val="24"/>
          <w:szCs w:val="24"/>
        </w:rPr>
      </w:pPr>
      <w:r w:rsidRPr="0046364E">
        <w:rPr>
          <w:rFonts w:ascii="Arial" w:hAnsi="Arial" w:cs="Arial"/>
          <w:sz w:val="24"/>
          <w:szCs w:val="24"/>
        </w:rPr>
        <w:t>Qu’une somme de 15 millions de dollars soit injecté</w:t>
      </w:r>
      <w:r>
        <w:rPr>
          <w:rFonts w:ascii="Arial" w:hAnsi="Arial" w:cs="Arial"/>
          <w:sz w:val="24"/>
          <w:szCs w:val="24"/>
        </w:rPr>
        <w:t>e</w:t>
      </w:r>
      <w:r w:rsidRPr="0046364E">
        <w:rPr>
          <w:rFonts w:ascii="Arial" w:hAnsi="Arial" w:cs="Arial"/>
          <w:sz w:val="24"/>
          <w:szCs w:val="24"/>
        </w:rPr>
        <w:t xml:space="preserve"> pour soutenir la participation des personnes ayant des limitations fonctionnelles à la vie associative des organismes communautaires; </w:t>
      </w:r>
    </w:p>
    <w:p w:rsidR="000D498E" w:rsidRDefault="000D498E" w:rsidP="000D498E">
      <w:pPr>
        <w:ind w:left="708"/>
        <w:rPr>
          <w:rFonts w:ascii="Arial" w:hAnsi="Arial" w:cs="Arial"/>
          <w:sz w:val="24"/>
          <w:szCs w:val="24"/>
        </w:rPr>
      </w:pPr>
      <w:r w:rsidRPr="0046364E">
        <w:rPr>
          <w:rFonts w:ascii="Arial" w:hAnsi="Arial" w:cs="Arial"/>
          <w:sz w:val="24"/>
          <w:szCs w:val="24"/>
        </w:rPr>
        <w:t>Que cette somme soit incluse dans le</w:t>
      </w:r>
      <w:r w:rsidR="004021AF">
        <w:rPr>
          <w:rFonts w:ascii="Arial" w:hAnsi="Arial" w:cs="Arial"/>
          <w:sz w:val="24"/>
          <w:szCs w:val="24"/>
        </w:rPr>
        <w:t xml:space="preserve"> financement à la mission globale</w:t>
      </w:r>
      <w:r w:rsidRPr="0046364E">
        <w:rPr>
          <w:rFonts w:ascii="Arial" w:hAnsi="Arial" w:cs="Arial"/>
          <w:sz w:val="24"/>
          <w:szCs w:val="24"/>
        </w:rPr>
        <w:t xml:space="preserve"> des organismes communautaires avec une reddition </w:t>
      </w:r>
      <w:r>
        <w:rPr>
          <w:rFonts w:ascii="Arial" w:hAnsi="Arial" w:cs="Arial"/>
          <w:sz w:val="24"/>
          <w:szCs w:val="24"/>
        </w:rPr>
        <w:t xml:space="preserve">de comptes </w:t>
      </w:r>
      <w:r w:rsidRPr="0046364E">
        <w:rPr>
          <w:rFonts w:ascii="Arial" w:hAnsi="Arial" w:cs="Arial"/>
          <w:sz w:val="24"/>
          <w:szCs w:val="24"/>
        </w:rPr>
        <w:t xml:space="preserve">distincte pour les différentes mesures </w:t>
      </w:r>
      <w:r w:rsidRPr="0046364E">
        <w:rPr>
          <w:rFonts w:ascii="Arial" w:hAnsi="Arial" w:cs="Arial"/>
          <w:sz w:val="24"/>
          <w:szCs w:val="24"/>
        </w:rPr>
        <w:lastRenderedPageBreak/>
        <w:t>d’accommodement</w:t>
      </w:r>
      <w:r>
        <w:rPr>
          <w:rFonts w:ascii="Arial" w:hAnsi="Arial" w:cs="Arial"/>
          <w:sz w:val="24"/>
          <w:szCs w:val="24"/>
        </w:rPr>
        <w:t>s</w:t>
      </w:r>
      <w:r w:rsidRPr="0046364E">
        <w:rPr>
          <w:rFonts w:ascii="Arial" w:hAnsi="Arial" w:cs="Arial"/>
          <w:sz w:val="24"/>
          <w:szCs w:val="24"/>
        </w:rPr>
        <w:t xml:space="preserve"> afin de permettre une véritable inclusion des personnes que nous représentons.</w:t>
      </w:r>
      <w:r>
        <w:rPr>
          <w:rFonts w:ascii="Arial" w:hAnsi="Arial" w:cs="Arial"/>
          <w:sz w:val="24"/>
          <w:szCs w:val="24"/>
        </w:rPr>
        <w:t xml:space="preserve"> </w:t>
      </w:r>
    </w:p>
    <w:p w:rsidR="000D498E" w:rsidRDefault="008C60F5" w:rsidP="000D498E">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Par ailleurs</w:t>
      </w:r>
      <w:r w:rsidR="000D498E">
        <w:rPr>
          <w:rFonts w:ascii="Arial" w:eastAsia="Times New Roman" w:hAnsi="Arial" w:cs="Arial"/>
          <w:color w:val="000000" w:themeColor="text1"/>
          <w:sz w:val="24"/>
          <w:szCs w:val="24"/>
        </w:rPr>
        <w:t>, les organismes éprouvent souvent des problèmes de loyer, en raison du prix</w:t>
      </w:r>
      <w:r w:rsidR="0009247F">
        <w:rPr>
          <w:rFonts w:ascii="Arial" w:eastAsia="Times New Roman" w:hAnsi="Arial" w:cs="Arial"/>
          <w:color w:val="000000" w:themeColor="text1"/>
          <w:sz w:val="24"/>
          <w:szCs w:val="24"/>
        </w:rPr>
        <w:t>,</w:t>
      </w:r>
      <w:r w:rsidR="000D498E">
        <w:rPr>
          <w:rFonts w:ascii="Arial" w:eastAsia="Times New Roman" w:hAnsi="Arial" w:cs="Arial"/>
          <w:color w:val="000000" w:themeColor="text1"/>
          <w:sz w:val="24"/>
          <w:szCs w:val="24"/>
        </w:rPr>
        <w:t xml:space="preserve"> de la disponibilité, etc. </w:t>
      </w:r>
      <w:r w:rsidR="00A608CA">
        <w:rPr>
          <w:rFonts w:ascii="Arial" w:eastAsia="Times New Roman" w:hAnsi="Arial" w:cs="Arial"/>
          <w:color w:val="000000" w:themeColor="text1"/>
          <w:sz w:val="24"/>
          <w:szCs w:val="24"/>
        </w:rPr>
        <w:t>Or</w:t>
      </w:r>
      <w:r w:rsidR="000D498E">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un local accessible</w:t>
      </w:r>
      <w:r w:rsidR="000D498E">
        <w:rPr>
          <w:rFonts w:ascii="Arial" w:eastAsia="Times New Roman" w:hAnsi="Arial" w:cs="Arial"/>
          <w:color w:val="000000" w:themeColor="text1"/>
          <w:sz w:val="24"/>
          <w:szCs w:val="24"/>
        </w:rPr>
        <w:t xml:space="preserve"> </w:t>
      </w:r>
      <w:r w:rsidR="000D498E" w:rsidRPr="008C60F5">
        <w:rPr>
          <w:rFonts w:ascii="Arial" w:eastAsia="Times New Roman" w:hAnsi="Arial" w:cs="Arial"/>
          <w:color w:val="000000" w:themeColor="text1"/>
          <w:sz w:val="24"/>
          <w:szCs w:val="24"/>
        </w:rPr>
        <w:t xml:space="preserve">aux </w:t>
      </w:r>
      <w:r w:rsidRPr="008C60F5">
        <w:rPr>
          <w:rFonts w:ascii="Arial" w:eastAsia="Times New Roman" w:hAnsi="Arial" w:cs="Arial"/>
          <w:color w:val="000000" w:themeColor="text1"/>
          <w:sz w:val="24"/>
          <w:szCs w:val="24"/>
        </w:rPr>
        <w:t>personnes ayant des limitations fonctionnelles</w:t>
      </w:r>
      <w:r w:rsidR="000D498E" w:rsidRPr="008C60F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est</w:t>
      </w:r>
      <w:r w:rsidR="000D498E">
        <w:rPr>
          <w:rFonts w:ascii="Arial" w:eastAsia="Times New Roman" w:hAnsi="Arial" w:cs="Arial"/>
          <w:color w:val="000000" w:themeColor="text1"/>
          <w:sz w:val="24"/>
          <w:szCs w:val="24"/>
        </w:rPr>
        <w:t xml:space="preserve"> </w:t>
      </w:r>
      <w:r w:rsidR="00A608CA">
        <w:rPr>
          <w:rFonts w:ascii="Arial" w:eastAsia="Times New Roman" w:hAnsi="Arial" w:cs="Arial"/>
          <w:color w:val="000000" w:themeColor="text1"/>
          <w:sz w:val="24"/>
          <w:szCs w:val="24"/>
        </w:rPr>
        <w:t>généralement</w:t>
      </w:r>
      <w:r w:rsidR="000D498E">
        <w:rPr>
          <w:rFonts w:ascii="Arial" w:eastAsia="Times New Roman" w:hAnsi="Arial" w:cs="Arial"/>
          <w:color w:val="000000" w:themeColor="text1"/>
          <w:sz w:val="24"/>
          <w:szCs w:val="24"/>
        </w:rPr>
        <w:t xml:space="preserve"> plus cher qu’un local non accessible.</w:t>
      </w:r>
      <w:r w:rsidR="00AC1772">
        <w:rPr>
          <w:rFonts w:ascii="Arial" w:eastAsia="Times New Roman" w:hAnsi="Arial" w:cs="Arial"/>
          <w:color w:val="000000" w:themeColor="text1"/>
          <w:sz w:val="24"/>
          <w:szCs w:val="24"/>
        </w:rPr>
        <w:t xml:space="preserve"> O</w:t>
      </w:r>
      <w:r w:rsidR="000D498E">
        <w:rPr>
          <w:rFonts w:ascii="Arial" w:eastAsia="Times New Roman" w:hAnsi="Arial" w:cs="Arial"/>
          <w:color w:val="000000" w:themeColor="text1"/>
          <w:sz w:val="24"/>
          <w:szCs w:val="24"/>
        </w:rPr>
        <w:t>n constate</w:t>
      </w:r>
      <w:r w:rsidR="00AC1772">
        <w:rPr>
          <w:rFonts w:ascii="Arial" w:eastAsia="Times New Roman" w:hAnsi="Arial" w:cs="Arial"/>
          <w:color w:val="000000" w:themeColor="text1"/>
          <w:sz w:val="24"/>
          <w:szCs w:val="24"/>
        </w:rPr>
        <w:t xml:space="preserve"> aussi</w:t>
      </w:r>
      <w:r w:rsidR="000D498E">
        <w:rPr>
          <w:rFonts w:ascii="Arial" w:eastAsia="Times New Roman" w:hAnsi="Arial" w:cs="Arial"/>
          <w:color w:val="000000" w:themeColor="text1"/>
          <w:sz w:val="24"/>
          <w:szCs w:val="24"/>
        </w:rPr>
        <w:t xml:space="preserve"> que certains organismes sont déjà logés dans des locaux inaccessibles</w:t>
      </w:r>
      <w:r w:rsidR="00A608CA">
        <w:rPr>
          <w:rFonts w:ascii="Arial" w:eastAsia="Times New Roman" w:hAnsi="Arial" w:cs="Arial"/>
          <w:color w:val="000000" w:themeColor="text1"/>
          <w:sz w:val="24"/>
          <w:szCs w:val="24"/>
        </w:rPr>
        <w:t>. I</w:t>
      </w:r>
      <w:r w:rsidR="000D498E">
        <w:rPr>
          <w:rFonts w:ascii="Arial" w:eastAsia="Times New Roman" w:hAnsi="Arial" w:cs="Arial"/>
          <w:color w:val="000000" w:themeColor="text1"/>
          <w:sz w:val="24"/>
          <w:szCs w:val="24"/>
        </w:rPr>
        <w:t>l faudrait</w:t>
      </w:r>
      <w:r w:rsidR="00AC1772">
        <w:rPr>
          <w:rFonts w:ascii="Arial" w:eastAsia="Times New Roman" w:hAnsi="Arial" w:cs="Arial"/>
          <w:color w:val="000000" w:themeColor="text1"/>
          <w:sz w:val="24"/>
          <w:szCs w:val="24"/>
        </w:rPr>
        <w:t xml:space="preserve"> donc</w:t>
      </w:r>
      <w:r w:rsidR="000D498E">
        <w:rPr>
          <w:rFonts w:ascii="Arial" w:eastAsia="Times New Roman" w:hAnsi="Arial" w:cs="Arial"/>
          <w:color w:val="000000" w:themeColor="text1"/>
          <w:sz w:val="24"/>
          <w:szCs w:val="24"/>
        </w:rPr>
        <w:t xml:space="preserve"> prévoir un programme de financement pour rendre </w:t>
      </w:r>
      <w:r w:rsidR="00AC1772">
        <w:rPr>
          <w:rFonts w:ascii="Arial" w:eastAsia="Times New Roman" w:hAnsi="Arial" w:cs="Arial"/>
          <w:color w:val="000000" w:themeColor="text1"/>
          <w:sz w:val="24"/>
          <w:szCs w:val="24"/>
        </w:rPr>
        <w:t>ces</w:t>
      </w:r>
      <w:r w:rsidR="000D498E">
        <w:rPr>
          <w:rFonts w:ascii="Arial" w:eastAsia="Times New Roman" w:hAnsi="Arial" w:cs="Arial"/>
          <w:color w:val="000000" w:themeColor="text1"/>
          <w:sz w:val="24"/>
          <w:szCs w:val="24"/>
        </w:rPr>
        <w:t xml:space="preserve"> locaux accessibles. </w:t>
      </w:r>
    </w:p>
    <w:p w:rsidR="000D498E" w:rsidRDefault="000D498E" w:rsidP="00285A55">
      <w:pPr>
        <w:ind w:left="709"/>
        <w:rPr>
          <w:rFonts w:ascii="Arial" w:eastAsia="Times New Roman" w:hAnsi="Arial" w:cs="Arial"/>
          <w:color w:val="000000" w:themeColor="text1"/>
          <w:sz w:val="24"/>
          <w:szCs w:val="24"/>
        </w:rPr>
      </w:pPr>
      <w:r w:rsidRPr="003A03D0">
        <w:rPr>
          <w:rFonts w:ascii="Arial" w:eastAsia="Times New Roman" w:hAnsi="Arial" w:cs="Arial"/>
          <w:b/>
          <w:bCs/>
          <w:color w:val="000000" w:themeColor="text1"/>
          <w:sz w:val="24"/>
          <w:szCs w:val="24"/>
        </w:rPr>
        <w:t>Recommandation</w:t>
      </w:r>
      <w:r w:rsidR="00285A55">
        <w:rPr>
          <w:rFonts w:ascii="Arial" w:eastAsia="Times New Roman" w:hAnsi="Arial" w:cs="Arial"/>
          <w:b/>
          <w:bCs/>
          <w:color w:val="000000" w:themeColor="text1"/>
          <w:sz w:val="24"/>
          <w:szCs w:val="24"/>
        </w:rPr>
        <w:t>s</w:t>
      </w:r>
      <w:r>
        <w:rPr>
          <w:rFonts w:ascii="Arial" w:eastAsia="Times New Roman" w:hAnsi="Arial" w:cs="Arial"/>
          <w:color w:val="000000" w:themeColor="text1"/>
          <w:sz w:val="24"/>
          <w:szCs w:val="24"/>
        </w:rPr>
        <w:t xml:space="preserve"> : </w:t>
      </w:r>
    </w:p>
    <w:p w:rsidR="00285A55" w:rsidRDefault="000D498E" w:rsidP="00285A55">
      <w:pPr>
        <w:ind w:left="70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Que les sommes supplémentaires liées à l’accessibilité des locaux soient reconnues comme un accommodement offert aux </w:t>
      </w:r>
      <w:r w:rsidR="00AC1772">
        <w:rPr>
          <w:rFonts w:ascii="Arial" w:eastAsia="Times New Roman" w:hAnsi="Arial" w:cs="Arial"/>
          <w:color w:val="000000" w:themeColor="text1"/>
          <w:sz w:val="24"/>
          <w:szCs w:val="24"/>
        </w:rPr>
        <w:t>personnes ayant des limitations fonctionnelles</w:t>
      </w:r>
      <w:r w:rsidR="0001235D">
        <w:rPr>
          <w:rFonts w:ascii="Arial" w:eastAsia="Times New Roman" w:hAnsi="Arial" w:cs="Arial"/>
          <w:color w:val="000000" w:themeColor="text1"/>
          <w:sz w:val="24"/>
          <w:szCs w:val="24"/>
        </w:rPr>
        <w:t>;</w:t>
      </w:r>
    </w:p>
    <w:p w:rsidR="000D498E" w:rsidRPr="0085098E" w:rsidRDefault="000D498E" w:rsidP="00285A55">
      <w:pPr>
        <w:ind w:left="70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Qu’un programme de financement soit disponible pour les organismes communautaires afin qu’ils puissent rendre leurs locaux accessibles.</w:t>
      </w:r>
    </w:p>
    <w:p w:rsidR="000D498E" w:rsidRDefault="000D498E" w:rsidP="000D498E">
      <w:pPr>
        <w:rPr>
          <w:rFonts w:ascii="Arial" w:hAnsi="Arial" w:cs="Arial"/>
        </w:rPr>
      </w:pPr>
    </w:p>
    <w:p w:rsidR="00780376" w:rsidRPr="00CA5452" w:rsidRDefault="0029286D" w:rsidP="00A608CA">
      <w:pPr>
        <w:pStyle w:val="Titre2"/>
        <w:spacing w:after="200"/>
        <w:rPr>
          <w:rFonts w:ascii="Arial" w:hAnsi="Arial" w:cs="Arial"/>
        </w:rPr>
      </w:pPr>
      <w:bookmarkStart w:id="4" w:name="_Toc26517340"/>
      <w:r>
        <w:rPr>
          <w:rFonts w:ascii="Arial" w:hAnsi="Arial" w:cs="Arial"/>
        </w:rPr>
        <w:t>Financement de la mission globale</w:t>
      </w:r>
      <w:bookmarkEnd w:id="4"/>
      <w:r>
        <w:rPr>
          <w:rFonts w:ascii="Arial" w:hAnsi="Arial" w:cs="Arial"/>
        </w:rPr>
        <w:t xml:space="preserve"> </w:t>
      </w:r>
    </w:p>
    <w:p w:rsidR="00780376" w:rsidRPr="0046364E" w:rsidRDefault="008E7221" w:rsidP="00F54D1C">
      <w:pPr>
        <w:tabs>
          <w:tab w:val="left" w:pos="6639"/>
        </w:tabs>
        <w:rPr>
          <w:rFonts w:ascii="Arial" w:hAnsi="Arial" w:cs="Arial"/>
          <w:bCs/>
          <w:color w:val="000000" w:themeColor="text1"/>
          <w:sz w:val="24"/>
          <w:szCs w:val="24"/>
        </w:rPr>
      </w:pPr>
      <w:r w:rsidRPr="0046364E">
        <w:rPr>
          <w:rFonts w:ascii="Arial" w:hAnsi="Arial" w:cs="Arial"/>
          <w:bCs/>
          <w:sz w:val="24"/>
          <w:szCs w:val="24"/>
        </w:rPr>
        <w:t>Mis</w:t>
      </w:r>
      <w:r w:rsidR="00BE1849">
        <w:rPr>
          <w:rFonts w:ascii="Arial" w:hAnsi="Arial" w:cs="Arial"/>
          <w:bCs/>
          <w:sz w:val="24"/>
          <w:szCs w:val="24"/>
        </w:rPr>
        <w:t>e</w:t>
      </w:r>
      <w:r w:rsidRPr="0046364E">
        <w:rPr>
          <w:rFonts w:ascii="Arial" w:hAnsi="Arial" w:cs="Arial"/>
          <w:bCs/>
          <w:sz w:val="24"/>
          <w:szCs w:val="24"/>
        </w:rPr>
        <w:t xml:space="preserve"> en place en 2016, l</w:t>
      </w:r>
      <w:r w:rsidR="00780376" w:rsidRPr="0046364E">
        <w:rPr>
          <w:rFonts w:ascii="Arial" w:hAnsi="Arial" w:cs="Arial"/>
          <w:bCs/>
          <w:sz w:val="24"/>
          <w:szCs w:val="24"/>
        </w:rPr>
        <w:t xml:space="preserve">a campagne « Engagez-vous pour le communautaire » du </w:t>
      </w:r>
      <w:r w:rsidR="00F459EB">
        <w:rPr>
          <w:rFonts w:ascii="Arial" w:hAnsi="Arial" w:cs="Arial"/>
          <w:bCs/>
          <w:sz w:val="24"/>
          <w:szCs w:val="24"/>
        </w:rPr>
        <w:t>RQ-ACA</w:t>
      </w:r>
      <w:r w:rsidR="00780376" w:rsidRPr="0046364E">
        <w:rPr>
          <w:rFonts w:ascii="Arial" w:hAnsi="Arial" w:cs="Arial"/>
          <w:bCs/>
          <w:sz w:val="24"/>
          <w:szCs w:val="24"/>
        </w:rPr>
        <w:t xml:space="preserve"> </w:t>
      </w:r>
      <w:r w:rsidRPr="0046364E">
        <w:rPr>
          <w:rFonts w:ascii="Arial" w:hAnsi="Arial" w:cs="Arial"/>
          <w:bCs/>
          <w:sz w:val="24"/>
          <w:szCs w:val="24"/>
        </w:rPr>
        <w:t xml:space="preserve">vise à ce que le milieu communautaire autonome soit mieux soutenu par le gouvernement. </w:t>
      </w:r>
      <w:r w:rsidR="00F05C7F">
        <w:rPr>
          <w:rFonts w:ascii="Arial" w:hAnsi="Arial" w:cs="Arial"/>
          <w:bCs/>
          <w:sz w:val="24"/>
          <w:szCs w:val="24"/>
        </w:rPr>
        <w:t>Pour ce faire, u</w:t>
      </w:r>
      <w:r w:rsidRPr="0046364E">
        <w:rPr>
          <w:rFonts w:ascii="Arial" w:hAnsi="Arial" w:cs="Arial"/>
          <w:bCs/>
          <w:sz w:val="24"/>
          <w:szCs w:val="24"/>
        </w:rPr>
        <w:t>n exercice d’estimation des besoins financiers de tous les secteurs de l’action communauta</w:t>
      </w:r>
      <w:r w:rsidR="00643286">
        <w:rPr>
          <w:rFonts w:ascii="Arial" w:hAnsi="Arial" w:cs="Arial"/>
          <w:bCs/>
          <w:sz w:val="24"/>
          <w:szCs w:val="24"/>
        </w:rPr>
        <w:t xml:space="preserve">ire autonome a été </w:t>
      </w:r>
      <w:r w:rsidR="00762781">
        <w:rPr>
          <w:rFonts w:ascii="Arial" w:hAnsi="Arial" w:cs="Arial"/>
          <w:bCs/>
          <w:sz w:val="24"/>
          <w:szCs w:val="24"/>
        </w:rPr>
        <w:t xml:space="preserve">réalisé </w:t>
      </w:r>
      <w:r w:rsidR="00643286">
        <w:rPr>
          <w:rFonts w:ascii="Arial" w:hAnsi="Arial" w:cs="Arial"/>
          <w:bCs/>
          <w:sz w:val="24"/>
          <w:szCs w:val="24"/>
        </w:rPr>
        <w:t xml:space="preserve">et </w:t>
      </w:r>
      <w:r w:rsidR="0046676D">
        <w:rPr>
          <w:rFonts w:ascii="Arial" w:hAnsi="Arial" w:cs="Arial"/>
          <w:bCs/>
          <w:sz w:val="24"/>
          <w:szCs w:val="24"/>
        </w:rPr>
        <w:t>indique</w:t>
      </w:r>
      <w:r w:rsidRPr="0046364E">
        <w:rPr>
          <w:rFonts w:ascii="Arial" w:hAnsi="Arial" w:cs="Arial"/>
          <w:bCs/>
          <w:sz w:val="24"/>
          <w:szCs w:val="24"/>
        </w:rPr>
        <w:t xml:space="preserve"> un manque à gagner annuel de 475 millions de dollars pour les 4</w:t>
      </w:r>
      <w:r w:rsidR="004E24F3">
        <w:rPr>
          <w:rFonts w:ascii="Arial" w:hAnsi="Arial" w:cs="Arial"/>
          <w:bCs/>
          <w:sz w:val="24"/>
          <w:szCs w:val="24"/>
        </w:rPr>
        <w:t> </w:t>
      </w:r>
      <w:r w:rsidRPr="0046364E">
        <w:rPr>
          <w:rFonts w:ascii="Arial" w:hAnsi="Arial" w:cs="Arial"/>
          <w:bCs/>
          <w:sz w:val="24"/>
          <w:szCs w:val="24"/>
        </w:rPr>
        <w:t xml:space="preserve">000 </w:t>
      </w:r>
      <w:r w:rsidRPr="0046364E">
        <w:rPr>
          <w:rFonts w:ascii="Arial" w:hAnsi="Arial" w:cs="Arial"/>
          <w:bCs/>
          <w:color w:val="000000" w:themeColor="text1"/>
          <w:sz w:val="24"/>
          <w:szCs w:val="24"/>
        </w:rPr>
        <w:t>organismes</w:t>
      </w:r>
      <w:r w:rsidR="00643286">
        <w:rPr>
          <w:rFonts w:ascii="Arial" w:hAnsi="Arial" w:cs="Arial"/>
          <w:bCs/>
          <w:color w:val="000000" w:themeColor="text1"/>
          <w:sz w:val="24"/>
          <w:szCs w:val="24"/>
        </w:rPr>
        <w:t xml:space="preserve"> communautaires</w:t>
      </w:r>
      <w:r w:rsidRPr="0046364E">
        <w:rPr>
          <w:rFonts w:ascii="Arial" w:hAnsi="Arial" w:cs="Arial"/>
          <w:bCs/>
          <w:color w:val="000000" w:themeColor="text1"/>
          <w:sz w:val="24"/>
          <w:szCs w:val="24"/>
        </w:rPr>
        <w:t xml:space="preserve">. En effet : </w:t>
      </w:r>
    </w:p>
    <w:p w:rsidR="008E7221" w:rsidRPr="0046364E" w:rsidRDefault="008E7221" w:rsidP="00330F8D">
      <w:pPr>
        <w:pStyle w:val="NormalWeb"/>
        <w:shd w:val="clear" w:color="auto" w:fill="FFFFFF"/>
        <w:spacing w:before="0" w:beforeAutospacing="0" w:after="200" w:afterAutospacing="0"/>
        <w:ind w:left="709"/>
        <w:textAlignment w:val="baseline"/>
        <w:rPr>
          <w:rFonts w:ascii="Arial" w:hAnsi="Arial" w:cs="Arial"/>
          <w:color w:val="000000" w:themeColor="text1"/>
        </w:rPr>
      </w:pPr>
      <w:r w:rsidRPr="0046364E">
        <w:rPr>
          <w:rFonts w:ascii="Arial" w:hAnsi="Arial" w:cs="Arial"/>
          <w:bCs/>
          <w:color w:val="000000" w:themeColor="text1"/>
        </w:rPr>
        <w:t>« </w:t>
      </w:r>
      <w:r w:rsidRPr="0046364E">
        <w:rPr>
          <w:rFonts w:ascii="Arial" w:hAnsi="Arial" w:cs="Arial"/>
          <w:color w:val="000000" w:themeColor="text1"/>
        </w:rPr>
        <w:t>Ce montant incluait toutes les revendications financières adressées à tous les ministères, tant pour les groupes subventionnés que pour ceux qui sont en attente d’un premier financement. </w:t>
      </w:r>
    </w:p>
    <w:p w:rsidR="008E7221" w:rsidRPr="0046364E" w:rsidRDefault="008E7221" w:rsidP="00330F8D">
      <w:pPr>
        <w:pStyle w:val="NormalWeb"/>
        <w:shd w:val="clear" w:color="auto" w:fill="FFFFFF"/>
        <w:spacing w:before="0" w:beforeAutospacing="0" w:after="200" w:afterAutospacing="0"/>
        <w:ind w:left="709"/>
        <w:textAlignment w:val="baseline"/>
        <w:rPr>
          <w:rFonts w:ascii="Arial" w:hAnsi="Arial" w:cs="Arial"/>
          <w:color w:val="000000" w:themeColor="text1"/>
        </w:rPr>
      </w:pPr>
      <w:r w:rsidRPr="0046364E">
        <w:rPr>
          <w:rFonts w:ascii="Arial" w:hAnsi="Arial" w:cs="Arial"/>
          <w:color w:val="000000" w:themeColor="text1"/>
        </w:rPr>
        <w:t>Afin d’avoir un montant plus juste des besoins financiers des groupes à l’heure actuelle, ce 475</w:t>
      </w:r>
      <w:r w:rsidR="004E24F3">
        <w:rPr>
          <w:rFonts w:ascii="Arial" w:hAnsi="Arial" w:cs="Arial"/>
          <w:color w:val="000000" w:themeColor="text1"/>
        </w:rPr>
        <w:t xml:space="preserve"> [millions de dollars]</w:t>
      </w:r>
      <w:r w:rsidRPr="0046364E">
        <w:rPr>
          <w:rFonts w:ascii="Arial" w:hAnsi="Arial" w:cs="Arial"/>
          <w:color w:val="000000" w:themeColor="text1"/>
        </w:rPr>
        <w:t xml:space="preserve"> a été indexé annuellement selon la hausse des coût</w:t>
      </w:r>
      <w:r w:rsidR="002153B1">
        <w:rPr>
          <w:rFonts w:ascii="Arial" w:hAnsi="Arial" w:cs="Arial"/>
          <w:color w:val="000000" w:themeColor="text1"/>
        </w:rPr>
        <w:t>s</w:t>
      </w:r>
      <w:r w:rsidRPr="0046364E">
        <w:rPr>
          <w:rFonts w:ascii="Arial" w:hAnsi="Arial" w:cs="Arial"/>
          <w:color w:val="000000" w:themeColor="text1"/>
        </w:rPr>
        <w:t xml:space="preserve"> de fonctionnement (estimé</w:t>
      </w:r>
      <w:r w:rsidR="00CA45C7">
        <w:rPr>
          <w:rFonts w:ascii="Arial" w:hAnsi="Arial" w:cs="Arial"/>
          <w:color w:val="000000" w:themeColor="text1"/>
        </w:rPr>
        <w:t>e</w:t>
      </w:r>
      <w:r w:rsidRPr="0046364E">
        <w:rPr>
          <w:rFonts w:ascii="Arial" w:hAnsi="Arial" w:cs="Arial"/>
          <w:color w:val="000000" w:themeColor="text1"/>
        </w:rPr>
        <w:t xml:space="preserve"> à 3,25%) jusqu’en 2022, année du dernier budget du gouvernement de la</w:t>
      </w:r>
      <w:r w:rsidR="004E24F3">
        <w:rPr>
          <w:rFonts w:ascii="Arial" w:hAnsi="Arial" w:cs="Arial"/>
          <w:color w:val="000000" w:themeColor="text1"/>
        </w:rPr>
        <w:t xml:space="preserve"> [Coalition avenir Québec]</w:t>
      </w:r>
      <w:r w:rsidRPr="0046364E">
        <w:rPr>
          <w:rFonts w:ascii="Arial" w:hAnsi="Arial" w:cs="Arial"/>
          <w:color w:val="000000" w:themeColor="text1"/>
        </w:rPr>
        <w:t>.</w:t>
      </w:r>
    </w:p>
    <w:p w:rsidR="00780376" w:rsidRPr="0046364E" w:rsidRDefault="008E7221" w:rsidP="008E7221">
      <w:pPr>
        <w:pStyle w:val="NormalWeb"/>
        <w:shd w:val="clear" w:color="auto" w:fill="FFFFFF"/>
        <w:spacing w:before="0" w:beforeAutospacing="0" w:after="0" w:afterAutospacing="0"/>
        <w:ind w:left="708"/>
        <w:textAlignment w:val="baseline"/>
        <w:rPr>
          <w:rFonts w:ascii="Arial" w:hAnsi="Arial" w:cs="Arial"/>
          <w:color w:val="000000" w:themeColor="text1"/>
        </w:rPr>
      </w:pPr>
      <w:r w:rsidRPr="0046364E">
        <w:rPr>
          <w:rFonts w:ascii="Arial" w:hAnsi="Arial" w:cs="Arial"/>
          <w:color w:val="000000" w:themeColor="text1"/>
        </w:rPr>
        <w:t xml:space="preserve">Du montant des besoins ainsi indexés, les gains financiers à la mission obtenus depuis 2016 (115,7 millions </w:t>
      </w:r>
      <w:r w:rsidR="004E24F3">
        <w:rPr>
          <w:rFonts w:ascii="Arial" w:hAnsi="Arial" w:cs="Arial"/>
          <w:color w:val="000000" w:themeColor="text1"/>
        </w:rPr>
        <w:t>[de dollars]</w:t>
      </w:r>
      <w:r w:rsidRPr="0046364E">
        <w:rPr>
          <w:rFonts w:ascii="Arial" w:hAnsi="Arial" w:cs="Arial"/>
          <w:color w:val="000000" w:themeColor="text1"/>
        </w:rPr>
        <w:t xml:space="preserve">) ont été retirés. » </w:t>
      </w:r>
      <w:r w:rsidR="00780376" w:rsidRPr="0046364E">
        <w:rPr>
          <w:rStyle w:val="Appelnotedebasdep"/>
          <w:rFonts w:ascii="Arial" w:hAnsi="Arial"/>
          <w:bCs/>
          <w:color w:val="000000" w:themeColor="text1"/>
        </w:rPr>
        <w:footnoteReference w:id="2"/>
      </w:r>
    </w:p>
    <w:p w:rsidR="008E7221" w:rsidRPr="0046364E" w:rsidRDefault="008E7221" w:rsidP="008E7221">
      <w:pPr>
        <w:pStyle w:val="NormalWeb"/>
        <w:shd w:val="clear" w:color="auto" w:fill="FFFFFF"/>
        <w:spacing w:before="0" w:beforeAutospacing="0" w:after="0" w:afterAutospacing="0"/>
        <w:textAlignment w:val="baseline"/>
        <w:rPr>
          <w:rFonts w:ascii="Arial" w:hAnsi="Arial" w:cs="Arial"/>
          <w:color w:val="000000" w:themeColor="text1"/>
        </w:rPr>
      </w:pPr>
    </w:p>
    <w:p w:rsidR="009243C6" w:rsidRPr="0046364E" w:rsidRDefault="00F027AE" w:rsidP="0046676D">
      <w:pPr>
        <w:pStyle w:val="NormalWeb"/>
        <w:shd w:val="clear" w:color="auto" w:fill="FFFFFF"/>
        <w:spacing w:before="0" w:beforeAutospacing="0" w:after="200" w:afterAutospacing="0" w:line="276" w:lineRule="auto"/>
        <w:textAlignment w:val="baseline"/>
        <w:rPr>
          <w:rFonts w:ascii="Arial" w:hAnsi="Arial" w:cs="Arial"/>
          <w:color w:val="000000" w:themeColor="text1"/>
        </w:rPr>
      </w:pPr>
      <w:r w:rsidRPr="0046364E">
        <w:rPr>
          <w:rFonts w:ascii="Arial" w:hAnsi="Arial" w:cs="Arial"/>
          <w:color w:val="000000" w:themeColor="text1"/>
        </w:rPr>
        <w:t>Le problème du sous-financement du milieu communautaire n’est pas chose nouvelle. À l’instar du RQ-ACA, la COPHAN soutient que cela engendre plusieurs problèmes tel</w:t>
      </w:r>
      <w:r w:rsidR="002153B1">
        <w:rPr>
          <w:rFonts w:ascii="Arial" w:hAnsi="Arial" w:cs="Arial"/>
          <w:color w:val="000000" w:themeColor="text1"/>
        </w:rPr>
        <w:t>s</w:t>
      </w:r>
      <w:r w:rsidRPr="0046364E">
        <w:rPr>
          <w:rFonts w:ascii="Arial" w:hAnsi="Arial" w:cs="Arial"/>
          <w:color w:val="000000" w:themeColor="text1"/>
        </w:rPr>
        <w:t xml:space="preserve"> que la diminution des activités, les conditions de travail difficile</w:t>
      </w:r>
      <w:r w:rsidR="00BE1849">
        <w:rPr>
          <w:rFonts w:ascii="Arial" w:hAnsi="Arial" w:cs="Arial"/>
          <w:color w:val="000000" w:themeColor="text1"/>
        </w:rPr>
        <w:t>s</w:t>
      </w:r>
      <w:r w:rsidRPr="0046364E">
        <w:rPr>
          <w:rFonts w:ascii="Arial" w:hAnsi="Arial" w:cs="Arial"/>
          <w:color w:val="000000" w:themeColor="text1"/>
        </w:rPr>
        <w:t xml:space="preserve">, la réduction des heures d’ouverture, les </w:t>
      </w:r>
      <w:r w:rsidR="00561E2F" w:rsidRPr="0046364E">
        <w:rPr>
          <w:rFonts w:ascii="Arial" w:hAnsi="Arial" w:cs="Arial"/>
          <w:color w:val="000000" w:themeColor="text1"/>
        </w:rPr>
        <w:t xml:space="preserve">fermetures temporaires durant les périodes estivales, etc. </w:t>
      </w:r>
    </w:p>
    <w:p w:rsidR="00934B32" w:rsidRPr="0046364E" w:rsidRDefault="00561E2F" w:rsidP="00561E2F">
      <w:pPr>
        <w:pStyle w:val="NormalWeb"/>
        <w:shd w:val="clear" w:color="auto" w:fill="FFFFFF"/>
        <w:spacing w:before="0" w:beforeAutospacing="0" w:after="0" w:afterAutospacing="0" w:line="276" w:lineRule="auto"/>
        <w:ind w:left="708"/>
        <w:textAlignment w:val="baseline"/>
        <w:rPr>
          <w:rFonts w:ascii="Arial" w:hAnsi="Arial" w:cs="Arial"/>
          <w:color w:val="000000" w:themeColor="text1"/>
        </w:rPr>
      </w:pPr>
      <w:r w:rsidRPr="0046364E">
        <w:rPr>
          <w:rFonts w:ascii="Arial" w:hAnsi="Arial" w:cs="Arial"/>
          <w:b/>
          <w:bCs/>
          <w:color w:val="000000" w:themeColor="text1"/>
        </w:rPr>
        <w:lastRenderedPageBreak/>
        <w:t>Recommandation</w:t>
      </w:r>
      <w:r w:rsidRPr="0046364E">
        <w:rPr>
          <w:rFonts w:ascii="Arial" w:hAnsi="Arial" w:cs="Arial"/>
          <w:color w:val="000000" w:themeColor="text1"/>
        </w:rPr>
        <w:t xml:space="preserve"> : Que le gouvernement injecte un montant supplémentaire de 460 millions de dollars par année </w:t>
      </w:r>
      <w:r w:rsidR="00BE1849">
        <w:rPr>
          <w:rFonts w:ascii="Arial" w:hAnsi="Arial" w:cs="Arial"/>
          <w:color w:val="000000" w:themeColor="text1"/>
        </w:rPr>
        <w:t>pour</w:t>
      </w:r>
      <w:r w:rsidR="00BE1849" w:rsidRPr="0046364E">
        <w:rPr>
          <w:rFonts w:ascii="Arial" w:hAnsi="Arial" w:cs="Arial"/>
          <w:color w:val="000000" w:themeColor="text1"/>
        </w:rPr>
        <w:t xml:space="preserve"> </w:t>
      </w:r>
      <w:r w:rsidRPr="0046364E">
        <w:rPr>
          <w:rFonts w:ascii="Arial" w:hAnsi="Arial" w:cs="Arial"/>
          <w:color w:val="000000" w:themeColor="text1"/>
        </w:rPr>
        <w:t xml:space="preserve">le financement à la mission globale des organismes </w:t>
      </w:r>
      <w:r w:rsidR="009243C6">
        <w:rPr>
          <w:rFonts w:ascii="Arial" w:hAnsi="Arial" w:cs="Arial"/>
          <w:color w:val="000000" w:themeColor="text1"/>
        </w:rPr>
        <w:t>communautaires</w:t>
      </w:r>
      <w:r w:rsidRPr="0046364E">
        <w:rPr>
          <w:rFonts w:ascii="Arial" w:hAnsi="Arial" w:cs="Arial"/>
          <w:color w:val="000000" w:themeColor="text1"/>
        </w:rPr>
        <w:t xml:space="preserve"> d’ici 2022. </w:t>
      </w:r>
    </w:p>
    <w:p w:rsidR="008E7221" w:rsidRDefault="00561E2F" w:rsidP="009243C6">
      <w:pPr>
        <w:pStyle w:val="NormalWeb"/>
        <w:shd w:val="clear" w:color="auto" w:fill="FFFFFF"/>
        <w:spacing w:before="0" w:beforeAutospacing="0" w:after="0" w:afterAutospacing="0" w:line="276" w:lineRule="auto"/>
        <w:textAlignment w:val="baseline"/>
        <w:rPr>
          <w:rFonts w:ascii="Arial" w:hAnsi="Arial" w:cs="Arial"/>
          <w:color w:val="000000" w:themeColor="text1"/>
        </w:rPr>
      </w:pPr>
      <w:r w:rsidRPr="0046364E">
        <w:rPr>
          <w:rFonts w:ascii="Arial" w:hAnsi="Arial" w:cs="Arial"/>
          <w:color w:val="000000" w:themeColor="text1"/>
        </w:rPr>
        <w:t xml:space="preserve"> </w:t>
      </w:r>
    </w:p>
    <w:p w:rsidR="000D498E" w:rsidRPr="00CA5452" w:rsidRDefault="000D498E" w:rsidP="00A608CA">
      <w:pPr>
        <w:pStyle w:val="Titre2"/>
        <w:spacing w:after="200"/>
        <w:rPr>
          <w:rFonts w:ascii="Arial" w:hAnsi="Arial" w:cs="Arial"/>
        </w:rPr>
      </w:pPr>
      <w:bookmarkStart w:id="5" w:name="_Toc26517341"/>
      <w:r w:rsidRPr="00CA5452">
        <w:rPr>
          <w:rFonts w:ascii="Arial" w:hAnsi="Arial" w:cs="Arial"/>
        </w:rPr>
        <w:t>Récurrence et reconduction</w:t>
      </w:r>
      <w:bookmarkEnd w:id="5"/>
      <w:r w:rsidRPr="00CA5452">
        <w:rPr>
          <w:rFonts w:ascii="Arial" w:hAnsi="Arial" w:cs="Arial"/>
        </w:rPr>
        <w:t xml:space="preserve"> </w:t>
      </w:r>
    </w:p>
    <w:p w:rsidR="000D498E" w:rsidRPr="0046364E" w:rsidRDefault="000D498E" w:rsidP="000D498E">
      <w:pPr>
        <w:rPr>
          <w:rFonts w:ascii="Arial" w:hAnsi="Arial" w:cs="Arial"/>
          <w:sz w:val="24"/>
          <w:szCs w:val="24"/>
        </w:rPr>
      </w:pPr>
      <w:r w:rsidRPr="0046364E">
        <w:rPr>
          <w:rFonts w:ascii="Arial" w:hAnsi="Arial" w:cs="Arial"/>
          <w:sz w:val="24"/>
          <w:szCs w:val="24"/>
        </w:rPr>
        <w:t xml:space="preserve">À l’instar du RQ-ACA, la COPHAN insiste sur la récurrence du financement à la mission et de la nécessité d’ententes pluriannuelles afin de </w:t>
      </w:r>
      <w:r>
        <w:rPr>
          <w:rFonts w:ascii="Arial" w:hAnsi="Arial" w:cs="Arial"/>
          <w:sz w:val="24"/>
          <w:szCs w:val="24"/>
        </w:rPr>
        <w:t>pérenniser</w:t>
      </w:r>
      <w:r w:rsidRPr="0046364E">
        <w:rPr>
          <w:rFonts w:ascii="Arial" w:hAnsi="Arial" w:cs="Arial"/>
          <w:sz w:val="24"/>
          <w:szCs w:val="24"/>
        </w:rPr>
        <w:t xml:space="preserve"> le financement des organismes communautaires. En effet, il peut arriver des délais dans l’acheminement du financement en raison de la signature de nouveaux protocoles, des délais a</w:t>
      </w:r>
      <w:r>
        <w:rPr>
          <w:rFonts w:ascii="Arial" w:hAnsi="Arial" w:cs="Arial"/>
          <w:sz w:val="24"/>
          <w:szCs w:val="24"/>
        </w:rPr>
        <w:t xml:space="preserve">dministratifs supplémentaires, </w:t>
      </w:r>
      <w:r w:rsidRPr="0046364E">
        <w:rPr>
          <w:rFonts w:ascii="Arial" w:hAnsi="Arial" w:cs="Arial"/>
          <w:sz w:val="24"/>
          <w:szCs w:val="24"/>
        </w:rPr>
        <w:t>de la grande variété des dates de versement du soutien financier</w:t>
      </w:r>
      <w:r>
        <w:rPr>
          <w:rFonts w:ascii="Arial" w:hAnsi="Arial" w:cs="Arial"/>
          <w:sz w:val="24"/>
          <w:szCs w:val="24"/>
        </w:rPr>
        <w:t>, etc.</w:t>
      </w:r>
      <w:r w:rsidRPr="0046364E">
        <w:rPr>
          <w:rFonts w:ascii="Arial" w:hAnsi="Arial" w:cs="Arial"/>
          <w:sz w:val="24"/>
          <w:szCs w:val="24"/>
        </w:rPr>
        <w:t xml:space="preserve"> </w:t>
      </w:r>
      <w:r>
        <w:rPr>
          <w:rFonts w:ascii="Arial" w:hAnsi="Arial" w:cs="Arial"/>
          <w:sz w:val="24"/>
          <w:szCs w:val="24"/>
        </w:rPr>
        <w:t xml:space="preserve">La COPHAN est donc d’avis que les ententes soient pluriannuelles et que les dates de versement soient fixes. </w:t>
      </w:r>
    </w:p>
    <w:p w:rsidR="000D498E" w:rsidRDefault="000D498E" w:rsidP="000D498E">
      <w:pPr>
        <w:ind w:left="708"/>
        <w:rPr>
          <w:rFonts w:ascii="Arial" w:hAnsi="Arial" w:cs="Arial"/>
          <w:sz w:val="24"/>
          <w:szCs w:val="24"/>
        </w:rPr>
      </w:pPr>
      <w:r w:rsidRPr="0046364E">
        <w:rPr>
          <w:rFonts w:ascii="Arial" w:hAnsi="Arial" w:cs="Arial"/>
          <w:b/>
          <w:bCs/>
          <w:sz w:val="24"/>
          <w:szCs w:val="24"/>
        </w:rPr>
        <w:t>Recommandations</w:t>
      </w:r>
      <w:r w:rsidRPr="0046364E">
        <w:rPr>
          <w:rFonts w:ascii="Arial" w:hAnsi="Arial" w:cs="Arial"/>
          <w:sz w:val="24"/>
          <w:szCs w:val="24"/>
        </w:rPr>
        <w:t> :</w:t>
      </w:r>
    </w:p>
    <w:p w:rsidR="000D498E" w:rsidRPr="0046364E" w:rsidRDefault="000D498E" w:rsidP="000D498E">
      <w:pPr>
        <w:ind w:left="708"/>
        <w:rPr>
          <w:rFonts w:ascii="Arial" w:hAnsi="Arial" w:cs="Arial"/>
          <w:sz w:val="24"/>
          <w:szCs w:val="24"/>
        </w:rPr>
      </w:pPr>
      <w:r w:rsidRPr="0046364E">
        <w:rPr>
          <w:rFonts w:ascii="Arial" w:hAnsi="Arial" w:cs="Arial"/>
          <w:sz w:val="24"/>
          <w:szCs w:val="24"/>
        </w:rPr>
        <w:t xml:space="preserve">Que des mécanismes de reconduction automatique des ententes pluriannuelles soient mis en place afin d’éviter des délais dans l’acheminement du financement </w:t>
      </w:r>
      <w:r>
        <w:rPr>
          <w:rFonts w:ascii="Arial" w:hAnsi="Arial" w:cs="Arial"/>
          <w:sz w:val="24"/>
          <w:szCs w:val="24"/>
        </w:rPr>
        <w:t xml:space="preserve">aux </w:t>
      </w:r>
      <w:r w:rsidRPr="0046364E">
        <w:rPr>
          <w:rFonts w:ascii="Arial" w:hAnsi="Arial" w:cs="Arial"/>
          <w:sz w:val="24"/>
          <w:szCs w:val="24"/>
        </w:rPr>
        <w:t>organismes communautaires et que la démarche annuelle soit limité</w:t>
      </w:r>
      <w:r>
        <w:rPr>
          <w:rFonts w:ascii="Arial" w:hAnsi="Arial" w:cs="Arial"/>
          <w:sz w:val="24"/>
          <w:szCs w:val="24"/>
        </w:rPr>
        <w:t>e</w:t>
      </w:r>
      <w:r w:rsidRPr="0046364E">
        <w:rPr>
          <w:rFonts w:ascii="Arial" w:hAnsi="Arial" w:cs="Arial"/>
          <w:sz w:val="24"/>
          <w:szCs w:val="24"/>
        </w:rPr>
        <w:t xml:space="preserve"> à la mise à jour des informations le cas échéant (et non à une nouvelle signature); </w:t>
      </w:r>
    </w:p>
    <w:p w:rsidR="000D498E" w:rsidRPr="0046364E" w:rsidRDefault="000D498E" w:rsidP="000D498E">
      <w:pPr>
        <w:ind w:left="708"/>
        <w:rPr>
          <w:rFonts w:ascii="Arial" w:hAnsi="Arial" w:cs="Arial"/>
          <w:sz w:val="24"/>
          <w:szCs w:val="24"/>
        </w:rPr>
      </w:pPr>
      <w:r w:rsidRPr="0046364E">
        <w:rPr>
          <w:rFonts w:ascii="Arial" w:hAnsi="Arial" w:cs="Arial"/>
          <w:sz w:val="24"/>
          <w:szCs w:val="24"/>
        </w:rPr>
        <w:t>Que les dates de versement du soutien financier soient fixes et qu’elles tiennent compte de la réalité et des besoins des différents organismes communautaires</w:t>
      </w:r>
      <w:r>
        <w:rPr>
          <w:rFonts w:ascii="Arial" w:hAnsi="Arial" w:cs="Arial"/>
          <w:sz w:val="24"/>
          <w:szCs w:val="24"/>
        </w:rPr>
        <w:t xml:space="preserve">, en assurant toutefois une certaine flexibilité si le besoin est présent; </w:t>
      </w:r>
    </w:p>
    <w:p w:rsidR="000D498E" w:rsidRDefault="000D498E" w:rsidP="000D498E">
      <w:pPr>
        <w:ind w:left="708"/>
        <w:rPr>
          <w:rFonts w:ascii="Arial" w:hAnsi="Arial" w:cs="Arial"/>
          <w:sz w:val="24"/>
          <w:szCs w:val="24"/>
        </w:rPr>
      </w:pPr>
      <w:r w:rsidRPr="0046364E">
        <w:rPr>
          <w:rFonts w:ascii="Arial" w:hAnsi="Arial" w:cs="Arial"/>
          <w:sz w:val="24"/>
          <w:szCs w:val="24"/>
        </w:rPr>
        <w:t xml:space="preserve">Que la durée des ententes de financement soit minimalement </w:t>
      </w:r>
      <w:r>
        <w:rPr>
          <w:rFonts w:ascii="Arial" w:hAnsi="Arial" w:cs="Arial"/>
          <w:sz w:val="24"/>
          <w:szCs w:val="24"/>
        </w:rPr>
        <w:t xml:space="preserve">d’une durée de </w:t>
      </w:r>
      <w:r w:rsidR="00AA72BE">
        <w:rPr>
          <w:rFonts w:ascii="Arial" w:hAnsi="Arial" w:cs="Arial"/>
          <w:sz w:val="24"/>
          <w:szCs w:val="24"/>
        </w:rPr>
        <w:t>quatre</w:t>
      </w:r>
      <w:r w:rsidRPr="0046364E">
        <w:rPr>
          <w:rFonts w:ascii="Arial" w:hAnsi="Arial" w:cs="Arial"/>
          <w:sz w:val="24"/>
          <w:szCs w:val="24"/>
        </w:rPr>
        <w:t xml:space="preserve"> ans. </w:t>
      </w:r>
    </w:p>
    <w:p w:rsidR="00731E0D" w:rsidRDefault="00731E0D" w:rsidP="00731E0D">
      <w:pPr>
        <w:rPr>
          <w:rFonts w:ascii="Arial" w:eastAsia="Times New Roman" w:hAnsi="Arial" w:cs="Arial"/>
          <w:color w:val="000000" w:themeColor="text1"/>
          <w:sz w:val="24"/>
          <w:szCs w:val="24"/>
        </w:rPr>
      </w:pPr>
    </w:p>
    <w:p w:rsidR="00667AB6" w:rsidRPr="00CA5452" w:rsidRDefault="00667AB6" w:rsidP="00A608CA">
      <w:pPr>
        <w:pStyle w:val="Titre2"/>
        <w:spacing w:after="200"/>
        <w:rPr>
          <w:rFonts w:ascii="Arial" w:hAnsi="Arial" w:cs="Arial"/>
        </w:rPr>
      </w:pPr>
      <w:bookmarkStart w:id="6" w:name="_Toc26517342"/>
      <w:r w:rsidRPr="00CA5452">
        <w:rPr>
          <w:rFonts w:ascii="Arial" w:hAnsi="Arial" w:cs="Arial"/>
        </w:rPr>
        <w:t xml:space="preserve">Financement </w:t>
      </w:r>
      <w:r w:rsidR="00B03265" w:rsidRPr="00CA5452">
        <w:rPr>
          <w:rFonts w:ascii="Arial" w:hAnsi="Arial" w:cs="Arial"/>
        </w:rPr>
        <w:t>des projets ponctuels</w:t>
      </w:r>
      <w:bookmarkEnd w:id="6"/>
    </w:p>
    <w:p w:rsidR="00B03265" w:rsidRPr="0046364E" w:rsidRDefault="00B03265" w:rsidP="006B03C0">
      <w:pPr>
        <w:rPr>
          <w:rFonts w:ascii="Arial" w:hAnsi="Arial" w:cs="Arial"/>
          <w:sz w:val="24"/>
          <w:szCs w:val="24"/>
        </w:rPr>
      </w:pPr>
      <w:r w:rsidRPr="0046364E">
        <w:rPr>
          <w:rFonts w:ascii="Arial" w:hAnsi="Arial" w:cs="Arial"/>
          <w:sz w:val="24"/>
          <w:szCs w:val="24"/>
        </w:rPr>
        <w:t xml:space="preserve">Par le passé, un programme du </w:t>
      </w:r>
      <w:r w:rsidR="00BE1849" w:rsidRPr="0046364E">
        <w:rPr>
          <w:rFonts w:ascii="Arial" w:hAnsi="Arial" w:cs="Arial"/>
          <w:sz w:val="24"/>
          <w:szCs w:val="24"/>
        </w:rPr>
        <w:t>Secrétariat à l’action communautaire autonome et aux initiatives sociales (SACAIS)</w:t>
      </w:r>
      <w:r w:rsidRPr="0046364E">
        <w:rPr>
          <w:rFonts w:ascii="Arial" w:hAnsi="Arial" w:cs="Arial"/>
          <w:sz w:val="24"/>
          <w:szCs w:val="24"/>
        </w:rPr>
        <w:t xml:space="preserve"> était dédié </w:t>
      </w:r>
      <w:r w:rsidR="00017664">
        <w:rPr>
          <w:rFonts w:ascii="Arial" w:hAnsi="Arial" w:cs="Arial"/>
          <w:sz w:val="24"/>
          <w:szCs w:val="24"/>
        </w:rPr>
        <w:t>au financement de</w:t>
      </w:r>
      <w:r w:rsidR="00D23227" w:rsidRPr="0046364E">
        <w:rPr>
          <w:rFonts w:ascii="Arial" w:hAnsi="Arial" w:cs="Arial"/>
          <w:sz w:val="24"/>
          <w:szCs w:val="24"/>
        </w:rPr>
        <w:t xml:space="preserve"> projets </w:t>
      </w:r>
      <w:r w:rsidR="00F61022">
        <w:rPr>
          <w:rFonts w:ascii="Arial" w:hAnsi="Arial" w:cs="Arial"/>
          <w:sz w:val="24"/>
          <w:szCs w:val="24"/>
        </w:rPr>
        <w:t>ponctuels initiés</w:t>
      </w:r>
      <w:r w:rsidR="00D23227" w:rsidRPr="0046364E">
        <w:rPr>
          <w:rFonts w:ascii="Arial" w:hAnsi="Arial" w:cs="Arial"/>
          <w:sz w:val="24"/>
          <w:szCs w:val="24"/>
        </w:rPr>
        <w:t xml:space="preserve"> par les organismes </w:t>
      </w:r>
      <w:r w:rsidR="00C42119">
        <w:rPr>
          <w:rFonts w:ascii="Arial" w:hAnsi="Arial" w:cs="Arial"/>
          <w:sz w:val="24"/>
          <w:szCs w:val="24"/>
        </w:rPr>
        <w:t>communautaires</w:t>
      </w:r>
      <w:r w:rsidR="00D23227" w:rsidRPr="0046364E">
        <w:rPr>
          <w:rFonts w:ascii="Arial" w:hAnsi="Arial" w:cs="Arial"/>
          <w:sz w:val="24"/>
          <w:szCs w:val="24"/>
        </w:rPr>
        <w:t xml:space="preserve"> (par exemple, des projets de recherche, des formations, des activités d’éducation populaire ou de sensibilisation portant sur l’action communautaire). </w:t>
      </w:r>
      <w:r w:rsidR="00BE1849">
        <w:rPr>
          <w:rFonts w:ascii="Arial" w:hAnsi="Arial" w:cs="Arial"/>
          <w:sz w:val="24"/>
          <w:szCs w:val="24"/>
        </w:rPr>
        <w:t>U</w:t>
      </w:r>
      <w:r w:rsidR="00D23227" w:rsidRPr="0046364E">
        <w:rPr>
          <w:rFonts w:ascii="Arial" w:hAnsi="Arial" w:cs="Arial"/>
          <w:sz w:val="24"/>
          <w:szCs w:val="24"/>
        </w:rPr>
        <w:t>n tel programme était important pour permettre aux organismes communautaires de financer un projet ponctuel</w:t>
      </w:r>
      <w:r w:rsidR="000F7280">
        <w:rPr>
          <w:rFonts w:ascii="Arial" w:hAnsi="Arial" w:cs="Arial"/>
          <w:sz w:val="24"/>
          <w:szCs w:val="24"/>
        </w:rPr>
        <w:t xml:space="preserve">, </w:t>
      </w:r>
      <w:r w:rsidR="002926A4">
        <w:rPr>
          <w:rFonts w:ascii="Arial" w:hAnsi="Arial" w:cs="Arial"/>
          <w:sz w:val="24"/>
          <w:szCs w:val="24"/>
        </w:rPr>
        <w:t xml:space="preserve">toutefois, </w:t>
      </w:r>
      <w:r w:rsidR="000F7280">
        <w:rPr>
          <w:rFonts w:ascii="Arial" w:hAnsi="Arial" w:cs="Arial"/>
          <w:sz w:val="24"/>
          <w:szCs w:val="24"/>
        </w:rPr>
        <w:t>il a été arrêté</w:t>
      </w:r>
      <w:r w:rsidR="00D23227" w:rsidRPr="0046364E">
        <w:rPr>
          <w:rFonts w:ascii="Arial" w:hAnsi="Arial" w:cs="Arial"/>
          <w:sz w:val="24"/>
          <w:szCs w:val="24"/>
        </w:rPr>
        <w:t xml:space="preserve">. Nous suggérons de </w:t>
      </w:r>
      <w:r w:rsidR="00BE1849">
        <w:rPr>
          <w:rFonts w:ascii="Arial" w:hAnsi="Arial" w:cs="Arial"/>
          <w:sz w:val="24"/>
          <w:szCs w:val="24"/>
        </w:rPr>
        <w:t xml:space="preserve">le </w:t>
      </w:r>
      <w:r w:rsidR="00D23227" w:rsidRPr="0046364E">
        <w:rPr>
          <w:rFonts w:ascii="Arial" w:hAnsi="Arial" w:cs="Arial"/>
          <w:sz w:val="24"/>
          <w:szCs w:val="24"/>
        </w:rPr>
        <w:t xml:space="preserve">rétablir pour permettre aux organismes d’avoir </w:t>
      </w:r>
      <w:r w:rsidR="000F7280">
        <w:rPr>
          <w:rFonts w:ascii="Arial" w:hAnsi="Arial" w:cs="Arial"/>
          <w:sz w:val="24"/>
          <w:szCs w:val="24"/>
        </w:rPr>
        <w:t xml:space="preserve">un financement </w:t>
      </w:r>
      <w:r w:rsidR="00D23227" w:rsidRPr="0046364E">
        <w:rPr>
          <w:rFonts w:ascii="Arial" w:hAnsi="Arial" w:cs="Arial"/>
          <w:sz w:val="24"/>
          <w:szCs w:val="24"/>
        </w:rPr>
        <w:t>flexib</w:t>
      </w:r>
      <w:r w:rsidR="000F7280">
        <w:rPr>
          <w:rFonts w:ascii="Arial" w:hAnsi="Arial" w:cs="Arial"/>
          <w:sz w:val="24"/>
          <w:szCs w:val="24"/>
        </w:rPr>
        <w:t>le</w:t>
      </w:r>
      <w:r w:rsidR="00C42119">
        <w:rPr>
          <w:rFonts w:ascii="Arial" w:hAnsi="Arial" w:cs="Arial"/>
          <w:sz w:val="24"/>
          <w:szCs w:val="24"/>
        </w:rPr>
        <w:t xml:space="preserve"> </w:t>
      </w:r>
      <w:r w:rsidR="000F7280">
        <w:rPr>
          <w:rFonts w:ascii="Arial" w:hAnsi="Arial" w:cs="Arial"/>
          <w:sz w:val="24"/>
          <w:szCs w:val="24"/>
        </w:rPr>
        <w:t>pour des projets variés</w:t>
      </w:r>
      <w:r w:rsidR="00D23227" w:rsidRPr="0046364E">
        <w:rPr>
          <w:rFonts w:ascii="Arial" w:hAnsi="Arial" w:cs="Arial"/>
          <w:sz w:val="24"/>
          <w:szCs w:val="24"/>
        </w:rPr>
        <w:t xml:space="preserve">. </w:t>
      </w:r>
    </w:p>
    <w:p w:rsidR="00AC761F" w:rsidRDefault="00C97955" w:rsidP="000B41C1">
      <w:pPr>
        <w:ind w:left="708"/>
        <w:rPr>
          <w:rFonts w:ascii="Arial" w:hAnsi="Arial" w:cs="Arial"/>
          <w:sz w:val="24"/>
          <w:szCs w:val="24"/>
        </w:rPr>
      </w:pPr>
      <w:r w:rsidRPr="0046364E">
        <w:rPr>
          <w:rFonts w:ascii="Arial" w:hAnsi="Arial" w:cs="Arial"/>
          <w:b/>
          <w:sz w:val="24"/>
          <w:szCs w:val="24"/>
        </w:rPr>
        <w:t>Recommandation</w:t>
      </w:r>
      <w:r w:rsidRPr="0046364E">
        <w:rPr>
          <w:rFonts w:ascii="Arial" w:hAnsi="Arial" w:cs="Arial"/>
          <w:sz w:val="24"/>
          <w:szCs w:val="24"/>
        </w:rPr>
        <w:t xml:space="preserve"> : </w:t>
      </w:r>
      <w:r w:rsidR="00D23227" w:rsidRPr="0046364E">
        <w:rPr>
          <w:rFonts w:ascii="Arial" w:hAnsi="Arial" w:cs="Arial"/>
          <w:sz w:val="24"/>
          <w:szCs w:val="24"/>
        </w:rPr>
        <w:t>Que le programme du SACAIS dédié</w:t>
      </w:r>
      <w:r w:rsidR="000E0F96" w:rsidRPr="0046364E">
        <w:rPr>
          <w:rFonts w:ascii="Arial" w:hAnsi="Arial" w:cs="Arial"/>
          <w:sz w:val="24"/>
          <w:szCs w:val="24"/>
        </w:rPr>
        <w:t xml:space="preserve"> </w:t>
      </w:r>
      <w:r w:rsidR="00D23227" w:rsidRPr="0046364E">
        <w:rPr>
          <w:rFonts w:ascii="Arial" w:hAnsi="Arial" w:cs="Arial"/>
          <w:sz w:val="24"/>
          <w:szCs w:val="24"/>
        </w:rPr>
        <w:t>à financer des projets</w:t>
      </w:r>
      <w:r w:rsidR="00C858BC">
        <w:rPr>
          <w:rFonts w:ascii="Arial" w:hAnsi="Arial" w:cs="Arial"/>
          <w:sz w:val="24"/>
          <w:szCs w:val="24"/>
        </w:rPr>
        <w:t xml:space="preserve"> ponctuels</w:t>
      </w:r>
      <w:r w:rsidR="00D23227" w:rsidRPr="0046364E">
        <w:rPr>
          <w:rFonts w:ascii="Arial" w:hAnsi="Arial" w:cs="Arial"/>
          <w:sz w:val="24"/>
          <w:szCs w:val="24"/>
        </w:rPr>
        <w:t xml:space="preserve"> soit remis en </w:t>
      </w:r>
      <w:r w:rsidR="00D23227" w:rsidRPr="002349F6">
        <w:rPr>
          <w:rFonts w:ascii="Arial" w:hAnsi="Arial" w:cs="Arial"/>
          <w:sz w:val="24"/>
          <w:szCs w:val="24"/>
        </w:rPr>
        <w:t>place pour favoriser la diversification du financement des organismes communautaires et perm</w:t>
      </w:r>
      <w:r w:rsidR="002349F6" w:rsidRPr="002349F6">
        <w:rPr>
          <w:rFonts w:ascii="Arial" w:hAnsi="Arial" w:cs="Arial"/>
          <w:sz w:val="24"/>
          <w:szCs w:val="24"/>
        </w:rPr>
        <w:t xml:space="preserve">ettre le financement de projets, par exemple, des </w:t>
      </w:r>
      <w:r w:rsidR="002349F6" w:rsidRPr="002349F6">
        <w:rPr>
          <w:rFonts w:ascii="Arial" w:hAnsi="Arial" w:cs="Arial"/>
          <w:sz w:val="24"/>
          <w:szCs w:val="24"/>
        </w:rPr>
        <w:lastRenderedPageBreak/>
        <w:t>recherche</w:t>
      </w:r>
      <w:r w:rsidR="00F0568D">
        <w:rPr>
          <w:rFonts w:ascii="Arial" w:hAnsi="Arial" w:cs="Arial"/>
          <w:sz w:val="24"/>
          <w:szCs w:val="24"/>
        </w:rPr>
        <w:t>s</w:t>
      </w:r>
      <w:r w:rsidR="002349F6" w:rsidRPr="002349F6">
        <w:rPr>
          <w:rFonts w:ascii="Arial" w:hAnsi="Arial" w:cs="Arial"/>
          <w:sz w:val="24"/>
          <w:szCs w:val="24"/>
        </w:rPr>
        <w:t>, des formations, des activités d’éducation populaire ou de sensibilisation portant sur l’action communautaire.</w:t>
      </w:r>
    </w:p>
    <w:p w:rsidR="008B5655" w:rsidRDefault="008B5655" w:rsidP="000B41C1">
      <w:pPr>
        <w:rPr>
          <w:rFonts w:ascii="Arial" w:hAnsi="Arial" w:cs="Arial"/>
          <w:sz w:val="24"/>
          <w:szCs w:val="24"/>
        </w:rPr>
      </w:pPr>
    </w:p>
    <w:p w:rsidR="00CA5452" w:rsidRPr="00CA5452" w:rsidRDefault="0029286D" w:rsidP="00A608CA">
      <w:pPr>
        <w:pStyle w:val="Titre2"/>
        <w:spacing w:after="200"/>
        <w:rPr>
          <w:rFonts w:ascii="Arial" w:hAnsi="Arial" w:cs="Arial"/>
        </w:rPr>
      </w:pPr>
      <w:bookmarkStart w:id="7" w:name="_Toc26517343"/>
      <w:r>
        <w:rPr>
          <w:rFonts w:ascii="Arial" w:hAnsi="Arial" w:cs="Arial"/>
        </w:rPr>
        <w:t>H</w:t>
      </w:r>
      <w:r w:rsidR="00CA5452" w:rsidRPr="00CA5452">
        <w:rPr>
          <w:rFonts w:ascii="Arial" w:hAnsi="Arial" w:cs="Arial"/>
        </w:rPr>
        <w:t>armonisation du financement entre les différentes régions</w:t>
      </w:r>
      <w:bookmarkEnd w:id="7"/>
      <w:r w:rsidR="00CA5452" w:rsidRPr="00CA5452">
        <w:rPr>
          <w:rFonts w:ascii="Arial" w:hAnsi="Arial" w:cs="Arial"/>
        </w:rPr>
        <w:t xml:space="preserve"> </w:t>
      </w:r>
    </w:p>
    <w:p w:rsidR="00CA5452" w:rsidRPr="0046364E" w:rsidRDefault="00CA5452" w:rsidP="00CA5452">
      <w:pPr>
        <w:rPr>
          <w:rFonts w:ascii="Arial" w:hAnsi="Arial" w:cs="Arial"/>
          <w:sz w:val="24"/>
          <w:szCs w:val="24"/>
        </w:rPr>
      </w:pPr>
      <w:r w:rsidRPr="0046364E">
        <w:rPr>
          <w:rFonts w:ascii="Arial" w:hAnsi="Arial" w:cs="Arial"/>
          <w:sz w:val="24"/>
          <w:szCs w:val="24"/>
        </w:rPr>
        <w:t xml:space="preserve">Bien que la présente consultation concerne </w:t>
      </w:r>
      <w:r w:rsidR="001675A0">
        <w:rPr>
          <w:rFonts w:ascii="Arial" w:hAnsi="Arial" w:cs="Arial"/>
          <w:sz w:val="24"/>
          <w:szCs w:val="24"/>
        </w:rPr>
        <w:t>le PAGAC</w:t>
      </w:r>
      <w:r w:rsidRPr="0046364E">
        <w:rPr>
          <w:rFonts w:ascii="Arial" w:hAnsi="Arial" w:cs="Arial"/>
          <w:sz w:val="24"/>
          <w:szCs w:val="24"/>
        </w:rPr>
        <w:t xml:space="preserve">, nous nous permettons de mettre de l’avant </w:t>
      </w:r>
      <w:r w:rsidR="000F7280">
        <w:rPr>
          <w:rFonts w:ascii="Arial" w:hAnsi="Arial" w:cs="Arial"/>
          <w:sz w:val="24"/>
          <w:szCs w:val="24"/>
        </w:rPr>
        <w:t>la nécessité d’</w:t>
      </w:r>
      <w:r w:rsidRPr="0046364E">
        <w:rPr>
          <w:rFonts w:ascii="Arial" w:hAnsi="Arial" w:cs="Arial"/>
          <w:sz w:val="24"/>
          <w:szCs w:val="24"/>
        </w:rPr>
        <w:t xml:space="preserve">une meilleure harmonisation </w:t>
      </w:r>
      <w:r w:rsidR="00976BF7">
        <w:rPr>
          <w:rFonts w:ascii="Arial" w:hAnsi="Arial" w:cs="Arial"/>
          <w:sz w:val="24"/>
          <w:szCs w:val="24"/>
        </w:rPr>
        <w:t>entre les régions du</w:t>
      </w:r>
      <w:r w:rsidRPr="0046364E">
        <w:rPr>
          <w:rFonts w:ascii="Arial" w:hAnsi="Arial" w:cs="Arial"/>
          <w:sz w:val="24"/>
          <w:szCs w:val="24"/>
        </w:rPr>
        <w:t xml:space="preserve"> Programme de soutien aux organismes communautaire</w:t>
      </w:r>
      <w:r w:rsidR="00441755">
        <w:rPr>
          <w:rFonts w:ascii="Arial" w:hAnsi="Arial" w:cs="Arial"/>
          <w:sz w:val="24"/>
          <w:szCs w:val="24"/>
        </w:rPr>
        <w:t>s</w:t>
      </w:r>
      <w:r w:rsidRPr="0046364E">
        <w:rPr>
          <w:rFonts w:ascii="Arial" w:hAnsi="Arial" w:cs="Arial"/>
          <w:sz w:val="24"/>
          <w:szCs w:val="24"/>
        </w:rPr>
        <w:t xml:space="preserve"> (PSOC) du </w:t>
      </w:r>
      <w:r w:rsidR="0009247F">
        <w:rPr>
          <w:rFonts w:ascii="Arial" w:hAnsi="Arial" w:cs="Arial"/>
          <w:sz w:val="24"/>
          <w:szCs w:val="24"/>
        </w:rPr>
        <w:t>m</w:t>
      </w:r>
      <w:r w:rsidRPr="0046364E">
        <w:rPr>
          <w:rFonts w:ascii="Arial" w:hAnsi="Arial" w:cs="Arial"/>
          <w:sz w:val="24"/>
          <w:szCs w:val="24"/>
        </w:rPr>
        <w:t>inistère de l</w:t>
      </w:r>
      <w:r w:rsidR="00976BF7">
        <w:rPr>
          <w:rFonts w:ascii="Arial" w:hAnsi="Arial" w:cs="Arial"/>
          <w:sz w:val="24"/>
          <w:szCs w:val="24"/>
        </w:rPr>
        <w:t xml:space="preserve">a Santé et des Services sociaux </w:t>
      </w:r>
      <w:r w:rsidRPr="0046364E">
        <w:rPr>
          <w:rFonts w:ascii="Arial" w:hAnsi="Arial" w:cs="Arial"/>
          <w:sz w:val="24"/>
          <w:szCs w:val="24"/>
        </w:rPr>
        <w:t xml:space="preserve">et </w:t>
      </w:r>
      <w:r w:rsidR="000F7280">
        <w:rPr>
          <w:rFonts w:ascii="Arial" w:hAnsi="Arial" w:cs="Arial"/>
          <w:sz w:val="24"/>
          <w:szCs w:val="24"/>
        </w:rPr>
        <w:t>d’</w:t>
      </w:r>
      <w:r w:rsidRPr="0046364E">
        <w:rPr>
          <w:rFonts w:ascii="Arial" w:hAnsi="Arial" w:cs="Arial"/>
          <w:sz w:val="24"/>
          <w:szCs w:val="24"/>
        </w:rPr>
        <w:t>une meilleure explication des sommes allouées aux différents organismes. En effet, nos membres s’interrogent puisqu’il existe de grande</w:t>
      </w:r>
      <w:r>
        <w:rPr>
          <w:rFonts w:ascii="Arial" w:hAnsi="Arial" w:cs="Arial"/>
          <w:sz w:val="24"/>
          <w:szCs w:val="24"/>
        </w:rPr>
        <w:t>s</w:t>
      </w:r>
      <w:r w:rsidRPr="0046364E">
        <w:rPr>
          <w:rFonts w:ascii="Arial" w:hAnsi="Arial" w:cs="Arial"/>
          <w:sz w:val="24"/>
          <w:szCs w:val="24"/>
        </w:rPr>
        <w:t xml:space="preserve"> disparités entre les régions concernant le financement reçu. Une meilleure harmonisation entre les différents ministères</w:t>
      </w:r>
      <w:r w:rsidR="00976BF7">
        <w:rPr>
          <w:rFonts w:ascii="Arial" w:hAnsi="Arial" w:cs="Arial"/>
          <w:sz w:val="24"/>
          <w:szCs w:val="24"/>
        </w:rPr>
        <w:t xml:space="preserve"> sur l’attribution du financement</w:t>
      </w:r>
      <w:r w:rsidRPr="0046364E">
        <w:rPr>
          <w:rFonts w:ascii="Arial" w:hAnsi="Arial" w:cs="Arial"/>
          <w:sz w:val="24"/>
          <w:szCs w:val="24"/>
        </w:rPr>
        <w:t xml:space="preserve"> est de mise. </w:t>
      </w:r>
    </w:p>
    <w:p w:rsidR="00CA5452" w:rsidRDefault="00CA5452" w:rsidP="00CA5452">
      <w:pPr>
        <w:ind w:left="708"/>
        <w:rPr>
          <w:rFonts w:ascii="Arial" w:hAnsi="Arial" w:cs="Arial"/>
          <w:sz w:val="24"/>
          <w:szCs w:val="24"/>
        </w:rPr>
      </w:pPr>
      <w:r w:rsidRPr="0046364E">
        <w:rPr>
          <w:rFonts w:ascii="Arial" w:hAnsi="Arial" w:cs="Arial"/>
          <w:b/>
          <w:sz w:val="24"/>
          <w:szCs w:val="24"/>
        </w:rPr>
        <w:t>Recommandation</w:t>
      </w:r>
      <w:r w:rsidRPr="0046364E">
        <w:rPr>
          <w:rFonts w:ascii="Arial" w:hAnsi="Arial" w:cs="Arial"/>
          <w:sz w:val="24"/>
          <w:szCs w:val="24"/>
        </w:rPr>
        <w:t xml:space="preserve"> : Qu’une harmonisation du PSOC soit faite pour limiter les grandes disparités régionales et qu’une meilleure explication en lien avec leurs modalités de versement soit </w:t>
      </w:r>
      <w:r w:rsidR="00BE1849">
        <w:rPr>
          <w:rFonts w:ascii="Arial" w:hAnsi="Arial" w:cs="Arial"/>
          <w:sz w:val="24"/>
          <w:szCs w:val="24"/>
        </w:rPr>
        <w:t>donnée</w:t>
      </w:r>
      <w:r w:rsidRPr="0046364E">
        <w:rPr>
          <w:rFonts w:ascii="Arial" w:hAnsi="Arial" w:cs="Arial"/>
          <w:sz w:val="24"/>
          <w:szCs w:val="24"/>
        </w:rPr>
        <w:t>.</w:t>
      </w:r>
      <w:r>
        <w:rPr>
          <w:rFonts w:ascii="Arial" w:hAnsi="Arial" w:cs="Arial"/>
          <w:sz w:val="24"/>
          <w:szCs w:val="24"/>
        </w:rPr>
        <w:t xml:space="preserve"> </w:t>
      </w:r>
    </w:p>
    <w:p w:rsidR="00611CEF" w:rsidRPr="00611CEF" w:rsidRDefault="00611CEF" w:rsidP="00611CEF"/>
    <w:p w:rsidR="00E4472E" w:rsidRDefault="00E4472E" w:rsidP="00956CD9">
      <w:pPr>
        <w:pStyle w:val="Titre1"/>
        <w:spacing w:after="200"/>
        <w:rPr>
          <w:rFonts w:ascii="Arial" w:hAnsi="Arial" w:cs="Arial"/>
          <w:sz w:val="32"/>
          <w:szCs w:val="32"/>
        </w:rPr>
      </w:pPr>
    </w:p>
    <w:p w:rsidR="00E4472E" w:rsidRDefault="00E4472E" w:rsidP="00956CD9">
      <w:pPr>
        <w:pStyle w:val="Titre1"/>
        <w:spacing w:after="200"/>
        <w:rPr>
          <w:rFonts w:ascii="Arial" w:hAnsi="Arial" w:cs="Arial"/>
          <w:sz w:val="32"/>
          <w:szCs w:val="32"/>
        </w:rPr>
      </w:pPr>
    </w:p>
    <w:p w:rsidR="00E4472E" w:rsidRDefault="00E4472E" w:rsidP="00956CD9">
      <w:pPr>
        <w:pStyle w:val="Titre1"/>
        <w:spacing w:after="200"/>
        <w:rPr>
          <w:rFonts w:ascii="Arial" w:hAnsi="Arial" w:cs="Arial"/>
          <w:sz w:val="32"/>
          <w:szCs w:val="32"/>
        </w:rPr>
      </w:pPr>
    </w:p>
    <w:p w:rsidR="00E4472E" w:rsidRDefault="00E4472E" w:rsidP="00956CD9">
      <w:pPr>
        <w:pStyle w:val="Titre1"/>
        <w:spacing w:after="200"/>
        <w:rPr>
          <w:rFonts w:ascii="Arial" w:hAnsi="Arial" w:cs="Arial"/>
          <w:sz w:val="32"/>
          <w:szCs w:val="32"/>
        </w:rPr>
      </w:pPr>
    </w:p>
    <w:p w:rsidR="00E4472E" w:rsidRDefault="00E4472E" w:rsidP="00E4472E"/>
    <w:p w:rsidR="00E4472E" w:rsidRDefault="00E4472E" w:rsidP="00E4472E"/>
    <w:p w:rsidR="00E4472E" w:rsidRDefault="00E4472E" w:rsidP="00E4472E"/>
    <w:p w:rsidR="00E4472E" w:rsidRDefault="00E4472E" w:rsidP="00E4472E"/>
    <w:p w:rsidR="00A4108D" w:rsidRPr="00611CEF" w:rsidRDefault="00870576" w:rsidP="00956CD9">
      <w:pPr>
        <w:pStyle w:val="Titre1"/>
        <w:spacing w:after="200"/>
        <w:rPr>
          <w:rFonts w:ascii="Arial" w:hAnsi="Arial" w:cs="Arial"/>
          <w:sz w:val="32"/>
          <w:szCs w:val="32"/>
        </w:rPr>
      </w:pPr>
      <w:bookmarkStart w:id="8" w:name="_Toc26517344"/>
      <w:r w:rsidRPr="00611CEF">
        <w:rPr>
          <w:rFonts w:ascii="Arial" w:hAnsi="Arial" w:cs="Arial"/>
          <w:sz w:val="32"/>
          <w:szCs w:val="32"/>
        </w:rPr>
        <w:lastRenderedPageBreak/>
        <w:t>Cohérence de l’intervention gouvernementale</w:t>
      </w:r>
      <w:bookmarkEnd w:id="8"/>
      <w:r w:rsidRPr="00611CEF">
        <w:rPr>
          <w:rFonts w:ascii="Arial" w:hAnsi="Arial" w:cs="Arial"/>
          <w:sz w:val="32"/>
          <w:szCs w:val="32"/>
        </w:rPr>
        <w:t xml:space="preserve"> </w:t>
      </w:r>
    </w:p>
    <w:p w:rsidR="0029286D" w:rsidRDefault="0029286D" w:rsidP="000D498E">
      <w:pPr>
        <w:pStyle w:val="Titre2"/>
        <w:rPr>
          <w:rFonts w:ascii="Arial" w:hAnsi="Arial" w:cs="Arial"/>
        </w:rPr>
      </w:pPr>
    </w:p>
    <w:p w:rsidR="000D498E" w:rsidRPr="00CA5452" w:rsidRDefault="0029286D" w:rsidP="00A608CA">
      <w:pPr>
        <w:pStyle w:val="Titre2"/>
        <w:spacing w:after="200"/>
        <w:rPr>
          <w:rFonts w:ascii="Arial" w:hAnsi="Arial" w:cs="Arial"/>
        </w:rPr>
      </w:pPr>
      <w:bookmarkStart w:id="9" w:name="_Toc26517345"/>
      <w:r>
        <w:rPr>
          <w:rFonts w:ascii="Arial" w:hAnsi="Arial" w:cs="Arial"/>
        </w:rPr>
        <w:t>Inclusion d’une clause d’h</w:t>
      </w:r>
      <w:r w:rsidR="000D498E">
        <w:rPr>
          <w:rFonts w:ascii="Arial" w:hAnsi="Arial" w:cs="Arial"/>
        </w:rPr>
        <w:t>andi-responsabilité</w:t>
      </w:r>
      <w:bookmarkEnd w:id="9"/>
      <w:r w:rsidR="000D498E">
        <w:rPr>
          <w:rFonts w:ascii="Arial" w:hAnsi="Arial" w:cs="Arial"/>
        </w:rPr>
        <w:t xml:space="preserve"> </w:t>
      </w:r>
    </w:p>
    <w:p w:rsidR="0004401F" w:rsidRDefault="00AB715B" w:rsidP="000D498E">
      <w:pPr>
        <w:spacing w:after="0"/>
        <w:rPr>
          <w:rFonts w:ascii="Arial" w:hAnsi="Arial" w:cs="Arial"/>
          <w:sz w:val="24"/>
          <w:szCs w:val="24"/>
        </w:rPr>
      </w:pPr>
      <w:r w:rsidRPr="00A8688A">
        <w:rPr>
          <w:rFonts w:ascii="Arial" w:hAnsi="Arial" w:cs="Arial"/>
          <w:sz w:val="24"/>
          <w:szCs w:val="24"/>
        </w:rPr>
        <w:t>Pour s’assurer d’une conception universelle, des personnes ayant des limitations fonctionnelles doivent être impliquées, de la conception à la mise en œuvre de tout projet, selon le principe d’handi-responsabilité. Inspirée du principe d’écoresponsabilité, qui vise à tenir compte du respect à long terme de l'environnement physique, social et économique, l’handi-responsabilité est un concept qui consiste à toujours considérer les obstacles qui peuvent être créés dans l’interaction entre la personne ayant des limitations fonctionnelles et son environnement afin d’éviter, ou de limiter, le</w:t>
      </w:r>
      <w:r w:rsidR="005E4583">
        <w:rPr>
          <w:rFonts w:ascii="Arial" w:hAnsi="Arial" w:cs="Arial"/>
          <w:sz w:val="24"/>
          <w:szCs w:val="24"/>
        </w:rPr>
        <w:t xml:space="preserve">s situations de </w:t>
      </w:r>
      <w:r w:rsidRPr="00A8688A">
        <w:rPr>
          <w:rFonts w:ascii="Arial" w:hAnsi="Arial" w:cs="Arial"/>
          <w:sz w:val="24"/>
          <w:szCs w:val="24"/>
        </w:rPr>
        <w:t>handicap. Une façon concrète d’appliquer ce principe est l’utilisation de l’analyse différenciée selon les capacités. À l’instar de l’analyse différenciée selon les sexes, il s’agit de faire ressortir la spécificité des personnes ayant des limitations fonctionnelles dans l’ensemble des données collectées.</w:t>
      </w:r>
      <w:r w:rsidR="007C362D">
        <w:rPr>
          <w:rFonts w:ascii="Arial" w:hAnsi="Arial" w:cs="Arial"/>
          <w:sz w:val="24"/>
          <w:szCs w:val="24"/>
        </w:rPr>
        <w:t xml:space="preserve"> </w:t>
      </w:r>
    </w:p>
    <w:p w:rsidR="0029286D" w:rsidRDefault="0029286D" w:rsidP="00CA45C7">
      <w:pPr>
        <w:spacing w:after="0"/>
        <w:ind w:left="708"/>
        <w:rPr>
          <w:rFonts w:ascii="Arial" w:eastAsia="Times New Roman" w:hAnsi="Arial" w:cs="Arial"/>
          <w:b/>
          <w:bCs/>
          <w:color w:val="000000" w:themeColor="text1"/>
          <w:sz w:val="24"/>
          <w:szCs w:val="24"/>
        </w:rPr>
      </w:pPr>
    </w:p>
    <w:p w:rsidR="002E1898" w:rsidRDefault="000D498E" w:rsidP="00CA45C7">
      <w:pPr>
        <w:spacing w:after="0"/>
        <w:ind w:left="708"/>
        <w:rPr>
          <w:rFonts w:ascii="Arial" w:eastAsia="Times New Roman" w:hAnsi="Arial" w:cs="Arial"/>
          <w:color w:val="000000" w:themeColor="text1"/>
          <w:sz w:val="24"/>
          <w:szCs w:val="24"/>
        </w:rPr>
      </w:pPr>
      <w:r w:rsidRPr="000D2BB4">
        <w:rPr>
          <w:rFonts w:ascii="Arial" w:eastAsia="Times New Roman" w:hAnsi="Arial" w:cs="Arial"/>
          <w:b/>
          <w:bCs/>
          <w:color w:val="000000" w:themeColor="text1"/>
          <w:sz w:val="24"/>
          <w:szCs w:val="24"/>
        </w:rPr>
        <w:t>Recommandation</w:t>
      </w:r>
      <w:r w:rsidR="002E1898" w:rsidRPr="000D2BB4">
        <w:rPr>
          <w:rFonts w:ascii="Arial" w:eastAsia="Times New Roman" w:hAnsi="Arial" w:cs="Arial"/>
          <w:b/>
          <w:bCs/>
          <w:color w:val="000000" w:themeColor="text1"/>
          <w:sz w:val="24"/>
          <w:szCs w:val="24"/>
        </w:rPr>
        <w:t>s</w:t>
      </w:r>
      <w:r w:rsidRPr="000D2BB4">
        <w:rPr>
          <w:rFonts w:ascii="Arial" w:eastAsia="Times New Roman" w:hAnsi="Arial" w:cs="Arial"/>
          <w:color w:val="000000" w:themeColor="text1"/>
          <w:sz w:val="24"/>
          <w:szCs w:val="24"/>
        </w:rPr>
        <w:t xml:space="preserve"> :</w:t>
      </w:r>
      <w:r w:rsidRPr="0046364E">
        <w:rPr>
          <w:rFonts w:ascii="Arial" w:eastAsia="Times New Roman" w:hAnsi="Arial" w:cs="Arial"/>
          <w:color w:val="000000" w:themeColor="text1"/>
          <w:sz w:val="24"/>
          <w:szCs w:val="24"/>
        </w:rPr>
        <w:t xml:space="preserve"> </w:t>
      </w:r>
    </w:p>
    <w:p w:rsidR="00AB7E85" w:rsidRDefault="00E62BFD" w:rsidP="00330F8D">
      <w:pPr>
        <w:ind w:left="70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Que tous les </w:t>
      </w:r>
      <w:r w:rsidR="000D498E" w:rsidRPr="00E65F00">
        <w:rPr>
          <w:rFonts w:ascii="Arial" w:eastAsia="Times New Roman" w:hAnsi="Arial" w:cs="Arial"/>
          <w:color w:val="000000" w:themeColor="text1"/>
          <w:sz w:val="24"/>
          <w:szCs w:val="24"/>
        </w:rPr>
        <w:t>programme</w:t>
      </w:r>
      <w:r>
        <w:rPr>
          <w:rFonts w:ascii="Arial" w:eastAsia="Times New Roman" w:hAnsi="Arial" w:cs="Arial"/>
          <w:color w:val="000000" w:themeColor="text1"/>
          <w:sz w:val="24"/>
          <w:szCs w:val="24"/>
        </w:rPr>
        <w:t>s</w:t>
      </w:r>
      <w:r w:rsidR="000D498E" w:rsidRPr="00E65F00">
        <w:rPr>
          <w:rFonts w:ascii="Arial" w:eastAsia="Times New Roman" w:hAnsi="Arial" w:cs="Arial"/>
          <w:color w:val="000000" w:themeColor="text1"/>
          <w:sz w:val="24"/>
          <w:szCs w:val="24"/>
        </w:rPr>
        <w:t>, projet</w:t>
      </w:r>
      <w:r>
        <w:rPr>
          <w:rFonts w:ascii="Arial" w:eastAsia="Times New Roman" w:hAnsi="Arial" w:cs="Arial"/>
          <w:color w:val="000000" w:themeColor="text1"/>
          <w:sz w:val="24"/>
          <w:szCs w:val="24"/>
        </w:rPr>
        <w:t>s</w:t>
      </w:r>
      <w:r w:rsidR="000D498E" w:rsidRPr="00E65F00">
        <w:rPr>
          <w:rFonts w:ascii="Arial" w:eastAsia="Times New Roman" w:hAnsi="Arial" w:cs="Arial"/>
          <w:color w:val="000000" w:themeColor="text1"/>
          <w:sz w:val="24"/>
          <w:szCs w:val="24"/>
        </w:rPr>
        <w:t xml:space="preserve"> ou appel</w:t>
      </w:r>
      <w:r>
        <w:rPr>
          <w:rFonts w:ascii="Arial" w:eastAsia="Times New Roman" w:hAnsi="Arial" w:cs="Arial"/>
          <w:color w:val="000000" w:themeColor="text1"/>
          <w:sz w:val="24"/>
          <w:szCs w:val="24"/>
        </w:rPr>
        <w:t>s</w:t>
      </w:r>
      <w:r w:rsidR="000D498E" w:rsidRPr="00E65F00">
        <w:rPr>
          <w:rFonts w:ascii="Arial" w:eastAsia="Times New Roman" w:hAnsi="Arial" w:cs="Arial"/>
          <w:color w:val="000000" w:themeColor="text1"/>
          <w:sz w:val="24"/>
          <w:szCs w:val="24"/>
        </w:rPr>
        <w:t xml:space="preserve"> à projets qui </w:t>
      </w:r>
      <w:r>
        <w:rPr>
          <w:rFonts w:ascii="Arial" w:eastAsia="Times New Roman" w:hAnsi="Arial" w:cs="Arial"/>
          <w:color w:val="000000" w:themeColor="text1"/>
          <w:sz w:val="24"/>
          <w:szCs w:val="24"/>
        </w:rPr>
        <w:t>sont</w:t>
      </w:r>
      <w:r w:rsidR="000D498E" w:rsidRPr="00E65F00">
        <w:rPr>
          <w:rFonts w:ascii="Arial" w:eastAsia="Times New Roman" w:hAnsi="Arial" w:cs="Arial"/>
          <w:color w:val="000000" w:themeColor="text1"/>
          <w:sz w:val="24"/>
          <w:szCs w:val="24"/>
        </w:rPr>
        <w:t xml:space="preserve"> de financement public </w:t>
      </w:r>
      <w:r w:rsidR="00521921" w:rsidRPr="00E65F00">
        <w:rPr>
          <w:rFonts w:ascii="Arial" w:eastAsia="Times New Roman" w:hAnsi="Arial" w:cs="Arial"/>
          <w:color w:val="000000" w:themeColor="text1"/>
          <w:sz w:val="24"/>
          <w:szCs w:val="24"/>
        </w:rPr>
        <w:t>tienne</w:t>
      </w:r>
      <w:r>
        <w:rPr>
          <w:rFonts w:ascii="Arial" w:eastAsia="Times New Roman" w:hAnsi="Arial" w:cs="Arial"/>
          <w:color w:val="000000" w:themeColor="text1"/>
          <w:sz w:val="24"/>
          <w:szCs w:val="24"/>
        </w:rPr>
        <w:t>nt</w:t>
      </w:r>
      <w:r w:rsidR="00521921" w:rsidRPr="00E65F00">
        <w:rPr>
          <w:rFonts w:ascii="Arial" w:eastAsia="Times New Roman" w:hAnsi="Arial" w:cs="Arial"/>
          <w:color w:val="000000" w:themeColor="text1"/>
          <w:sz w:val="24"/>
          <w:szCs w:val="24"/>
        </w:rPr>
        <w:t xml:space="preserve"> compte d’une analyse différenciée selon les capacités et que tout organisme communautaire tienne compte</w:t>
      </w:r>
      <w:r w:rsidR="0009247F">
        <w:rPr>
          <w:rFonts w:ascii="Arial" w:eastAsia="Times New Roman" w:hAnsi="Arial" w:cs="Arial"/>
          <w:color w:val="000000" w:themeColor="text1"/>
          <w:sz w:val="24"/>
          <w:szCs w:val="24"/>
        </w:rPr>
        <w:t>, dans son offre de services,</w:t>
      </w:r>
      <w:r w:rsidR="0001235D">
        <w:rPr>
          <w:rFonts w:ascii="Arial" w:eastAsia="Times New Roman" w:hAnsi="Arial" w:cs="Arial"/>
          <w:color w:val="000000" w:themeColor="text1"/>
          <w:sz w:val="24"/>
          <w:szCs w:val="24"/>
        </w:rPr>
        <w:t xml:space="preserve"> </w:t>
      </w:r>
      <w:r w:rsidR="00521921" w:rsidRPr="00E65F00">
        <w:rPr>
          <w:rFonts w:ascii="Arial" w:eastAsia="Times New Roman" w:hAnsi="Arial" w:cs="Arial"/>
          <w:color w:val="000000" w:themeColor="text1"/>
          <w:sz w:val="24"/>
          <w:szCs w:val="24"/>
        </w:rPr>
        <w:t>de l’acces</w:t>
      </w:r>
      <w:r w:rsidR="004021AF">
        <w:rPr>
          <w:rFonts w:ascii="Arial" w:eastAsia="Times New Roman" w:hAnsi="Arial" w:cs="Arial"/>
          <w:color w:val="000000" w:themeColor="text1"/>
          <w:sz w:val="24"/>
          <w:szCs w:val="24"/>
        </w:rPr>
        <w:t>sibilité aux personnes ayant des</w:t>
      </w:r>
      <w:r w:rsidR="00521921" w:rsidRPr="00E65F00">
        <w:rPr>
          <w:rFonts w:ascii="Arial" w:eastAsia="Times New Roman" w:hAnsi="Arial" w:cs="Arial"/>
          <w:color w:val="000000" w:themeColor="text1"/>
          <w:sz w:val="24"/>
          <w:szCs w:val="24"/>
        </w:rPr>
        <w:t xml:space="preserve"> limitation</w:t>
      </w:r>
      <w:r w:rsidR="004021AF">
        <w:rPr>
          <w:rFonts w:ascii="Arial" w:eastAsia="Times New Roman" w:hAnsi="Arial" w:cs="Arial"/>
          <w:color w:val="000000" w:themeColor="text1"/>
          <w:sz w:val="24"/>
          <w:szCs w:val="24"/>
        </w:rPr>
        <w:t>s</w:t>
      </w:r>
      <w:r w:rsidR="00521921" w:rsidRPr="00E65F00">
        <w:rPr>
          <w:rFonts w:ascii="Arial" w:eastAsia="Times New Roman" w:hAnsi="Arial" w:cs="Arial"/>
          <w:color w:val="000000" w:themeColor="text1"/>
          <w:sz w:val="24"/>
          <w:szCs w:val="24"/>
        </w:rPr>
        <w:t xml:space="preserve"> fonctionnelle</w:t>
      </w:r>
      <w:r w:rsidR="004021AF">
        <w:rPr>
          <w:rFonts w:ascii="Arial" w:eastAsia="Times New Roman" w:hAnsi="Arial" w:cs="Arial"/>
          <w:color w:val="000000" w:themeColor="text1"/>
          <w:sz w:val="24"/>
          <w:szCs w:val="24"/>
        </w:rPr>
        <w:t>s</w:t>
      </w:r>
      <w:r w:rsidR="00AB7E85">
        <w:rPr>
          <w:rFonts w:ascii="Arial" w:eastAsia="Times New Roman" w:hAnsi="Arial" w:cs="Arial"/>
          <w:color w:val="000000" w:themeColor="text1"/>
          <w:sz w:val="24"/>
          <w:szCs w:val="24"/>
        </w:rPr>
        <w:t>. Ces conditions doivent être respecté</w:t>
      </w:r>
      <w:r w:rsidR="00A17A2A">
        <w:rPr>
          <w:rFonts w:ascii="Arial" w:eastAsia="Times New Roman" w:hAnsi="Arial" w:cs="Arial"/>
          <w:color w:val="000000" w:themeColor="text1"/>
          <w:sz w:val="24"/>
          <w:szCs w:val="24"/>
        </w:rPr>
        <w:t>es</w:t>
      </w:r>
      <w:r w:rsidR="00AB7E85">
        <w:rPr>
          <w:rFonts w:ascii="Arial" w:eastAsia="Times New Roman" w:hAnsi="Arial" w:cs="Arial"/>
          <w:color w:val="000000" w:themeColor="text1"/>
          <w:sz w:val="24"/>
          <w:szCs w:val="24"/>
        </w:rPr>
        <w:t xml:space="preserve"> pour obtenir le financement; </w:t>
      </w:r>
    </w:p>
    <w:p w:rsidR="00EE1BE5" w:rsidRDefault="007546CC" w:rsidP="00E65F00">
      <w:pPr>
        <w:spacing w:after="0"/>
        <w:ind w:left="705"/>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Que l</w:t>
      </w:r>
      <w:r w:rsidR="00EE1BE5">
        <w:rPr>
          <w:rFonts w:ascii="Arial" w:eastAsia="Times New Roman" w:hAnsi="Arial" w:cs="Arial"/>
          <w:color w:val="000000" w:themeColor="text1"/>
          <w:sz w:val="24"/>
          <w:szCs w:val="24"/>
        </w:rPr>
        <w:t xml:space="preserve">es formulaires de reconnaissance, de demande de financement et de reddition de compte </w:t>
      </w:r>
      <w:r w:rsidR="00507D4A">
        <w:rPr>
          <w:rFonts w:ascii="Arial" w:eastAsia="Times New Roman" w:hAnsi="Arial" w:cs="Arial"/>
          <w:color w:val="000000" w:themeColor="text1"/>
          <w:sz w:val="24"/>
          <w:szCs w:val="24"/>
        </w:rPr>
        <w:t>documentent</w:t>
      </w:r>
      <w:r w:rsidR="00EE1BE5">
        <w:rPr>
          <w:rFonts w:ascii="Arial" w:eastAsia="Times New Roman" w:hAnsi="Arial" w:cs="Arial"/>
          <w:color w:val="000000" w:themeColor="text1"/>
          <w:sz w:val="24"/>
          <w:szCs w:val="24"/>
        </w:rPr>
        <w:t xml:space="preserve"> l’accessibilité </w:t>
      </w:r>
      <w:r w:rsidR="00507D4A">
        <w:rPr>
          <w:rFonts w:ascii="Arial" w:eastAsia="Times New Roman" w:hAnsi="Arial" w:cs="Arial"/>
          <w:color w:val="000000" w:themeColor="text1"/>
          <w:sz w:val="24"/>
          <w:szCs w:val="24"/>
        </w:rPr>
        <w:t>des organismes communautaires</w:t>
      </w:r>
      <w:r w:rsidR="00EE1BE5">
        <w:rPr>
          <w:rFonts w:ascii="Arial" w:eastAsia="Times New Roman" w:hAnsi="Arial" w:cs="Arial"/>
          <w:color w:val="000000" w:themeColor="text1"/>
          <w:sz w:val="24"/>
          <w:szCs w:val="24"/>
        </w:rPr>
        <w:t xml:space="preserve"> aux personnes ayant des limitations fonctionnelles. </w:t>
      </w:r>
    </w:p>
    <w:p w:rsidR="00EE1BE5" w:rsidRDefault="00EE1BE5" w:rsidP="00E65F00">
      <w:pPr>
        <w:spacing w:after="0"/>
        <w:ind w:left="705"/>
        <w:rPr>
          <w:rFonts w:ascii="Arial" w:eastAsia="Times New Roman" w:hAnsi="Arial" w:cs="Arial"/>
          <w:color w:val="000000" w:themeColor="text1"/>
          <w:sz w:val="24"/>
          <w:szCs w:val="24"/>
        </w:rPr>
      </w:pPr>
    </w:p>
    <w:p w:rsidR="00667AB6" w:rsidRPr="00CA5452" w:rsidRDefault="00667AB6" w:rsidP="00A608CA">
      <w:pPr>
        <w:pStyle w:val="Titre2"/>
        <w:spacing w:after="200"/>
        <w:rPr>
          <w:rFonts w:ascii="Arial" w:hAnsi="Arial" w:cs="Arial"/>
        </w:rPr>
      </w:pPr>
      <w:bookmarkStart w:id="10" w:name="_Toc26517346"/>
      <w:r w:rsidRPr="00CA5452">
        <w:rPr>
          <w:rFonts w:ascii="Arial" w:hAnsi="Arial" w:cs="Arial"/>
        </w:rPr>
        <w:t xml:space="preserve">Accessibilité </w:t>
      </w:r>
      <w:r w:rsidR="00C94122">
        <w:rPr>
          <w:rFonts w:ascii="Arial" w:hAnsi="Arial" w:cs="Arial"/>
        </w:rPr>
        <w:t>des formulaires</w:t>
      </w:r>
      <w:bookmarkEnd w:id="10"/>
      <w:r w:rsidR="00C94122">
        <w:rPr>
          <w:rFonts w:ascii="Arial" w:hAnsi="Arial" w:cs="Arial"/>
        </w:rPr>
        <w:t xml:space="preserve"> </w:t>
      </w:r>
    </w:p>
    <w:p w:rsidR="00B60176" w:rsidRDefault="0085098E" w:rsidP="0085098E">
      <w:pPr>
        <w:spacing w:after="0"/>
        <w:rPr>
          <w:rFonts w:ascii="Arial" w:eastAsia="Times New Roman" w:hAnsi="Arial" w:cs="Arial"/>
          <w:color w:val="000000" w:themeColor="text1"/>
          <w:sz w:val="24"/>
          <w:szCs w:val="24"/>
        </w:rPr>
      </w:pPr>
      <w:r w:rsidRPr="0085098E">
        <w:rPr>
          <w:rFonts w:ascii="Arial" w:eastAsia="Times New Roman" w:hAnsi="Arial" w:cs="Arial"/>
          <w:color w:val="000000" w:themeColor="text1"/>
          <w:sz w:val="24"/>
          <w:szCs w:val="24"/>
        </w:rPr>
        <w:t xml:space="preserve">La COPHAN </w:t>
      </w:r>
      <w:r w:rsidR="0068458A">
        <w:rPr>
          <w:rFonts w:ascii="Arial" w:eastAsia="Times New Roman" w:hAnsi="Arial" w:cs="Arial"/>
          <w:color w:val="000000" w:themeColor="text1"/>
          <w:sz w:val="24"/>
          <w:szCs w:val="24"/>
        </w:rPr>
        <w:t xml:space="preserve">désire réaffirmer l’existence de </w:t>
      </w:r>
      <w:r w:rsidR="0068458A" w:rsidRPr="00D717DD">
        <w:rPr>
          <w:rFonts w:ascii="Arial" w:eastAsia="Times New Roman" w:hAnsi="Arial" w:cs="Arial"/>
          <w:color w:val="000000" w:themeColor="text1"/>
          <w:sz w:val="24"/>
          <w:szCs w:val="24"/>
        </w:rPr>
        <w:t xml:space="preserve">la </w:t>
      </w:r>
      <w:r w:rsidR="003F2FCA" w:rsidRPr="0001235D">
        <w:rPr>
          <w:rFonts w:ascii="Arial" w:eastAsia="Times New Roman" w:hAnsi="Arial" w:cs="Arial"/>
          <w:color w:val="000000" w:themeColor="text1"/>
          <w:sz w:val="24"/>
          <w:szCs w:val="24"/>
        </w:rPr>
        <w:t>Politiqu</w:t>
      </w:r>
      <w:r w:rsidR="003F2FCA" w:rsidRPr="00D717DD">
        <w:rPr>
          <w:rFonts w:ascii="Arial" w:eastAsia="Times New Roman" w:hAnsi="Arial" w:cs="Arial"/>
          <w:i/>
          <w:color w:val="000000" w:themeColor="text1"/>
          <w:sz w:val="24"/>
          <w:szCs w:val="24"/>
        </w:rPr>
        <w:t>e L’</w:t>
      </w:r>
      <w:r w:rsidR="0068458A" w:rsidRPr="00D717DD">
        <w:rPr>
          <w:rFonts w:ascii="Arial" w:eastAsia="Times New Roman" w:hAnsi="Arial" w:cs="Arial"/>
          <w:i/>
          <w:color w:val="000000" w:themeColor="text1"/>
          <w:sz w:val="24"/>
          <w:szCs w:val="24"/>
        </w:rPr>
        <w:t xml:space="preserve">accès aux documents et aux services </w:t>
      </w:r>
      <w:r w:rsidR="003F2FCA" w:rsidRPr="00D717DD">
        <w:rPr>
          <w:rFonts w:ascii="Arial" w:eastAsia="Times New Roman" w:hAnsi="Arial" w:cs="Arial"/>
          <w:i/>
          <w:color w:val="000000" w:themeColor="text1"/>
          <w:sz w:val="24"/>
          <w:szCs w:val="24"/>
        </w:rPr>
        <w:t>offerts au public pour les personnes handicapées</w:t>
      </w:r>
      <w:r w:rsidR="00D717DD" w:rsidRPr="00D717DD">
        <w:rPr>
          <w:rFonts w:ascii="Arial" w:eastAsia="Times New Roman" w:hAnsi="Arial" w:cs="Arial"/>
          <w:color w:val="000000" w:themeColor="text1"/>
          <w:sz w:val="24"/>
          <w:szCs w:val="24"/>
        </w:rPr>
        <w:t xml:space="preserve"> et </w:t>
      </w:r>
      <w:r w:rsidR="0009247F">
        <w:rPr>
          <w:rFonts w:ascii="Arial" w:eastAsia="Times New Roman" w:hAnsi="Arial" w:cs="Arial"/>
          <w:color w:val="000000" w:themeColor="text1"/>
          <w:sz w:val="24"/>
          <w:szCs w:val="24"/>
        </w:rPr>
        <w:t>d</w:t>
      </w:r>
      <w:r w:rsidR="00D717DD" w:rsidRPr="00D717DD">
        <w:rPr>
          <w:rFonts w:ascii="Arial" w:eastAsia="Times New Roman" w:hAnsi="Arial" w:cs="Arial"/>
          <w:color w:val="000000" w:themeColor="text1"/>
          <w:sz w:val="24"/>
          <w:szCs w:val="24"/>
        </w:rPr>
        <w:t>es S</w:t>
      </w:r>
      <w:r w:rsidR="0068458A" w:rsidRPr="00D717DD">
        <w:rPr>
          <w:rFonts w:ascii="Arial" w:eastAsia="Times New Roman" w:hAnsi="Arial" w:cs="Arial"/>
          <w:color w:val="000000" w:themeColor="text1"/>
          <w:sz w:val="24"/>
          <w:szCs w:val="24"/>
        </w:rPr>
        <w:t xml:space="preserve">tandards </w:t>
      </w:r>
      <w:r w:rsidR="00D717DD" w:rsidRPr="00D717DD">
        <w:rPr>
          <w:rFonts w:ascii="Arial" w:eastAsia="Times New Roman" w:hAnsi="Arial" w:cs="Arial"/>
          <w:color w:val="000000" w:themeColor="text1"/>
          <w:sz w:val="24"/>
          <w:szCs w:val="24"/>
        </w:rPr>
        <w:t xml:space="preserve">sur l’accessibilité </w:t>
      </w:r>
      <w:r w:rsidR="0068458A" w:rsidRPr="00D717DD">
        <w:rPr>
          <w:rFonts w:ascii="Arial" w:eastAsia="Times New Roman" w:hAnsi="Arial" w:cs="Arial"/>
          <w:color w:val="000000" w:themeColor="text1"/>
          <w:sz w:val="24"/>
          <w:szCs w:val="24"/>
        </w:rPr>
        <w:t>du Web.</w:t>
      </w:r>
      <w:r w:rsidR="0068458A">
        <w:rPr>
          <w:rFonts w:ascii="Arial" w:eastAsia="Times New Roman" w:hAnsi="Arial" w:cs="Arial"/>
          <w:color w:val="000000" w:themeColor="text1"/>
          <w:sz w:val="24"/>
          <w:szCs w:val="24"/>
        </w:rPr>
        <w:t xml:space="preserve"> Ces politiques essentielles </w:t>
      </w:r>
      <w:r w:rsidR="004B1ECE">
        <w:rPr>
          <w:rFonts w:ascii="Arial" w:eastAsia="Times New Roman" w:hAnsi="Arial" w:cs="Arial"/>
          <w:color w:val="000000" w:themeColor="text1"/>
          <w:sz w:val="24"/>
          <w:szCs w:val="24"/>
        </w:rPr>
        <w:t xml:space="preserve">doivent </w:t>
      </w:r>
      <w:r w:rsidR="0068458A">
        <w:rPr>
          <w:rFonts w:ascii="Arial" w:eastAsia="Times New Roman" w:hAnsi="Arial" w:cs="Arial"/>
          <w:color w:val="000000" w:themeColor="text1"/>
          <w:sz w:val="24"/>
          <w:szCs w:val="24"/>
        </w:rPr>
        <w:t>être placé</w:t>
      </w:r>
      <w:r w:rsidR="004B1ECE">
        <w:rPr>
          <w:rFonts w:ascii="Arial" w:eastAsia="Times New Roman" w:hAnsi="Arial" w:cs="Arial"/>
          <w:color w:val="000000" w:themeColor="text1"/>
          <w:sz w:val="24"/>
          <w:szCs w:val="24"/>
        </w:rPr>
        <w:t>es</w:t>
      </w:r>
      <w:r w:rsidR="0068458A">
        <w:rPr>
          <w:rFonts w:ascii="Arial" w:eastAsia="Times New Roman" w:hAnsi="Arial" w:cs="Arial"/>
          <w:color w:val="000000" w:themeColor="text1"/>
          <w:sz w:val="24"/>
          <w:szCs w:val="24"/>
        </w:rPr>
        <w:t xml:space="preserve"> au cœur de la démarche gouvernementale sans quoi les personnes ayant des limitations œuvrant dans les organismes </w:t>
      </w:r>
      <w:r w:rsidR="003D1C24">
        <w:rPr>
          <w:rFonts w:ascii="Arial" w:eastAsia="Times New Roman" w:hAnsi="Arial" w:cs="Arial"/>
          <w:color w:val="000000" w:themeColor="text1"/>
          <w:sz w:val="24"/>
          <w:szCs w:val="24"/>
        </w:rPr>
        <w:t>communautaires</w:t>
      </w:r>
      <w:r w:rsidR="0068458A">
        <w:rPr>
          <w:rFonts w:ascii="Arial" w:eastAsia="Times New Roman" w:hAnsi="Arial" w:cs="Arial"/>
          <w:color w:val="000000" w:themeColor="text1"/>
          <w:sz w:val="24"/>
          <w:szCs w:val="24"/>
        </w:rPr>
        <w:t xml:space="preserve"> sont dans l’impossibilité de remplir les formulaires nécessaires pour l’obtention de reconnaissance ou d’un financement. Les documents accessibles doivent être disponible</w:t>
      </w:r>
      <w:r w:rsidR="009C3FD8">
        <w:rPr>
          <w:rFonts w:ascii="Arial" w:eastAsia="Times New Roman" w:hAnsi="Arial" w:cs="Arial"/>
          <w:color w:val="000000" w:themeColor="text1"/>
          <w:sz w:val="24"/>
          <w:szCs w:val="24"/>
        </w:rPr>
        <w:t>s</w:t>
      </w:r>
      <w:r w:rsidR="0068458A">
        <w:rPr>
          <w:rFonts w:ascii="Arial" w:eastAsia="Times New Roman" w:hAnsi="Arial" w:cs="Arial"/>
          <w:color w:val="000000" w:themeColor="text1"/>
          <w:sz w:val="24"/>
          <w:szCs w:val="24"/>
        </w:rPr>
        <w:t xml:space="preserve"> au même moment que les autres documents</w:t>
      </w:r>
      <w:r w:rsidR="00D717DD">
        <w:rPr>
          <w:rFonts w:ascii="Arial" w:eastAsia="Times New Roman" w:hAnsi="Arial" w:cs="Arial"/>
          <w:color w:val="000000" w:themeColor="text1"/>
          <w:sz w:val="24"/>
          <w:szCs w:val="24"/>
        </w:rPr>
        <w:t xml:space="preserve"> ou</w:t>
      </w:r>
      <w:r w:rsidR="004B1ECE">
        <w:rPr>
          <w:rFonts w:ascii="Arial" w:eastAsia="Times New Roman" w:hAnsi="Arial" w:cs="Arial"/>
          <w:color w:val="000000" w:themeColor="text1"/>
          <w:sz w:val="24"/>
          <w:szCs w:val="24"/>
        </w:rPr>
        <w:t>,</w:t>
      </w:r>
      <w:r w:rsidR="00D717DD">
        <w:rPr>
          <w:rFonts w:ascii="Arial" w:eastAsia="Times New Roman" w:hAnsi="Arial" w:cs="Arial"/>
          <w:color w:val="000000" w:themeColor="text1"/>
          <w:sz w:val="24"/>
          <w:szCs w:val="24"/>
        </w:rPr>
        <w:t xml:space="preserve"> mieux encore, il ne devrait y avoir qu’un seul formulaire </w:t>
      </w:r>
      <w:r w:rsidR="0009247F">
        <w:rPr>
          <w:rFonts w:ascii="Arial" w:eastAsia="Times New Roman" w:hAnsi="Arial" w:cs="Arial"/>
          <w:color w:val="000000" w:themeColor="text1"/>
          <w:sz w:val="24"/>
          <w:szCs w:val="24"/>
        </w:rPr>
        <w:t xml:space="preserve">accessible </w:t>
      </w:r>
      <w:r w:rsidR="00D717DD">
        <w:rPr>
          <w:rFonts w:ascii="Arial" w:eastAsia="Times New Roman" w:hAnsi="Arial" w:cs="Arial"/>
          <w:color w:val="000000" w:themeColor="text1"/>
          <w:sz w:val="24"/>
          <w:szCs w:val="24"/>
        </w:rPr>
        <w:t>qui soit disponible dès le départ</w:t>
      </w:r>
      <w:r w:rsidR="0068458A">
        <w:rPr>
          <w:rFonts w:ascii="Arial" w:eastAsia="Times New Roman" w:hAnsi="Arial" w:cs="Arial"/>
          <w:color w:val="000000" w:themeColor="text1"/>
          <w:sz w:val="24"/>
          <w:szCs w:val="24"/>
        </w:rPr>
        <w:t xml:space="preserve">. </w:t>
      </w:r>
      <w:r w:rsidR="00EA08B4">
        <w:rPr>
          <w:rFonts w:ascii="Arial" w:eastAsia="Times New Roman" w:hAnsi="Arial" w:cs="Arial"/>
          <w:color w:val="000000" w:themeColor="text1"/>
          <w:sz w:val="24"/>
          <w:szCs w:val="24"/>
        </w:rPr>
        <w:t>De plus</w:t>
      </w:r>
      <w:r w:rsidR="00C745FA">
        <w:rPr>
          <w:rFonts w:ascii="Arial" w:eastAsia="Times New Roman" w:hAnsi="Arial" w:cs="Arial"/>
          <w:color w:val="000000" w:themeColor="text1"/>
          <w:sz w:val="24"/>
          <w:szCs w:val="24"/>
        </w:rPr>
        <w:t xml:space="preserve">, nous demandons à ce </w:t>
      </w:r>
      <w:r w:rsidR="004021AF">
        <w:rPr>
          <w:rFonts w:ascii="Arial" w:eastAsia="Times New Roman" w:hAnsi="Arial" w:cs="Arial"/>
          <w:color w:val="000000" w:themeColor="text1"/>
          <w:sz w:val="24"/>
          <w:szCs w:val="24"/>
        </w:rPr>
        <w:t>que l</w:t>
      </w:r>
      <w:r w:rsidR="00C745FA">
        <w:rPr>
          <w:rFonts w:ascii="Arial" w:eastAsia="Times New Roman" w:hAnsi="Arial" w:cs="Arial"/>
          <w:color w:val="000000" w:themeColor="text1"/>
          <w:sz w:val="24"/>
          <w:szCs w:val="24"/>
        </w:rPr>
        <w:t xml:space="preserve">es </w:t>
      </w:r>
      <w:r w:rsidR="004021AF">
        <w:rPr>
          <w:rFonts w:ascii="Arial" w:eastAsia="Times New Roman" w:hAnsi="Arial" w:cs="Arial"/>
          <w:color w:val="000000" w:themeColor="text1"/>
          <w:sz w:val="24"/>
          <w:szCs w:val="24"/>
        </w:rPr>
        <w:t>formulaires de</w:t>
      </w:r>
      <w:r w:rsidR="00C745FA">
        <w:rPr>
          <w:rFonts w:ascii="Arial" w:eastAsia="Times New Roman" w:hAnsi="Arial" w:cs="Arial"/>
          <w:color w:val="000000" w:themeColor="text1"/>
          <w:sz w:val="24"/>
          <w:szCs w:val="24"/>
        </w:rPr>
        <w:t xml:space="preserve"> reddition</w:t>
      </w:r>
      <w:r w:rsidR="004021AF">
        <w:rPr>
          <w:rFonts w:ascii="Arial" w:eastAsia="Times New Roman" w:hAnsi="Arial" w:cs="Arial"/>
          <w:color w:val="000000" w:themeColor="text1"/>
          <w:sz w:val="24"/>
          <w:szCs w:val="24"/>
        </w:rPr>
        <w:t>s</w:t>
      </w:r>
      <w:r w:rsidR="00C745FA">
        <w:rPr>
          <w:rFonts w:ascii="Arial" w:eastAsia="Times New Roman" w:hAnsi="Arial" w:cs="Arial"/>
          <w:color w:val="000000" w:themeColor="text1"/>
          <w:sz w:val="24"/>
          <w:szCs w:val="24"/>
        </w:rPr>
        <w:t xml:space="preserve"> de </w:t>
      </w:r>
      <w:r w:rsidR="004021AF">
        <w:rPr>
          <w:rFonts w:ascii="Arial" w:eastAsia="Times New Roman" w:hAnsi="Arial" w:cs="Arial"/>
          <w:color w:val="000000" w:themeColor="text1"/>
          <w:sz w:val="24"/>
          <w:szCs w:val="24"/>
        </w:rPr>
        <w:t xml:space="preserve">compte </w:t>
      </w:r>
      <w:r w:rsidR="00C745FA">
        <w:rPr>
          <w:rFonts w:ascii="Arial" w:eastAsia="Times New Roman" w:hAnsi="Arial" w:cs="Arial"/>
          <w:color w:val="000000" w:themeColor="text1"/>
          <w:sz w:val="24"/>
          <w:szCs w:val="24"/>
        </w:rPr>
        <w:t xml:space="preserve">soient </w:t>
      </w:r>
      <w:r w:rsidR="00D87959">
        <w:rPr>
          <w:rFonts w:ascii="Arial" w:eastAsia="Times New Roman" w:hAnsi="Arial" w:cs="Arial"/>
          <w:color w:val="000000" w:themeColor="text1"/>
          <w:sz w:val="24"/>
          <w:szCs w:val="24"/>
        </w:rPr>
        <w:t xml:space="preserve">également </w:t>
      </w:r>
      <w:r w:rsidR="00C745FA">
        <w:rPr>
          <w:rFonts w:ascii="Arial" w:eastAsia="Times New Roman" w:hAnsi="Arial" w:cs="Arial"/>
          <w:color w:val="000000" w:themeColor="text1"/>
          <w:sz w:val="24"/>
          <w:szCs w:val="24"/>
        </w:rPr>
        <w:t>accessibles.</w:t>
      </w:r>
      <w:r w:rsidR="004021AF">
        <w:rPr>
          <w:rFonts w:ascii="Arial" w:eastAsia="Times New Roman" w:hAnsi="Arial" w:cs="Arial"/>
          <w:color w:val="000000" w:themeColor="text1"/>
          <w:sz w:val="24"/>
          <w:szCs w:val="24"/>
        </w:rPr>
        <w:t xml:space="preserve"> Pour s’assurer de leur accessibilité</w:t>
      </w:r>
      <w:r w:rsidR="00A17A2A">
        <w:rPr>
          <w:rFonts w:ascii="Arial" w:eastAsia="Times New Roman" w:hAnsi="Arial" w:cs="Arial"/>
          <w:color w:val="000000" w:themeColor="text1"/>
          <w:sz w:val="24"/>
          <w:szCs w:val="24"/>
        </w:rPr>
        <w:t>,</w:t>
      </w:r>
      <w:r w:rsidR="004021AF">
        <w:rPr>
          <w:rFonts w:ascii="Arial" w:eastAsia="Times New Roman" w:hAnsi="Arial" w:cs="Arial"/>
          <w:color w:val="000000" w:themeColor="text1"/>
          <w:sz w:val="24"/>
          <w:szCs w:val="24"/>
        </w:rPr>
        <w:t xml:space="preserve"> des tests d’utilisabilité sont recommandés avant leurs mises en ligne.</w:t>
      </w:r>
      <w:r w:rsidR="00C745FA">
        <w:rPr>
          <w:rFonts w:ascii="Arial" w:eastAsia="Times New Roman" w:hAnsi="Arial" w:cs="Arial"/>
          <w:color w:val="000000" w:themeColor="text1"/>
          <w:sz w:val="24"/>
          <w:szCs w:val="24"/>
        </w:rPr>
        <w:t xml:space="preserve"> </w:t>
      </w:r>
    </w:p>
    <w:p w:rsidR="003A03D0" w:rsidRDefault="003A03D0" w:rsidP="00D717DD">
      <w:pPr>
        <w:spacing w:after="0"/>
        <w:ind w:left="708"/>
        <w:rPr>
          <w:rFonts w:ascii="Arial" w:eastAsia="Times New Roman" w:hAnsi="Arial" w:cs="Arial"/>
          <w:color w:val="000000" w:themeColor="text1"/>
          <w:sz w:val="24"/>
          <w:szCs w:val="24"/>
        </w:rPr>
      </w:pPr>
      <w:r w:rsidRPr="003A03D0">
        <w:rPr>
          <w:rFonts w:ascii="Arial" w:eastAsia="Times New Roman" w:hAnsi="Arial" w:cs="Arial"/>
          <w:b/>
          <w:bCs/>
          <w:color w:val="000000" w:themeColor="text1"/>
          <w:sz w:val="24"/>
          <w:szCs w:val="24"/>
        </w:rPr>
        <w:lastRenderedPageBreak/>
        <w:t>Recommandation</w:t>
      </w:r>
      <w:r>
        <w:rPr>
          <w:rFonts w:ascii="Arial" w:eastAsia="Times New Roman" w:hAnsi="Arial" w:cs="Arial"/>
          <w:color w:val="000000" w:themeColor="text1"/>
          <w:sz w:val="24"/>
          <w:szCs w:val="24"/>
        </w:rPr>
        <w:t xml:space="preserve"> : </w:t>
      </w:r>
      <w:r w:rsidR="00965FA7">
        <w:rPr>
          <w:rFonts w:ascii="Arial" w:eastAsia="Times New Roman" w:hAnsi="Arial" w:cs="Arial"/>
          <w:color w:val="000000" w:themeColor="text1"/>
          <w:sz w:val="24"/>
          <w:szCs w:val="24"/>
        </w:rPr>
        <w:t xml:space="preserve">Que </w:t>
      </w:r>
      <w:r w:rsidR="0068458A">
        <w:rPr>
          <w:rFonts w:ascii="Arial" w:eastAsia="Times New Roman" w:hAnsi="Arial" w:cs="Arial"/>
          <w:color w:val="000000" w:themeColor="text1"/>
          <w:sz w:val="24"/>
          <w:szCs w:val="24"/>
        </w:rPr>
        <w:t>les formulaires visant la reconnaissance d’un organisme, l</w:t>
      </w:r>
      <w:r w:rsidR="004B1ECE">
        <w:rPr>
          <w:rFonts w:ascii="Arial" w:eastAsia="Times New Roman" w:hAnsi="Arial" w:cs="Arial"/>
          <w:color w:val="000000" w:themeColor="text1"/>
          <w:sz w:val="24"/>
          <w:szCs w:val="24"/>
        </w:rPr>
        <w:t>es</w:t>
      </w:r>
      <w:r w:rsidR="0068458A">
        <w:rPr>
          <w:rFonts w:ascii="Arial" w:eastAsia="Times New Roman" w:hAnsi="Arial" w:cs="Arial"/>
          <w:color w:val="000000" w:themeColor="text1"/>
          <w:sz w:val="24"/>
          <w:szCs w:val="24"/>
        </w:rPr>
        <w:t xml:space="preserve"> demande</w:t>
      </w:r>
      <w:r w:rsidR="004B1ECE">
        <w:rPr>
          <w:rFonts w:ascii="Arial" w:eastAsia="Times New Roman" w:hAnsi="Arial" w:cs="Arial"/>
          <w:color w:val="000000" w:themeColor="text1"/>
          <w:sz w:val="24"/>
          <w:szCs w:val="24"/>
        </w:rPr>
        <w:t>s</w:t>
      </w:r>
      <w:r w:rsidR="0068458A">
        <w:rPr>
          <w:rFonts w:ascii="Arial" w:eastAsia="Times New Roman" w:hAnsi="Arial" w:cs="Arial"/>
          <w:color w:val="000000" w:themeColor="text1"/>
          <w:sz w:val="24"/>
          <w:szCs w:val="24"/>
        </w:rPr>
        <w:t xml:space="preserve"> de financement</w:t>
      </w:r>
      <w:r w:rsidR="00D717DD">
        <w:rPr>
          <w:rFonts w:ascii="Arial" w:eastAsia="Times New Roman" w:hAnsi="Arial" w:cs="Arial"/>
          <w:color w:val="000000" w:themeColor="text1"/>
          <w:sz w:val="24"/>
          <w:szCs w:val="24"/>
        </w:rPr>
        <w:t xml:space="preserve">, </w:t>
      </w:r>
      <w:r w:rsidR="007546CC">
        <w:rPr>
          <w:rFonts w:ascii="Arial" w:eastAsia="Times New Roman" w:hAnsi="Arial" w:cs="Arial"/>
          <w:color w:val="000000" w:themeColor="text1"/>
          <w:sz w:val="24"/>
          <w:szCs w:val="24"/>
        </w:rPr>
        <w:t>l</w:t>
      </w:r>
      <w:r w:rsidR="00D717DD">
        <w:rPr>
          <w:rFonts w:ascii="Arial" w:eastAsia="Times New Roman" w:hAnsi="Arial" w:cs="Arial"/>
          <w:color w:val="000000" w:themeColor="text1"/>
          <w:sz w:val="24"/>
          <w:szCs w:val="24"/>
        </w:rPr>
        <w:t>es appels à projet</w:t>
      </w:r>
      <w:r w:rsidR="009C3FD8">
        <w:rPr>
          <w:rFonts w:ascii="Arial" w:eastAsia="Times New Roman" w:hAnsi="Arial" w:cs="Arial"/>
          <w:color w:val="000000" w:themeColor="text1"/>
          <w:sz w:val="24"/>
          <w:szCs w:val="24"/>
        </w:rPr>
        <w:t>s</w:t>
      </w:r>
      <w:r w:rsidR="0068458A">
        <w:rPr>
          <w:rFonts w:ascii="Arial" w:eastAsia="Times New Roman" w:hAnsi="Arial" w:cs="Arial"/>
          <w:color w:val="000000" w:themeColor="text1"/>
          <w:sz w:val="24"/>
          <w:szCs w:val="24"/>
        </w:rPr>
        <w:t xml:space="preserve"> ou l</w:t>
      </w:r>
      <w:r w:rsidR="004B1ECE">
        <w:rPr>
          <w:rFonts w:ascii="Arial" w:eastAsia="Times New Roman" w:hAnsi="Arial" w:cs="Arial"/>
          <w:color w:val="000000" w:themeColor="text1"/>
          <w:sz w:val="24"/>
          <w:szCs w:val="24"/>
        </w:rPr>
        <w:t>es</w:t>
      </w:r>
      <w:r w:rsidR="0068458A">
        <w:rPr>
          <w:rFonts w:ascii="Arial" w:eastAsia="Times New Roman" w:hAnsi="Arial" w:cs="Arial"/>
          <w:color w:val="000000" w:themeColor="text1"/>
          <w:sz w:val="24"/>
          <w:szCs w:val="24"/>
        </w:rPr>
        <w:t xml:space="preserve"> reddition</w:t>
      </w:r>
      <w:r w:rsidR="004B1ECE">
        <w:rPr>
          <w:rFonts w:ascii="Arial" w:eastAsia="Times New Roman" w:hAnsi="Arial" w:cs="Arial"/>
          <w:color w:val="000000" w:themeColor="text1"/>
          <w:sz w:val="24"/>
          <w:szCs w:val="24"/>
        </w:rPr>
        <w:t>s</w:t>
      </w:r>
      <w:r w:rsidR="0068458A">
        <w:rPr>
          <w:rFonts w:ascii="Arial" w:eastAsia="Times New Roman" w:hAnsi="Arial" w:cs="Arial"/>
          <w:color w:val="000000" w:themeColor="text1"/>
          <w:sz w:val="24"/>
          <w:szCs w:val="24"/>
        </w:rPr>
        <w:t xml:space="preserve"> de compte</w:t>
      </w:r>
      <w:r w:rsidR="00BE4100">
        <w:rPr>
          <w:rFonts w:ascii="Arial" w:eastAsia="Times New Roman" w:hAnsi="Arial" w:cs="Arial"/>
          <w:color w:val="000000" w:themeColor="text1"/>
          <w:sz w:val="24"/>
          <w:szCs w:val="24"/>
        </w:rPr>
        <w:t xml:space="preserve"> </w:t>
      </w:r>
      <w:r w:rsidR="0068458A">
        <w:rPr>
          <w:rFonts w:ascii="Arial" w:eastAsia="Times New Roman" w:hAnsi="Arial" w:cs="Arial"/>
          <w:color w:val="000000" w:themeColor="text1"/>
          <w:sz w:val="24"/>
          <w:szCs w:val="24"/>
        </w:rPr>
        <w:t xml:space="preserve">soient accessibles. </w:t>
      </w:r>
    </w:p>
    <w:p w:rsidR="003A03D0" w:rsidRDefault="003A03D0" w:rsidP="0085098E">
      <w:pPr>
        <w:spacing w:after="0"/>
        <w:rPr>
          <w:rFonts w:ascii="Arial" w:eastAsia="Times New Roman" w:hAnsi="Arial" w:cs="Arial"/>
          <w:color w:val="000000" w:themeColor="text1"/>
          <w:sz w:val="24"/>
          <w:szCs w:val="24"/>
        </w:rPr>
      </w:pPr>
    </w:p>
    <w:p w:rsidR="000D498E" w:rsidRPr="00CA5452" w:rsidRDefault="000D498E" w:rsidP="00A608CA">
      <w:pPr>
        <w:pStyle w:val="Titre2"/>
        <w:spacing w:after="200"/>
        <w:rPr>
          <w:rFonts w:ascii="Arial" w:hAnsi="Arial" w:cs="Arial"/>
        </w:rPr>
      </w:pPr>
      <w:bookmarkStart w:id="11" w:name="_Toc26517347"/>
      <w:r w:rsidRPr="00CA5452">
        <w:rPr>
          <w:rFonts w:ascii="Arial" w:hAnsi="Arial" w:cs="Arial"/>
        </w:rPr>
        <w:t>Application de la Politique de reconnaissance de l’action communautaire</w:t>
      </w:r>
      <w:bookmarkEnd w:id="11"/>
      <w:r w:rsidRPr="00CA5452">
        <w:rPr>
          <w:rFonts w:ascii="Arial" w:hAnsi="Arial" w:cs="Arial"/>
        </w:rPr>
        <w:t xml:space="preserve"> </w:t>
      </w:r>
    </w:p>
    <w:p w:rsidR="000D498E" w:rsidRPr="0046364E" w:rsidRDefault="000D498E" w:rsidP="000D498E">
      <w:pPr>
        <w:rPr>
          <w:rFonts w:ascii="Arial" w:hAnsi="Arial" w:cs="Arial"/>
          <w:sz w:val="24"/>
          <w:szCs w:val="24"/>
        </w:rPr>
      </w:pPr>
      <w:r w:rsidRPr="0046364E">
        <w:rPr>
          <w:rFonts w:ascii="Arial" w:hAnsi="Arial" w:cs="Arial"/>
          <w:sz w:val="24"/>
          <w:szCs w:val="24"/>
        </w:rPr>
        <w:t>À l’instar du RQ-ACA, nous souhaitons que la Politique de reconnaissance de l’action communautaire soit appliqué</w:t>
      </w:r>
      <w:r>
        <w:rPr>
          <w:rFonts w:ascii="Arial" w:hAnsi="Arial" w:cs="Arial"/>
          <w:sz w:val="24"/>
          <w:szCs w:val="24"/>
        </w:rPr>
        <w:t>e</w:t>
      </w:r>
      <w:r w:rsidRPr="0046364E">
        <w:rPr>
          <w:rFonts w:ascii="Arial" w:hAnsi="Arial" w:cs="Arial"/>
          <w:sz w:val="24"/>
          <w:szCs w:val="24"/>
        </w:rPr>
        <w:t xml:space="preserve"> </w:t>
      </w:r>
      <w:r>
        <w:rPr>
          <w:rFonts w:ascii="Arial" w:hAnsi="Arial" w:cs="Arial"/>
          <w:sz w:val="24"/>
          <w:szCs w:val="24"/>
        </w:rPr>
        <w:t>à</w:t>
      </w:r>
      <w:r w:rsidRPr="0046364E">
        <w:rPr>
          <w:rFonts w:ascii="Arial" w:hAnsi="Arial" w:cs="Arial"/>
          <w:sz w:val="24"/>
          <w:szCs w:val="24"/>
        </w:rPr>
        <w:t xml:space="preserve"> tous les ministères et organismes publics. Pour permettre cette application, il serait préférable que ladite politique soit prescriptible et que le MTESS </w:t>
      </w:r>
      <w:r>
        <w:rPr>
          <w:rFonts w:ascii="Arial" w:hAnsi="Arial" w:cs="Arial"/>
          <w:sz w:val="24"/>
          <w:szCs w:val="24"/>
        </w:rPr>
        <w:t>se dote d’</w:t>
      </w:r>
      <w:r w:rsidRPr="0046364E">
        <w:rPr>
          <w:rFonts w:ascii="Arial" w:hAnsi="Arial" w:cs="Arial"/>
          <w:sz w:val="24"/>
          <w:szCs w:val="24"/>
        </w:rPr>
        <w:t>un mécanisme afin de permettre sa mi</w:t>
      </w:r>
      <w:r>
        <w:rPr>
          <w:rFonts w:ascii="Arial" w:hAnsi="Arial" w:cs="Arial"/>
          <w:sz w:val="24"/>
          <w:szCs w:val="24"/>
        </w:rPr>
        <w:t xml:space="preserve">se en œuvre et son application. </w:t>
      </w:r>
    </w:p>
    <w:p w:rsidR="000D498E" w:rsidRDefault="000D498E" w:rsidP="000D498E">
      <w:pPr>
        <w:ind w:left="708"/>
        <w:rPr>
          <w:rFonts w:ascii="Arial" w:hAnsi="Arial" w:cs="Arial"/>
          <w:sz w:val="24"/>
          <w:szCs w:val="24"/>
        </w:rPr>
      </w:pPr>
      <w:r w:rsidRPr="0046364E">
        <w:rPr>
          <w:rFonts w:ascii="Arial" w:hAnsi="Arial" w:cs="Arial"/>
          <w:b/>
          <w:bCs/>
          <w:sz w:val="24"/>
          <w:szCs w:val="24"/>
        </w:rPr>
        <w:t>Recommandations</w:t>
      </w:r>
      <w:r w:rsidRPr="0046364E">
        <w:rPr>
          <w:rFonts w:ascii="Arial" w:hAnsi="Arial" w:cs="Arial"/>
          <w:sz w:val="24"/>
          <w:szCs w:val="24"/>
        </w:rPr>
        <w:t> :</w:t>
      </w:r>
    </w:p>
    <w:p w:rsidR="000D498E" w:rsidRPr="0046364E" w:rsidRDefault="000D498E" w:rsidP="000D498E">
      <w:pPr>
        <w:ind w:left="708"/>
        <w:rPr>
          <w:rFonts w:ascii="Arial" w:hAnsi="Arial" w:cs="Arial"/>
          <w:sz w:val="24"/>
          <w:szCs w:val="24"/>
        </w:rPr>
      </w:pPr>
      <w:r w:rsidRPr="0046364E">
        <w:rPr>
          <w:rFonts w:ascii="Arial" w:hAnsi="Arial" w:cs="Arial"/>
          <w:sz w:val="24"/>
          <w:szCs w:val="24"/>
        </w:rPr>
        <w:t>Que la Politique de reconnaissance de l’action communautaire soit prescriptible et appliqué</w:t>
      </w:r>
      <w:r>
        <w:rPr>
          <w:rFonts w:ascii="Arial" w:hAnsi="Arial" w:cs="Arial"/>
          <w:sz w:val="24"/>
          <w:szCs w:val="24"/>
        </w:rPr>
        <w:t>e</w:t>
      </w:r>
      <w:r w:rsidRPr="0046364E">
        <w:rPr>
          <w:rFonts w:ascii="Arial" w:hAnsi="Arial" w:cs="Arial"/>
          <w:sz w:val="24"/>
          <w:szCs w:val="24"/>
        </w:rPr>
        <w:t xml:space="preserve"> par tous les ministères et organismes publics; </w:t>
      </w:r>
    </w:p>
    <w:p w:rsidR="000D498E" w:rsidRPr="0046364E" w:rsidRDefault="000D498E" w:rsidP="000D498E">
      <w:pPr>
        <w:ind w:left="708"/>
        <w:rPr>
          <w:rFonts w:ascii="Arial" w:hAnsi="Arial" w:cs="Arial"/>
          <w:sz w:val="24"/>
          <w:szCs w:val="24"/>
        </w:rPr>
      </w:pPr>
      <w:r w:rsidRPr="0046364E">
        <w:rPr>
          <w:rFonts w:ascii="Arial" w:hAnsi="Arial" w:cs="Arial"/>
          <w:sz w:val="24"/>
          <w:szCs w:val="24"/>
        </w:rPr>
        <w:t xml:space="preserve">Que le MTESS veille à la mise en œuvre et </w:t>
      </w:r>
      <w:r>
        <w:rPr>
          <w:rFonts w:ascii="Arial" w:hAnsi="Arial" w:cs="Arial"/>
          <w:sz w:val="24"/>
          <w:szCs w:val="24"/>
        </w:rPr>
        <w:t xml:space="preserve">à </w:t>
      </w:r>
      <w:r w:rsidRPr="0046364E">
        <w:rPr>
          <w:rFonts w:ascii="Arial" w:hAnsi="Arial" w:cs="Arial"/>
          <w:sz w:val="24"/>
          <w:szCs w:val="24"/>
        </w:rPr>
        <w:t xml:space="preserve">l’application de la Politique de reconnaissance de l’action communautaire; </w:t>
      </w:r>
    </w:p>
    <w:p w:rsidR="000D498E" w:rsidRDefault="000D498E" w:rsidP="000D498E">
      <w:pPr>
        <w:ind w:left="708"/>
        <w:rPr>
          <w:rFonts w:ascii="Arial" w:hAnsi="Arial" w:cs="Arial"/>
          <w:sz w:val="24"/>
          <w:szCs w:val="24"/>
        </w:rPr>
      </w:pPr>
      <w:r w:rsidRPr="0046364E">
        <w:rPr>
          <w:rFonts w:ascii="Arial" w:hAnsi="Arial" w:cs="Arial"/>
          <w:sz w:val="24"/>
          <w:szCs w:val="24"/>
        </w:rPr>
        <w:t xml:space="preserve">Qu’un processus de consultation avec les différents acteurs impliqués soit </w:t>
      </w:r>
      <w:r>
        <w:rPr>
          <w:rFonts w:ascii="Arial" w:hAnsi="Arial" w:cs="Arial"/>
          <w:sz w:val="24"/>
          <w:szCs w:val="24"/>
        </w:rPr>
        <w:t>implanté</w:t>
      </w:r>
      <w:r w:rsidRPr="0046364E">
        <w:rPr>
          <w:rFonts w:ascii="Arial" w:hAnsi="Arial" w:cs="Arial"/>
          <w:sz w:val="24"/>
          <w:szCs w:val="24"/>
        </w:rPr>
        <w:t xml:space="preserve"> afin de trouver la meilleure façon pour que ladite Politique soit prescriptible et qu’une fois le processus complété</w:t>
      </w:r>
      <w:r>
        <w:rPr>
          <w:rFonts w:ascii="Arial" w:hAnsi="Arial" w:cs="Arial"/>
          <w:sz w:val="24"/>
          <w:szCs w:val="24"/>
        </w:rPr>
        <w:t>,</w:t>
      </w:r>
      <w:r w:rsidR="00C7052F">
        <w:rPr>
          <w:rFonts w:ascii="Arial" w:hAnsi="Arial" w:cs="Arial"/>
          <w:sz w:val="24"/>
          <w:szCs w:val="24"/>
        </w:rPr>
        <w:t xml:space="preserve"> que d</w:t>
      </w:r>
      <w:r w:rsidRPr="0046364E">
        <w:rPr>
          <w:rFonts w:ascii="Arial" w:hAnsi="Arial" w:cs="Arial"/>
          <w:sz w:val="24"/>
          <w:szCs w:val="24"/>
        </w:rPr>
        <w:t xml:space="preserve">es </w:t>
      </w:r>
      <w:r>
        <w:rPr>
          <w:rFonts w:ascii="Arial" w:hAnsi="Arial" w:cs="Arial"/>
          <w:sz w:val="24"/>
          <w:szCs w:val="24"/>
        </w:rPr>
        <w:t>lignes directrices</w:t>
      </w:r>
      <w:r w:rsidRPr="0046364E">
        <w:rPr>
          <w:rFonts w:ascii="Arial" w:hAnsi="Arial" w:cs="Arial"/>
          <w:sz w:val="24"/>
          <w:szCs w:val="24"/>
        </w:rPr>
        <w:t xml:space="preserve"> qui en découlent soient considéré</w:t>
      </w:r>
      <w:r>
        <w:rPr>
          <w:rFonts w:ascii="Arial" w:hAnsi="Arial" w:cs="Arial"/>
          <w:sz w:val="24"/>
          <w:szCs w:val="24"/>
        </w:rPr>
        <w:t>e</w:t>
      </w:r>
      <w:r w:rsidRPr="0046364E">
        <w:rPr>
          <w:rFonts w:ascii="Arial" w:hAnsi="Arial" w:cs="Arial"/>
          <w:sz w:val="24"/>
          <w:szCs w:val="24"/>
        </w:rPr>
        <w:t>s comme un minimum à respecter.</w:t>
      </w:r>
      <w:r>
        <w:rPr>
          <w:rFonts w:ascii="Arial" w:hAnsi="Arial" w:cs="Arial"/>
          <w:sz w:val="24"/>
          <w:szCs w:val="24"/>
        </w:rPr>
        <w:t xml:space="preserve"> </w:t>
      </w:r>
    </w:p>
    <w:p w:rsidR="00611CEF" w:rsidRDefault="00611CEF"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1473B5" w:rsidRDefault="001473B5" w:rsidP="00BA7051">
      <w:pPr>
        <w:rPr>
          <w:rFonts w:ascii="Arial" w:hAnsi="Arial" w:cs="Arial"/>
          <w:sz w:val="24"/>
          <w:szCs w:val="24"/>
        </w:rPr>
      </w:pPr>
    </w:p>
    <w:p w:rsidR="00A4108D" w:rsidRPr="00611CEF" w:rsidRDefault="00870576" w:rsidP="00956CD9">
      <w:pPr>
        <w:pStyle w:val="Titre1"/>
        <w:spacing w:after="200"/>
        <w:rPr>
          <w:rFonts w:ascii="Arial" w:hAnsi="Arial" w:cs="Arial"/>
          <w:sz w:val="32"/>
          <w:szCs w:val="32"/>
          <w:lang w:val="fr-FR"/>
        </w:rPr>
      </w:pPr>
      <w:bookmarkStart w:id="12" w:name="_Toc26517348"/>
      <w:r w:rsidRPr="00611CEF">
        <w:rPr>
          <w:rFonts w:ascii="Arial" w:hAnsi="Arial" w:cs="Arial"/>
          <w:sz w:val="32"/>
          <w:szCs w:val="32"/>
          <w:lang w:val="fr-FR"/>
        </w:rPr>
        <w:lastRenderedPageBreak/>
        <w:t>Promotion et valorisation de l’action communautaire</w:t>
      </w:r>
      <w:bookmarkEnd w:id="12"/>
      <w:r w:rsidRPr="00611CEF">
        <w:rPr>
          <w:rFonts w:ascii="Arial" w:hAnsi="Arial" w:cs="Arial"/>
          <w:sz w:val="32"/>
          <w:szCs w:val="32"/>
          <w:lang w:val="fr-FR"/>
        </w:rPr>
        <w:t xml:space="preserve"> </w:t>
      </w:r>
    </w:p>
    <w:p w:rsidR="0029286D" w:rsidRDefault="0029286D" w:rsidP="000D498E">
      <w:pPr>
        <w:pStyle w:val="Titre2"/>
        <w:rPr>
          <w:rFonts w:ascii="Arial" w:hAnsi="Arial" w:cs="Arial"/>
        </w:rPr>
      </w:pPr>
    </w:p>
    <w:p w:rsidR="000D498E" w:rsidRPr="00CA5452" w:rsidRDefault="000D498E" w:rsidP="00A608CA">
      <w:pPr>
        <w:pStyle w:val="Titre2"/>
        <w:spacing w:after="200"/>
        <w:rPr>
          <w:rFonts w:ascii="Arial" w:hAnsi="Arial" w:cs="Arial"/>
        </w:rPr>
      </w:pPr>
      <w:bookmarkStart w:id="13" w:name="_Toc26517349"/>
      <w:r w:rsidRPr="00CA5452">
        <w:rPr>
          <w:rFonts w:ascii="Arial" w:hAnsi="Arial" w:cs="Arial"/>
        </w:rPr>
        <w:t>Consultation du milieu communautaire</w:t>
      </w:r>
      <w:bookmarkEnd w:id="13"/>
      <w:r w:rsidRPr="00CA5452">
        <w:rPr>
          <w:rFonts w:ascii="Arial" w:hAnsi="Arial" w:cs="Arial"/>
        </w:rPr>
        <w:t xml:space="preserve"> </w:t>
      </w:r>
    </w:p>
    <w:p w:rsidR="000D498E" w:rsidRPr="0046364E" w:rsidRDefault="000D498E" w:rsidP="000D498E">
      <w:pPr>
        <w:rPr>
          <w:rFonts w:ascii="Arial" w:hAnsi="Arial" w:cs="Arial"/>
          <w:sz w:val="24"/>
          <w:szCs w:val="24"/>
        </w:rPr>
      </w:pPr>
      <w:r w:rsidRPr="0046364E">
        <w:rPr>
          <w:rFonts w:ascii="Arial" w:hAnsi="Arial" w:cs="Arial"/>
          <w:sz w:val="24"/>
          <w:szCs w:val="24"/>
        </w:rPr>
        <w:t xml:space="preserve">De concert avec le RQ-ACA, nous sommes conscients que certains leviers lobbyistes ont davantage accès aux titulaires de charges publiques que les organismes publics qui pourtant représentent les intérêts directs des citoyens et des citoyennes. Considérant ce rapport de force inéquitable, nous voulons inverser cet état de fait. </w:t>
      </w:r>
    </w:p>
    <w:p w:rsidR="000D498E" w:rsidRPr="0046364E" w:rsidRDefault="000D498E" w:rsidP="000D498E">
      <w:pPr>
        <w:rPr>
          <w:rFonts w:ascii="Arial" w:hAnsi="Arial" w:cs="Arial"/>
          <w:sz w:val="24"/>
          <w:szCs w:val="24"/>
        </w:rPr>
      </w:pPr>
      <w:r w:rsidRPr="0046364E">
        <w:rPr>
          <w:rFonts w:ascii="Arial" w:hAnsi="Arial" w:cs="Arial"/>
          <w:sz w:val="24"/>
          <w:szCs w:val="24"/>
        </w:rPr>
        <w:t>De plus, le gouvernement doit s’adresser aux bons interlocuteurs</w:t>
      </w:r>
      <w:r>
        <w:rPr>
          <w:rFonts w:ascii="Arial" w:hAnsi="Arial" w:cs="Arial"/>
          <w:sz w:val="24"/>
          <w:szCs w:val="24"/>
        </w:rPr>
        <w:t xml:space="preserve"> en fonction des différents sujets</w:t>
      </w:r>
      <w:r w:rsidRPr="0046364E">
        <w:rPr>
          <w:rFonts w:ascii="Arial" w:hAnsi="Arial" w:cs="Arial"/>
          <w:sz w:val="24"/>
          <w:szCs w:val="24"/>
        </w:rPr>
        <w:t xml:space="preserve">. En effet, lorsqu’un projet de loi, de règlement ou une politique gouvernementale concerne </w:t>
      </w:r>
      <w:r w:rsidR="000E3FEF">
        <w:rPr>
          <w:rFonts w:ascii="Arial" w:hAnsi="Arial" w:cs="Arial"/>
          <w:sz w:val="24"/>
          <w:szCs w:val="24"/>
        </w:rPr>
        <w:t>ou a un impact sur les personnes ayant une limitation fonctionnelle</w:t>
      </w:r>
      <w:r w:rsidRPr="0046364E">
        <w:rPr>
          <w:rFonts w:ascii="Arial" w:hAnsi="Arial" w:cs="Arial"/>
          <w:sz w:val="24"/>
          <w:szCs w:val="24"/>
        </w:rPr>
        <w:t>, il d</w:t>
      </w:r>
      <w:r>
        <w:rPr>
          <w:rFonts w:ascii="Arial" w:hAnsi="Arial" w:cs="Arial"/>
          <w:sz w:val="24"/>
          <w:szCs w:val="24"/>
        </w:rPr>
        <w:t>evrait</w:t>
      </w:r>
      <w:r w:rsidRPr="0046364E">
        <w:rPr>
          <w:rFonts w:ascii="Arial" w:hAnsi="Arial" w:cs="Arial"/>
          <w:sz w:val="24"/>
          <w:szCs w:val="24"/>
        </w:rPr>
        <w:t xml:space="preserve"> consulter uniquement les organismes communautaires qui </w:t>
      </w:r>
      <w:r w:rsidR="000E3FEF">
        <w:rPr>
          <w:rFonts w:ascii="Arial" w:hAnsi="Arial" w:cs="Arial"/>
          <w:sz w:val="24"/>
          <w:szCs w:val="24"/>
        </w:rPr>
        <w:t xml:space="preserve">les </w:t>
      </w:r>
      <w:r w:rsidRPr="0046364E">
        <w:rPr>
          <w:rFonts w:ascii="Arial" w:hAnsi="Arial" w:cs="Arial"/>
          <w:sz w:val="24"/>
          <w:szCs w:val="24"/>
        </w:rPr>
        <w:t xml:space="preserve">représentent. </w:t>
      </w:r>
    </w:p>
    <w:p w:rsidR="00185F48" w:rsidRDefault="00185F48" w:rsidP="00185F48">
      <w:pPr>
        <w:rPr>
          <w:rFonts w:ascii="Arial" w:hAnsi="Arial" w:cs="Arial"/>
          <w:sz w:val="24"/>
          <w:szCs w:val="24"/>
        </w:rPr>
      </w:pPr>
      <w:r w:rsidRPr="00E91FD2">
        <w:rPr>
          <w:rFonts w:ascii="Arial" w:hAnsi="Arial" w:cs="Arial"/>
          <w:sz w:val="24"/>
          <w:szCs w:val="24"/>
        </w:rPr>
        <w:t xml:space="preserve">Nous tenons également à préciser que nous avions indiqué dans notre </w:t>
      </w:r>
      <w:hyperlink r:id="rId21" w:history="1">
        <w:r w:rsidRPr="00E91FD2">
          <w:rPr>
            <w:rStyle w:val="Lienhypertexte"/>
            <w:rFonts w:ascii="Arial" w:hAnsi="Arial" w:cs="Arial"/>
            <w:sz w:val="24"/>
            <w:szCs w:val="24"/>
          </w:rPr>
          <w:t>mémoire sur le Cadre de référence gouvernemental sur la participation publique</w:t>
        </w:r>
      </w:hyperlink>
      <w:r w:rsidRPr="00E91FD2">
        <w:rPr>
          <w:rFonts w:ascii="Arial" w:hAnsi="Arial" w:cs="Arial"/>
          <w:sz w:val="24"/>
          <w:szCs w:val="24"/>
        </w:rPr>
        <w:t xml:space="preserve">, qu’un délai acceptable </w:t>
      </w:r>
      <w:r>
        <w:rPr>
          <w:rFonts w:ascii="Arial" w:hAnsi="Arial" w:cs="Arial"/>
          <w:sz w:val="24"/>
          <w:szCs w:val="24"/>
        </w:rPr>
        <w:t xml:space="preserve">de consultation </w:t>
      </w:r>
      <w:r w:rsidRPr="00E91FD2">
        <w:rPr>
          <w:rFonts w:ascii="Arial" w:hAnsi="Arial" w:cs="Arial"/>
          <w:sz w:val="24"/>
          <w:szCs w:val="24"/>
        </w:rPr>
        <w:t xml:space="preserve">doit minimalement </w:t>
      </w:r>
      <w:r>
        <w:rPr>
          <w:rFonts w:ascii="Arial" w:hAnsi="Arial" w:cs="Arial"/>
          <w:sz w:val="24"/>
          <w:szCs w:val="24"/>
        </w:rPr>
        <w:t>être d’</w:t>
      </w:r>
      <w:r w:rsidRPr="00E91FD2">
        <w:rPr>
          <w:rFonts w:ascii="Arial" w:hAnsi="Arial" w:cs="Arial"/>
          <w:sz w:val="24"/>
          <w:szCs w:val="24"/>
        </w:rPr>
        <w:t xml:space="preserve">une durée de </w:t>
      </w:r>
      <w:r>
        <w:rPr>
          <w:rFonts w:ascii="Arial" w:hAnsi="Arial" w:cs="Arial"/>
          <w:sz w:val="24"/>
          <w:szCs w:val="24"/>
        </w:rPr>
        <w:t>quatre</w:t>
      </w:r>
      <w:r w:rsidRPr="00E91FD2">
        <w:rPr>
          <w:rFonts w:ascii="Arial" w:hAnsi="Arial" w:cs="Arial"/>
          <w:sz w:val="24"/>
          <w:szCs w:val="24"/>
        </w:rPr>
        <w:t xml:space="preserve"> mois, et ce, n’incluant pas les périodes traditionnelles de congé</w:t>
      </w:r>
      <w:r>
        <w:rPr>
          <w:rFonts w:ascii="Arial" w:hAnsi="Arial" w:cs="Arial"/>
          <w:sz w:val="24"/>
          <w:szCs w:val="24"/>
        </w:rPr>
        <w:t>s</w:t>
      </w:r>
      <w:r w:rsidRPr="00E91FD2">
        <w:rPr>
          <w:rFonts w:ascii="Arial" w:hAnsi="Arial" w:cs="Arial"/>
          <w:sz w:val="24"/>
          <w:szCs w:val="24"/>
        </w:rPr>
        <w:t>.</w:t>
      </w:r>
    </w:p>
    <w:p w:rsidR="000D498E" w:rsidRDefault="0081103F" w:rsidP="000D498E">
      <w:pPr>
        <w:rPr>
          <w:rFonts w:ascii="Arial" w:hAnsi="Arial" w:cs="Arial"/>
          <w:sz w:val="24"/>
          <w:szCs w:val="24"/>
        </w:rPr>
      </w:pPr>
      <w:r>
        <w:rPr>
          <w:rFonts w:ascii="Arial" w:hAnsi="Arial" w:cs="Arial"/>
          <w:sz w:val="24"/>
          <w:szCs w:val="24"/>
        </w:rPr>
        <w:t>De plus</w:t>
      </w:r>
      <w:r w:rsidR="000D498E" w:rsidRPr="0046364E">
        <w:rPr>
          <w:rFonts w:ascii="Arial" w:hAnsi="Arial" w:cs="Arial"/>
          <w:sz w:val="24"/>
          <w:szCs w:val="24"/>
        </w:rPr>
        <w:t xml:space="preserve">, afin d’assurer que l’expertise des différents organismes communautaires soit mise de l’avant, il faudrait s’assurer de l’existence d’un bon dialogue avec les ministères et </w:t>
      </w:r>
      <w:r w:rsidR="000F7FAC">
        <w:rPr>
          <w:rFonts w:ascii="Arial" w:hAnsi="Arial" w:cs="Arial"/>
          <w:sz w:val="24"/>
          <w:szCs w:val="24"/>
        </w:rPr>
        <w:t xml:space="preserve">les </w:t>
      </w:r>
      <w:r w:rsidR="000D498E" w:rsidRPr="0046364E">
        <w:rPr>
          <w:rFonts w:ascii="Arial" w:hAnsi="Arial" w:cs="Arial"/>
          <w:sz w:val="24"/>
          <w:szCs w:val="24"/>
        </w:rPr>
        <w:t xml:space="preserve">organismes publics. En effet, pour établir une relation de confiance, il faut que les ministères et les organismes publics valorisent l’expertise que les organismes communautaires apportent. </w:t>
      </w:r>
    </w:p>
    <w:p w:rsidR="00370CEF" w:rsidRPr="00650E95" w:rsidRDefault="00401556" w:rsidP="000D498E">
      <w:r>
        <w:rPr>
          <w:rFonts w:ascii="Arial" w:hAnsi="Arial" w:cs="Arial"/>
          <w:sz w:val="24"/>
          <w:szCs w:val="24"/>
        </w:rPr>
        <w:t>Finalement, nous demandons à ce que l’ensemble des ministères et organismes publics respectent les lois et règlements en lien avec les personnes que nous représentons et qu’ils prennent en compte les commentaires des organism</w:t>
      </w:r>
      <w:r w:rsidR="00650E95">
        <w:rPr>
          <w:rFonts w:ascii="Arial" w:hAnsi="Arial" w:cs="Arial"/>
          <w:sz w:val="24"/>
          <w:szCs w:val="24"/>
        </w:rPr>
        <w:t>es communautaires</w:t>
      </w:r>
      <w:r w:rsidR="00185F48">
        <w:rPr>
          <w:rFonts w:ascii="Arial" w:hAnsi="Arial" w:cs="Arial"/>
          <w:sz w:val="24"/>
          <w:szCs w:val="24"/>
        </w:rPr>
        <w:t xml:space="preserve"> lors des différentes consultations</w:t>
      </w:r>
      <w:r w:rsidR="00650E95">
        <w:rPr>
          <w:rFonts w:ascii="Arial" w:hAnsi="Arial" w:cs="Arial"/>
          <w:sz w:val="24"/>
          <w:szCs w:val="24"/>
        </w:rPr>
        <w:t>.</w:t>
      </w:r>
    </w:p>
    <w:p w:rsidR="000D498E" w:rsidRDefault="000D498E" w:rsidP="000D498E">
      <w:pPr>
        <w:ind w:left="708"/>
        <w:rPr>
          <w:rFonts w:ascii="Arial" w:hAnsi="Arial" w:cs="Arial"/>
          <w:sz w:val="24"/>
          <w:szCs w:val="24"/>
        </w:rPr>
      </w:pPr>
      <w:r w:rsidRPr="0046364E">
        <w:rPr>
          <w:rFonts w:ascii="Arial" w:hAnsi="Arial" w:cs="Arial"/>
          <w:b/>
          <w:sz w:val="24"/>
          <w:szCs w:val="24"/>
        </w:rPr>
        <w:t>Recommandations</w:t>
      </w:r>
      <w:r w:rsidRPr="0046364E">
        <w:rPr>
          <w:rFonts w:ascii="Arial" w:hAnsi="Arial" w:cs="Arial"/>
          <w:sz w:val="24"/>
          <w:szCs w:val="24"/>
        </w:rPr>
        <w:t xml:space="preserve"> : </w:t>
      </w:r>
    </w:p>
    <w:p w:rsidR="000D498E" w:rsidRPr="0046364E" w:rsidRDefault="000D498E" w:rsidP="000D498E">
      <w:pPr>
        <w:ind w:left="708"/>
        <w:rPr>
          <w:rFonts w:ascii="Arial" w:hAnsi="Arial" w:cs="Arial"/>
          <w:sz w:val="24"/>
          <w:szCs w:val="24"/>
        </w:rPr>
      </w:pPr>
      <w:r w:rsidRPr="0046364E">
        <w:rPr>
          <w:rFonts w:ascii="Arial" w:hAnsi="Arial" w:cs="Arial"/>
          <w:sz w:val="24"/>
          <w:szCs w:val="24"/>
        </w:rPr>
        <w:t xml:space="preserve">Que l’expertise des organismes communautaires soit valorisée et qu’ils soient interpellés lors de travaux parlementaires concernant les projets de lois et de règlements et les politiques publiques; </w:t>
      </w:r>
    </w:p>
    <w:p w:rsidR="000D498E" w:rsidRPr="0046364E" w:rsidRDefault="000D498E" w:rsidP="000D498E">
      <w:pPr>
        <w:ind w:left="708"/>
        <w:rPr>
          <w:rFonts w:ascii="Arial" w:hAnsi="Arial" w:cs="Arial"/>
          <w:sz w:val="24"/>
          <w:szCs w:val="24"/>
        </w:rPr>
      </w:pPr>
      <w:r w:rsidRPr="0046364E">
        <w:rPr>
          <w:rFonts w:ascii="Arial" w:hAnsi="Arial" w:cs="Arial"/>
          <w:sz w:val="24"/>
          <w:szCs w:val="24"/>
        </w:rPr>
        <w:t>Que lorsqu’un projet de loi, de règlement ou une politique publique concern</w:t>
      </w:r>
      <w:r>
        <w:rPr>
          <w:rFonts w:ascii="Arial" w:hAnsi="Arial" w:cs="Arial"/>
          <w:sz w:val="24"/>
          <w:szCs w:val="24"/>
        </w:rPr>
        <w:t>e</w:t>
      </w:r>
      <w:r w:rsidRPr="0046364E">
        <w:rPr>
          <w:rFonts w:ascii="Arial" w:hAnsi="Arial" w:cs="Arial"/>
          <w:sz w:val="24"/>
          <w:szCs w:val="24"/>
        </w:rPr>
        <w:t xml:space="preserve"> </w:t>
      </w:r>
      <w:r w:rsidR="00D95101">
        <w:rPr>
          <w:rFonts w:ascii="Arial" w:hAnsi="Arial" w:cs="Arial"/>
          <w:sz w:val="24"/>
          <w:szCs w:val="24"/>
        </w:rPr>
        <w:t>les personnes ayant une limitation fonctionnelle ou ayant un impact sur celles-ci</w:t>
      </w:r>
      <w:r w:rsidRPr="0046364E">
        <w:rPr>
          <w:rFonts w:ascii="Arial" w:hAnsi="Arial" w:cs="Arial"/>
          <w:sz w:val="24"/>
          <w:szCs w:val="24"/>
        </w:rPr>
        <w:t>, les instances</w:t>
      </w:r>
      <w:r w:rsidR="00D95101">
        <w:rPr>
          <w:rFonts w:ascii="Arial" w:hAnsi="Arial" w:cs="Arial"/>
          <w:sz w:val="24"/>
          <w:szCs w:val="24"/>
        </w:rPr>
        <w:t xml:space="preserve"> les</w:t>
      </w:r>
      <w:r w:rsidRPr="0046364E">
        <w:rPr>
          <w:rFonts w:ascii="Arial" w:hAnsi="Arial" w:cs="Arial"/>
          <w:sz w:val="24"/>
          <w:szCs w:val="24"/>
        </w:rPr>
        <w:t xml:space="preserve"> représentant soient consultées,</w:t>
      </w:r>
      <w:r w:rsidR="004D60CB">
        <w:rPr>
          <w:rFonts w:ascii="Arial" w:hAnsi="Arial" w:cs="Arial"/>
          <w:sz w:val="24"/>
          <w:szCs w:val="24"/>
        </w:rPr>
        <w:t xml:space="preserve"> donc</w:t>
      </w:r>
      <w:r>
        <w:rPr>
          <w:rFonts w:ascii="Arial" w:hAnsi="Arial" w:cs="Arial"/>
          <w:sz w:val="24"/>
          <w:szCs w:val="24"/>
        </w:rPr>
        <w:t xml:space="preserve"> que </w:t>
      </w:r>
      <w:r w:rsidRPr="0046364E">
        <w:rPr>
          <w:rFonts w:ascii="Arial" w:hAnsi="Arial" w:cs="Arial"/>
          <w:sz w:val="24"/>
          <w:szCs w:val="24"/>
        </w:rPr>
        <w:t xml:space="preserve">les bons acteurs soient consultés </w:t>
      </w:r>
      <w:r>
        <w:rPr>
          <w:rFonts w:ascii="Arial" w:hAnsi="Arial" w:cs="Arial"/>
          <w:sz w:val="24"/>
          <w:szCs w:val="24"/>
        </w:rPr>
        <w:t>sur l</w:t>
      </w:r>
      <w:r w:rsidRPr="0046364E">
        <w:rPr>
          <w:rFonts w:ascii="Arial" w:hAnsi="Arial" w:cs="Arial"/>
          <w:sz w:val="24"/>
          <w:szCs w:val="24"/>
        </w:rPr>
        <w:t xml:space="preserve">es sujets les concernant; </w:t>
      </w:r>
    </w:p>
    <w:p w:rsidR="00185F48" w:rsidRDefault="00185F48" w:rsidP="00185F48">
      <w:pPr>
        <w:ind w:left="708"/>
        <w:rPr>
          <w:rFonts w:ascii="Arial" w:hAnsi="Arial" w:cs="Arial"/>
          <w:sz w:val="24"/>
          <w:szCs w:val="24"/>
        </w:rPr>
      </w:pPr>
      <w:r w:rsidRPr="00B025EE">
        <w:rPr>
          <w:rFonts w:ascii="Arial" w:hAnsi="Arial" w:cs="Arial"/>
          <w:sz w:val="24"/>
          <w:szCs w:val="24"/>
        </w:rPr>
        <w:t xml:space="preserve">Qu’un « délai minimum acceptable » de consultation </w:t>
      </w:r>
      <w:r>
        <w:rPr>
          <w:rFonts w:ascii="Arial" w:hAnsi="Arial" w:cs="Arial"/>
          <w:sz w:val="24"/>
          <w:szCs w:val="24"/>
        </w:rPr>
        <w:t>soit d’</w:t>
      </w:r>
      <w:r w:rsidRPr="00B025EE">
        <w:rPr>
          <w:rFonts w:ascii="Arial" w:hAnsi="Arial" w:cs="Arial"/>
          <w:sz w:val="24"/>
          <w:szCs w:val="24"/>
        </w:rPr>
        <w:t xml:space="preserve">une durée minimale de </w:t>
      </w:r>
      <w:r>
        <w:rPr>
          <w:rFonts w:ascii="Arial" w:hAnsi="Arial" w:cs="Arial"/>
          <w:sz w:val="24"/>
          <w:szCs w:val="24"/>
        </w:rPr>
        <w:t>quatre</w:t>
      </w:r>
      <w:r w:rsidRPr="00B025EE">
        <w:rPr>
          <w:rFonts w:ascii="Arial" w:hAnsi="Arial" w:cs="Arial"/>
          <w:sz w:val="24"/>
          <w:szCs w:val="24"/>
        </w:rPr>
        <w:t xml:space="preserve"> mois, n’incluant pas les périodes traditionnelles de congé</w:t>
      </w:r>
      <w:r>
        <w:rPr>
          <w:rFonts w:ascii="Arial" w:hAnsi="Arial" w:cs="Arial"/>
          <w:sz w:val="24"/>
          <w:szCs w:val="24"/>
        </w:rPr>
        <w:t xml:space="preserve">s; </w:t>
      </w:r>
    </w:p>
    <w:p w:rsidR="000D498E" w:rsidRDefault="000D498E" w:rsidP="000D498E">
      <w:pPr>
        <w:ind w:left="708"/>
        <w:rPr>
          <w:rFonts w:ascii="Arial" w:hAnsi="Arial" w:cs="Arial"/>
          <w:sz w:val="24"/>
          <w:szCs w:val="24"/>
        </w:rPr>
      </w:pPr>
      <w:r w:rsidRPr="0046364E">
        <w:rPr>
          <w:rFonts w:ascii="Arial" w:hAnsi="Arial" w:cs="Arial"/>
          <w:sz w:val="24"/>
          <w:szCs w:val="24"/>
        </w:rPr>
        <w:lastRenderedPageBreak/>
        <w:t>Que toutes les instances ministérielles qui participent de près ou de loin à l’élaboration de programme</w:t>
      </w:r>
      <w:r>
        <w:rPr>
          <w:rFonts w:ascii="Arial" w:hAnsi="Arial" w:cs="Arial"/>
          <w:sz w:val="24"/>
          <w:szCs w:val="24"/>
        </w:rPr>
        <w:t>s</w:t>
      </w:r>
      <w:r w:rsidRPr="0046364E">
        <w:rPr>
          <w:rFonts w:ascii="Arial" w:hAnsi="Arial" w:cs="Arial"/>
          <w:sz w:val="24"/>
          <w:szCs w:val="24"/>
        </w:rPr>
        <w:t>, de cadre</w:t>
      </w:r>
      <w:r>
        <w:rPr>
          <w:rFonts w:ascii="Arial" w:hAnsi="Arial" w:cs="Arial"/>
          <w:sz w:val="24"/>
          <w:szCs w:val="24"/>
        </w:rPr>
        <w:t>s</w:t>
      </w:r>
      <w:r w:rsidRPr="0046364E">
        <w:rPr>
          <w:rFonts w:ascii="Arial" w:hAnsi="Arial" w:cs="Arial"/>
          <w:sz w:val="24"/>
          <w:szCs w:val="24"/>
        </w:rPr>
        <w:t xml:space="preserve"> normatif</w:t>
      </w:r>
      <w:r>
        <w:rPr>
          <w:rFonts w:ascii="Arial" w:hAnsi="Arial" w:cs="Arial"/>
          <w:sz w:val="24"/>
          <w:szCs w:val="24"/>
        </w:rPr>
        <w:t>s</w:t>
      </w:r>
      <w:r w:rsidRPr="0046364E">
        <w:rPr>
          <w:rFonts w:ascii="Arial" w:hAnsi="Arial" w:cs="Arial"/>
          <w:sz w:val="24"/>
          <w:szCs w:val="24"/>
        </w:rPr>
        <w:t xml:space="preserve"> ou de convention</w:t>
      </w:r>
      <w:r>
        <w:rPr>
          <w:rFonts w:ascii="Arial" w:hAnsi="Arial" w:cs="Arial"/>
          <w:sz w:val="24"/>
          <w:szCs w:val="24"/>
        </w:rPr>
        <w:t>s</w:t>
      </w:r>
      <w:r w:rsidRPr="0046364E">
        <w:rPr>
          <w:rFonts w:ascii="Arial" w:hAnsi="Arial" w:cs="Arial"/>
          <w:sz w:val="24"/>
          <w:szCs w:val="24"/>
        </w:rPr>
        <w:t xml:space="preserve"> d’aide financière soient formées aux implications de la Politique de reconnaissance de l’action communautaire</w:t>
      </w:r>
      <w:r>
        <w:rPr>
          <w:rFonts w:ascii="Arial" w:hAnsi="Arial" w:cs="Arial"/>
          <w:sz w:val="24"/>
          <w:szCs w:val="24"/>
        </w:rPr>
        <w:t xml:space="preserve"> et de son cadre de référence; </w:t>
      </w:r>
    </w:p>
    <w:p w:rsidR="006D4C6E" w:rsidRDefault="006D4C6E" w:rsidP="000D498E">
      <w:pPr>
        <w:ind w:left="708"/>
        <w:rPr>
          <w:rFonts w:ascii="Arial" w:hAnsi="Arial" w:cs="Arial"/>
          <w:sz w:val="24"/>
          <w:szCs w:val="24"/>
        </w:rPr>
      </w:pPr>
      <w:r>
        <w:rPr>
          <w:rFonts w:ascii="Arial" w:hAnsi="Arial" w:cs="Arial"/>
          <w:sz w:val="24"/>
          <w:szCs w:val="24"/>
        </w:rPr>
        <w:t>Qu’un respect des lois et des règlements par l’appareil gouvernemental soit fait et qu’il y ait une meilleure prise en compte des recommanda</w:t>
      </w:r>
      <w:r w:rsidR="004D60CB">
        <w:rPr>
          <w:rFonts w:ascii="Arial" w:hAnsi="Arial" w:cs="Arial"/>
          <w:sz w:val="24"/>
          <w:szCs w:val="24"/>
        </w:rPr>
        <w:t xml:space="preserve">tions des différents organismes </w:t>
      </w:r>
      <w:r>
        <w:rPr>
          <w:rFonts w:ascii="Arial" w:hAnsi="Arial" w:cs="Arial"/>
          <w:sz w:val="24"/>
          <w:szCs w:val="24"/>
        </w:rPr>
        <w:t xml:space="preserve">communautaires. </w:t>
      </w:r>
    </w:p>
    <w:p w:rsidR="00C94A0E" w:rsidRDefault="00C94A0E" w:rsidP="00CA5452">
      <w:pPr>
        <w:pStyle w:val="Titre2"/>
        <w:rPr>
          <w:rFonts w:ascii="Arial" w:hAnsi="Arial" w:cs="Arial"/>
        </w:rPr>
      </w:pPr>
    </w:p>
    <w:p w:rsidR="00CA5452" w:rsidRPr="00CA5452" w:rsidRDefault="0029286D" w:rsidP="00A608CA">
      <w:pPr>
        <w:pStyle w:val="Titre2"/>
        <w:spacing w:after="200"/>
        <w:rPr>
          <w:rFonts w:ascii="Arial" w:hAnsi="Arial" w:cs="Arial"/>
        </w:rPr>
      </w:pPr>
      <w:bookmarkStart w:id="14" w:name="_Toc26517350"/>
      <w:r>
        <w:rPr>
          <w:rFonts w:ascii="Arial" w:hAnsi="Arial" w:cs="Arial"/>
        </w:rPr>
        <w:t>Rôle important</w:t>
      </w:r>
      <w:r w:rsidR="00CA5452" w:rsidRPr="00CA5452">
        <w:rPr>
          <w:rFonts w:ascii="Arial" w:hAnsi="Arial" w:cs="Arial"/>
        </w:rPr>
        <w:t xml:space="preserve"> des regroupements</w:t>
      </w:r>
      <w:bookmarkEnd w:id="14"/>
      <w:r w:rsidR="00CA5452" w:rsidRPr="00CA5452">
        <w:rPr>
          <w:rFonts w:ascii="Arial" w:hAnsi="Arial" w:cs="Arial"/>
        </w:rPr>
        <w:t xml:space="preserve"> </w:t>
      </w:r>
    </w:p>
    <w:p w:rsidR="00CA5452" w:rsidRPr="0046364E" w:rsidRDefault="00CA5452" w:rsidP="00EC64B9">
      <w:pPr>
        <w:rPr>
          <w:rFonts w:ascii="Arial" w:hAnsi="Arial" w:cs="Arial"/>
          <w:sz w:val="24"/>
          <w:szCs w:val="24"/>
        </w:rPr>
      </w:pPr>
      <w:r w:rsidRPr="0046364E">
        <w:rPr>
          <w:rFonts w:ascii="Arial" w:hAnsi="Arial" w:cs="Arial"/>
          <w:sz w:val="24"/>
          <w:szCs w:val="24"/>
        </w:rPr>
        <w:t xml:space="preserve">La COPHAN, étant un regroupement d’organismes communautaires eux-mêmes en grande partie des regroupements, </w:t>
      </w:r>
      <w:r w:rsidR="00AA72BE">
        <w:rPr>
          <w:rFonts w:ascii="Arial" w:hAnsi="Arial" w:cs="Arial"/>
          <w:sz w:val="24"/>
          <w:szCs w:val="24"/>
        </w:rPr>
        <w:t xml:space="preserve">nous sommes </w:t>
      </w:r>
      <w:r w:rsidRPr="0046364E">
        <w:rPr>
          <w:rFonts w:ascii="Arial" w:hAnsi="Arial" w:cs="Arial"/>
          <w:sz w:val="24"/>
          <w:szCs w:val="24"/>
        </w:rPr>
        <w:t>extrêmement conscient</w:t>
      </w:r>
      <w:r w:rsidR="00AA72BE">
        <w:rPr>
          <w:rFonts w:ascii="Arial" w:hAnsi="Arial" w:cs="Arial"/>
          <w:sz w:val="24"/>
          <w:szCs w:val="24"/>
        </w:rPr>
        <w:t>s</w:t>
      </w:r>
      <w:r w:rsidRPr="0046364E">
        <w:rPr>
          <w:rFonts w:ascii="Arial" w:hAnsi="Arial" w:cs="Arial"/>
          <w:sz w:val="24"/>
          <w:szCs w:val="24"/>
        </w:rPr>
        <w:t xml:space="preserve"> de l’importance que joue</w:t>
      </w:r>
      <w:r>
        <w:rPr>
          <w:rFonts w:ascii="Arial" w:hAnsi="Arial" w:cs="Arial"/>
          <w:sz w:val="24"/>
          <w:szCs w:val="24"/>
        </w:rPr>
        <w:t>nt</w:t>
      </w:r>
      <w:r w:rsidRPr="0046364E">
        <w:rPr>
          <w:rFonts w:ascii="Arial" w:hAnsi="Arial" w:cs="Arial"/>
          <w:sz w:val="24"/>
          <w:szCs w:val="24"/>
        </w:rPr>
        <w:t xml:space="preserve"> ces derniers au niveau de l’action communautaire. Malheureusement, notre rôle et notre mandat </w:t>
      </w:r>
      <w:r>
        <w:rPr>
          <w:rFonts w:ascii="Arial" w:hAnsi="Arial" w:cs="Arial"/>
          <w:sz w:val="24"/>
          <w:szCs w:val="24"/>
        </w:rPr>
        <w:t>son</w:t>
      </w:r>
      <w:r w:rsidRPr="0046364E">
        <w:rPr>
          <w:rFonts w:ascii="Arial" w:hAnsi="Arial" w:cs="Arial"/>
          <w:sz w:val="24"/>
          <w:szCs w:val="24"/>
        </w:rPr>
        <w:t>t souvent méconnu</w:t>
      </w:r>
      <w:r>
        <w:rPr>
          <w:rFonts w:ascii="Arial" w:hAnsi="Arial" w:cs="Arial"/>
          <w:sz w:val="24"/>
          <w:szCs w:val="24"/>
        </w:rPr>
        <w:t>s</w:t>
      </w:r>
      <w:r w:rsidRPr="0046364E">
        <w:rPr>
          <w:rFonts w:ascii="Arial" w:hAnsi="Arial" w:cs="Arial"/>
          <w:sz w:val="24"/>
          <w:szCs w:val="24"/>
        </w:rPr>
        <w:t xml:space="preserve"> des ministères et des organismes publics allant même jusqu’à une remise en question de notre financement. Nous soutenons et réaffirmons le principe et ce, de concert avec le RQ-ACA et la </w:t>
      </w:r>
      <w:r w:rsidR="00206645">
        <w:rPr>
          <w:rFonts w:ascii="Arial" w:hAnsi="Arial" w:cs="Arial"/>
          <w:sz w:val="24"/>
          <w:szCs w:val="24"/>
        </w:rPr>
        <w:t>Table des regroupements provinciaux d’organismes communautaires et bénévoles (TRPOCB)</w:t>
      </w:r>
      <w:r w:rsidRPr="0046364E">
        <w:rPr>
          <w:rFonts w:ascii="Arial" w:hAnsi="Arial" w:cs="Arial"/>
          <w:sz w:val="24"/>
          <w:szCs w:val="24"/>
        </w:rPr>
        <w:t xml:space="preserve">, qu’un regroupement </w:t>
      </w:r>
      <w:r w:rsidR="00AA72BE">
        <w:rPr>
          <w:rFonts w:ascii="Arial" w:hAnsi="Arial" w:cs="Arial"/>
          <w:sz w:val="24"/>
          <w:szCs w:val="24"/>
        </w:rPr>
        <w:t>joue</w:t>
      </w:r>
      <w:r w:rsidRPr="0046364E">
        <w:rPr>
          <w:rFonts w:ascii="Arial" w:hAnsi="Arial" w:cs="Arial"/>
          <w:sz w:val="24"/>
          <w:szCs w:val="24"/>
        </w:rPr>
        <w:t xml:space="preserve"> un rôle </w:t>
      </w:r>
      <w:r w:rsidR="00206645">
        <w:rPr>
          <w:rFonts w:ascii="Arial" w:hAnsi="Arial" w:cs="Arial"/>
          <w:sz w:val="24"/>
          <w:szCs w:val="24"/>
        </w:rPr>
        <w:t>crucial</w:t>
      </w:r>
      <w:r w:rsidRPr="0046364E">
        <w:rPr>
          <w:rFonts w:ascii="Arial" w:hAnsi="Arial" w:cs="Arial"/>
          <w:sz w:val="24"/>
          <w:szCs w:val="24"/>
        </w:rPr>
        <w:t xml:space="preserve"> au sein de la société québécoise </w:t>
      </w:r>
      <w:r w:rsidR="00D1180C">
        <w:rPr>
          <w:rFonts w:ascii="Arial" w:hAnsi="Arial" w:cs="Arial"/>
          <w:sz w:val="24"/>
          <w:szCs w:val="24"/>
        </w:rPr>
        <w:t xml:space="preserve">en </w:t>
      </w:r>
      <w:r w:rsidRPr="0046364E">
        <w:rPr>
          <w:rFonts w:ascii="Arial" w:hAnsi="Arial" w:cs="Arial"/>
          <w:sz w:val="24"/>
          <w:szCs w:val="24"/>
        </w:rPr>
        <w:t xml:space="preserve">véhiculant les principes de démocratie et de participation citoyenne. Un regroupement a en effet accès aux paliers politiques supérieurs et permet ainsi d’apporter les recommandations des différents organismes communautaires </w:t>
      </w:r>
      <w:r w:rsidR="00D1180C">
        <w:rPr>
          <w:rFonts w:ascii="Arial" w:hAnsi="Arial" w:cs="Arial"/>
          <w:sz w:val="24"/>
          <w:szCs w:val="24"/>
        </w:rPr>
        <w:t>qu’il rassemble.</w:t>
      </w:r>
    </w:p>
    <w:p w:rsidR="00D1180C" w:rsidRDefault="00CA5452" w:rsidP="00CA5452">
      <w:pPr>
        <w:ind w:left="708"/>
        <w:rPr>
          <w:rFonts w:ascii="Arial" w:hAnsi="Arial" w:cs="Arial"/>
          <w:sz w:val="24"/>
          <w:szCs w:val="24"/>
        </w:rPr>
      </w:pPr>
      <w:r w:rsidRPr="0046364E">
        <w:rPr>
          <w:rFonts w:ascii="Arial" w:hAnsi="Arial" w:cs="Arial"/>
          <w:b/>
          <w:bCs/>
          <w:sz w:val="24"/>
          <w:szCs w:val="24"/>
        </w:rPr>
        <w:t>Recommandations</w:t>
      </w:r>
      <w:r w:rsidRPr="0046364E">
        <w:rPr>
          <w:rFonts w:ascii="Arial" w:hAnsi="Arial" w:cs="Arial"/>
          <w:sz w:val="24"/>
          <w:szCs w:val="24"/>
        </w:rPr>
        <w:t> :</w:t>
      </w:r>
    </w:p>
    <w:p w:rsidR="00CA5452" w:rsidRPr="0046364E" w:rsidRDefault="00CA5452" w:rsidP="00CA5452">
      <w:pPr>
        <w:ind w:left="708"/>
        <w:rPr>
          <w:rFonts w:ascii="Arial" w:hAnsi="Arial" w:cs="Arial"/>
          <w:sz w:val="24"/>
          <w:szCs w:val="24"/>
        </w:rPr>
      </w:pPr>
      <w:r w:rsidRPr="0046364E">
        <w:rPr>
          <w:rFonts w:ascii="Arial" w:hAnsi="Arial" w:cs="Arial"/>
          <w:sz w:val="24"/>
          <w:szCs w:val="24"/>
        </w:rPr>
        <w:t>Que le gouvernement prenne action afin de protéger le rôle des regroupements</w:t>
      </w:r>
      <w:r w:rsidR="00D1180C">
        <w:rPr>
          <w:rFonts w:ascii="Arial" w:hAnsi="Arial" w:cs="Arial"/>
          <w:sz w:val="24"/>
          <w:szCs w:val="24"/>
        </w:rPr>
        <w:t>,</w:t>
      </w:r>
      <w:r w:rsidRPr="0046364E">
        <w:rPr>
          <w:rFonts w:ascii="Arial" w:hAnsi="Arial" w:cs="Arial"/>
          <w:sz w:val="24"/>
          <w:szCs w:val="24"/>
        </w:rPr>
        <w:t xml:space="preserve"> notamment en </w:t>
      </w:r>
      <w:r w:rsidR="00A15BDB">
        <w:rPr>
          <w:rFonts w:ascii="Arial" w:hAnsi="Arial" w:cs="Arial"/>
          <w:sz w:val="24"/>
          <w:szCs w:val="24"/>
        </w:rPr>
        <w:t>assurant</w:t>
      </w:r>
      <w:r w:rsidRPr="0046364E">
        <w:rPr>
          <w:rFonts w:ascii="Arial" w:hAnsi="Arial" w:cs="Arial"/>
          <w:sz w:val="24"/>
          <w:szCs w:val="24"/>
        </w:rPr>
        <w:t xml:space="preserve"> leur liberté d’expression et leur droit d’association; </w:t>
      </w:r>
    </w:p>
    <w:p w:rsidR="00CA5452" w:rsidRPr="0046364E" w:rsidRDefault="00CA5452" w:rsidP="00CA5452">
      <w:pPr>
        <w:ind w:left="708"/>
        <w:rPr>
          <w:rFonts w:ascii="Arial" w:hAnsi="Arial" w:cs="Arial"/>
          <w:sz w:val="24"/>
          <w:szCs w:val="24"/>
        </w:rPr>
      </w:pPr>
      <w:r w:rsidRPr="0046364E">
        <w:rPr>
          <w:rFonts w:ascii="Arial" w:hAnsi="Arial" w:cs="Arial"/>
          <w:sz w:val="24"/>
          <w:szCs w:val="24"/>
        </w:rPr>
        <w:t xml:space="preserve">Que des mesures soient mises en place pour valoriser le rôle des regroupements auprès des ministères et organismes publics; </w:t>
      </w:r>
    </w:p>
    <w:p w:rsidR="00CA5452" w:rsidRPr="0046364E" w:rsidRDefault="00CA5452" w:rsidP="00CA5452">
      <w:pPr>
        <w:ind w:left="708"/>
        <w:rPr>
          <w:rFonts w:ascii="Arial" w:hAnsi="Arial" w:cs="Arial"/>
          <w:sz w:val="24"/>
          <w:szCs w:val="24"/>
        </w:rPr>
      </w:pPr>
      <w:r w:rsidRPr="0046364E">
        <w:rPr>
          <w:rFonts w:ascii="Arial" w:hAnsi="Arial" w:cs="Arial"/>
          <w:sz w:val="24"/>
          <w:szCs w:val="24"/>
        </w:rPr>
        <w:t>Qu’une définition de « regroupement » soit élaborée par les différents regroupements d’organismes communautaires et inclu</w:t>
      </w:r>
      <w:r w:rsidR="009C3FD8">
        <w:rPr>
          <w:rFonts w:ascii="Arial" w:hAnsi="Arial" w:cs="Arial"/>
          <w:sz w:val="24"/>
          <w:szCs w:val="24"/>
        </w:rPr>
        <w:t>s</w:t>
      </w:r>
      <w:r w:rsidR="000F7280">
        <w:rPr>
          <w:rFonts w:ascii="Arial" w:hAnsi="Arial" w:cs="Arial"/>
          <w:sz w:val="24"/>
          <w:szCs w:val="24"/>
        </w:rPr>
        <w:t>e</w:t>
      </w:r>
      <w:r w:rsidR="00206645">
        <w:rPr>
          <w:rFonts w:ascii="Arial" w:hAnsi="Arial" w:cs="Arial"/>
          <w:sz w:val="24"/>
          <w:szCs w:val="24"/>
        </w:rPr>
        <w:t xml:space="preserve"> dans le PAGAC</w:t>
      </w:r>
      <w:r w:rsidRPr="0046364E">
        <w:rPr>
          <w:rFonts w:ascii="Arial" w:hAnsi="Arial" w:cs="Arial"/>
          <w:sz w:val="24"/>
          <w:szCs w:val="24"/>
        </w:rPr>
        <w:t xml:space="preserve">. </w:t>
      </w:r>
    </w:p>
    <w:p w:rsidR="00CA5452" w:rsidRPr="0046364E" w:rsidRDefault="00CA5452" w:rsidP="00CA5452">
      <w:pPr>
        <w:rPr>
          <w:rFonts w:ascii="Arial" w:hAnsi="Arial" w:cs="Arial"/>
          <w:sz w:val="24"/>
          <w:szCs w:val="24"/>
        </w:rPr>
      </w:pPr>
    </w:p>
    <w:p w:rsidR="00CA5452" w:rsidRPr="00CA5452" w:rsidRDefault="00CA5452" w:rsidP="00A608CA">
      <w:pPr>
        <w:pStyle w:val="Titre2"/>
        <w:spacing w:after="200"/>
        <w:rPr>
          <w:rFonts w:ascii="Arial" w:hAnsi="Arial" w:cs="Arial"/>
        </w:rPr>
      </w:pPr>
      <w:bookmarkStart w:id="15" w:name="_Toc26517351"/>
      <w:r w:rsidRPr="00CA5452">
        <w:rPr>
          <w:rFonts w:ascii="Arial" w:hAnsi="Arial" w:cs="Arial"/>
        </w:rPr>
        <w:t>Fausse présomption de dédoublement</w:t>
      </w:r>
      <w:bookmarkEnd w:id="15"/>
      <w:r w:rsidRPr="00CA5452">
        <w:rPr>
          <w:rFonts w:ascii="Arial" w:hAnsi="Arial" w:cs="Arial"/>
        </w:rPr>
        <w:t xml:space="preserve"> </w:t>
      </w:r>
    </w:p>
    <w:p w:rsidR="00CA5452" w:rsidRPr="0046364E" w:rsidRDefault="00CA5452" w:rsidP="00CA5452">
      <w:pPr>
        <w:rPr>
          <w:rFonts w:ascii="Arial" w:hAnsi="Arial" w:cs="Arial"/>
          <w:sz w:val="24"/>
          <w:szCs w:val="24"/>
        </w:rPr>
      </w:pPr>
      <w:r w:rsidRPr="0046364E">
        <w:rPr>
          <w:rFonts w:ascii="Arial" w:hAnsi="Arial" w:cs="Arial"/>
          <w:sz w:val="24"/>
          <w:szCs w:val="24"/>
        </w:rPr>
        <w:t xml:space="preserve">À l’instar du RQ-ACA, nous </w:t>
      </w:r>
      <w:r w:rsidR="000F7280">
        <w:rPr>
          <w:rFonts w:ascii="Arial" w:hAnsi="Arial" w:cs="Arial"/>
          <w:sz w:val="24"/>
          <w:szCs w:val="24"/>
        </w:rPr>
        <w:t>remettons</w:t>
      </w:r>
      <w:r w:rsidRPr="0046364E">
        <w:rPr>
          <w:rFonts w:ascii="Arial" w:hAnsi="Arial" w:cs="Arial"/>
          <w:sz w:val="24"/>
          <w:szCs w:val="24"/>
        </w:rPr>
        <w:t xml:space="preserve"> également </w:t>
      </w:r>
      <w:r w:rsidR="000F7280">
        <w:rPr>
          <w:rFonts w:ascii="Arial" w:hAnsi="Arial" w:cs="Arial"/>
          <w:sz w:val="24"/>
          <w:szCs w:val="24"/>
        </w:rPr>
        <w:t>en question</w:t>
      </w:r>
      <w:r w:rsidR="000F7280" w:rsidRPr="0046364E">
        <w:rPr>
          <w:rFonts w:ascii="Arial" w:hAnsi="Arial" w:cs="Arial"/>
          <w:sz w:val="24"/>
          <w:szCs w:val="24"/>
        </w:rPr>
        <w:t xml:space="preserve"> </w:t>
      </w:r>
      <w:r w:rsidRPr="0046364E">
        <w:rPr>
          <w:rFonts w:ascii="Arial" w:hAnsi="Arial" w:cs="Arial"/>
          <w:sz w:val="24"/>
          <w:szCs w:val="24"/>
        </w:rPr>
        <w:t xml:space="preserve">l’affirmation </w:t>
      </w:r>
      <w:r w:rsidR="00E17644">
        <w:rPr>
          <w:rFonts w:ascii="Arial" w:hAnsi="Arial" w:cs="Arial"/>
          <w:sz w:val="24"/>
          <w:szCs w:val="24"/>
        </w:rPr>
        <w:t xml:space="preserve">à la mode </w:t>
      </w:r>
      <w:r w:rsidRPr="0046364E">
        <w:rPr>
          <w:rFonts w:ascii="Arial" w:hAnsi="Arial" w:cs="Arial"/>
          <w:sz w:val="24"/>
          <w:szCs w:val="24"/>
        </w:rPr>
        <w:t>du gouvernement</w:t>
      </w:r>
      <w:r w:rsidR="00D1180C" w:rsidRPr="0046364E">
        <w:rPr>
          <w:rFonts w:ascii="Arial" w:hAnsi="Arial" w:cs="Arial"/>
          <w:sz w:val="24"/>
          <w:szCs w:val="24"/>
        </w:rPr>
        <w:t xml:space="preserve"> </w:t>
      </w:r>
      <w:r w:rsidRPr="0046364E">
        <w:rPr>
          <w:rFonts w:ascii="Arial" w:hAnsi="Arial" w:cs="Arial"/>
          <w:sz w:val="24"/>
          <w:szCs w:val="24"/>
        </w:rPr>
        <w:t xml:space="preserve">qu’il existerait des « dédoublements » d’organismes communautaires. Nous nous permettons d’insister sur le fait qu’aucune donnée n’existe pour soutenir ces propos. </w:t>
      </w:r>
    </w:p>
    <w:p w:rsidR="00D1180C" w:rsidRDefault="00CA5452" w:rsidP="00CA5452">
      <w:pPr>
        <w:ind w:left="708"/>
        <w:rPr>
          <w:rFonts w:ascii="Arial" w:hAnsi="Arial" w:cs="Arial"/>
          <w:sz w:val="24"/>
          <w:szCs w:val="24"/>
        </w:rPr>
      </w:pPr>
      <w:r w:rsidRPr="0046364E">
        <w:rPr>
          <w:rFonts w:ascii="Arial" w:hAnsi="Arial" w:cs="Arial"/>
          <w:b/>
          <w:bCs/>
          <w:sz w:val="24"/>
          <w:szCs w:val="24"/>
        </w:rPr>
        <w:t>Recommandations</w:t>
      </w:r>
      <w:r w:rsidRPr="0046364E">
        <w:rPr>
          <w:rFonts w:ascii="Arial" w:hAnsi="Arial" w:cs="Arial"/>
          <w:sz w:val="24"/>
          <w:szCs w:val="24"/>
        </w:rPr>
        <w:t> :</w:t>
      </w:r>
    </w:p>
    <w:p w:rsidR="00CA5452" w:rsidRPr="0046364E" w:rsidRDefault="00CA5452" w:rsidP="00CA5452">
      <w:pPr>
        <w:ind w:left="708"/>
        <w:rPr>
          <w:rFonts w:ascii="Arial" w:hAnsi="Arial" w:cs="Arial"/>
          <w:sz w:val="24"/>
          <w:szCs w:val="24"/>
        </w:rPr>
      </w:pPr>
      <w:r w:rsidRPr="0046364E">
        <w:rPr>
          <w:rFonts w:ascii="Arial" w:hAnsi="Arial" w:cs="Arial"/>
          <w:sz w:val="24"/>
          <w:szCs w:val="24"/>
        </w:rPr>
        <w:lastRenderedPageBreak/>
        <w:t xml:space="preserve">Que le gouvernement cesse toute affirmation à l’effet du « dédoublement » d’organismes communautaires, </w:t>
      </w:r>
      <w:r w:rsidR="000F7FAC" w:rsidRPr="0046364E">
        <w:rPr>
          <w:rFonts w:ascii="Arial" w:hAnsi="Arial" w:cs="Arial"/>
          <w:sz w:val="24"/>
          <w:szCs w:val="24"/>
        </w:rPr>
        <w:t>reconnaiss</w:t>
      </w:r>
      <w:r w:rsidR="000F7FAC">
        <w:rPr>
          <w:rFonts w:ascii="Arial" w:hAnsi="Arial" w:cs="Arial"/>
          <w:sz w:val="24"/>
          <w:szCs w:val="24"/>
        </w:rPr>
        <w:t>e</w:t>
      </w:r>
      <w:r w:rsidRPr="0046364E">
        <w:rPr>
          <w:rFonts w:ascii="Arial" w:hAnsi="Arial" w:cs="Arial"/>
          <w:sz w:val="24"/>
          <w:szCs w:val="24"/>
        </w:rPr>
        <w:t xml:space="preserve"> qu’il n’y a pas dédoublement lorsque deux organismes ont de</w:t>
      </w:r>
      <w:r w:rsidR="00AA72BE">
        <w:rPr>
          <w:rFonts w:ascii="Arial" w:hAnsi="Arial" w:cs="Arial"/>
          <w:sz w:val="24"/>
          <w:szCs w:val="24"/>
        </w:rPr>
        <w:t>s</w:t>
      </w:r>
      <w:r w:rsidRPr="0046364E">
        <w:rPr>
          <w:rFonts w:ascii="Arial" w:hAnsi="Arial" w:cs="Arial"/>
          <w:sz w:val="24"/>
          <w:szCs w:val="24"/>
        </w:rPr>
        <w:t xml:space="preserve"> missions semblables et cesse de faire pression pour que deux organi</w:t>
      </w:r>
      <w:r w:rsidR="002926A4">
        <w:rPr>
          <w:rFonts w:ascii="Arial" w:hAnsi="Arial" w:cs="Arial"/>
          <w:sz w:val="24"/>
          <w:szCs w:val="24"/>
        </w:rPr>
        <w:t>smes communautaires</w:t>
      </w:r>
      <w:r w:rsidRPr="0046364E">
        <w:rPr>
          <w:rFonts w:ascii="Arial" w:hAnsi="Arial" w:cs="Arial"/>
          <w:sz w:val="24"/>
          <w:szCs w:val="24"/>
        </w:rPr>
        <w:t xml:space="preserve"> fusionnent le cas échéant; </w:t>
      </w:r>
    </w:p>
    <w:p w:rsidR="00CA5452" w:rsidRPr="004A67CA" w:rsidRDefault="00CA5452" w:rsidP="00CA5452">
      <w:pPr>
        <w:ind w:left="708"/>
        <w:rPr>
          <w:rFonts w:ascii="Arial" w:hAnsi="Arial" w:cs="Arial"/>
          <w:sz w:val="24"/>
          <w:szCs w:val="24"/>
        </w:rPr>
      </w:pPr>
      <w:r w:rsidRPr="0046364E">
        <w:rPr>
          <w:rFonts w:ascii="Arial" w:hAnsi="Arial" w:cs="Arial"/>
          <w:sz w:val="24"/>
          <w:szCs w:val="24"/>
        </w:rPr>
        <w:t>Que le gouvernement cesse de confier à des organismes sans but lucratif, des organisations parapubliques, des organismes privés ou des fondations</w:t>
      </w:r>
      <w:r w:rsidR="00D1180C">
        <w:rPr>
          <w:rFonts w:ascii="Arial" w:hAnsi="Arial" w:cs="Arial"/>
          <w:sz w:val="24"/>
          <w:szCs w:val="24"/>
        </w:rPr>
        <w:t>,</w:t>
      </w:r>
      <w:r w:rsidRPr="0046364E">
        <w:rPr>
          <w:rFonts w:ascii="Arial" w:hAnsi="Arial" w:cs="Arial"/>
          <w:sz w:val="24"/>
          <w:szCs w:val="24"/>
        </w:rPr>
        <w:t xml:space="preserve"> des missions déjà couvertes par des organismes communautaires</w:t>
      </w:r>
      <w:r w:rsidR="00D1180C">
        <w:rPr>
          <w:rFonts w:ascii="Arial" w:hAnsi="Arial" w:cs="Arial"/>
          <w:sz w:val="24"/>
          <w:szCs w:val="24"/>
        </w:rPr>
        <w:t>.</w:t>
      </w:r>
    </w:p>
    <w:p w:rsidR="00CA5452" w:rsidRDefault="00CA5452" w:rsidP="00D1180C">
      <w:pPr>
        <w:rPr>
          <w:rFonts w:ascii="Arial" w:hAnsi="Arial" w:cs="Arial"/>
          <w:sz w:val="24"/>
          <w:szCs w:val="24"/>
        </w:rPr>
      </w:pPr>
    </w:p>
    <w:p w:rsidR="00CA5452" w:rsidRPr="00CA5452" w:rsidRDefault="0029286D" w:rsidP="00A608CA">
      <w:pPr>
        <w:pStyle w:val="Titre2"/>
        <w:spacing w:after="200"/>
        <w:rPr>
          <w:rFonts w:ascii="Arial" w:hAnsi="Arial" w:cs="Arial"/>
        </w:rPr>
      </w:pPr>
      <w:bookmarkStart w:id="16" w:name="_Toc26517352"/>
      <w:r>
        <w:rPr>
          <w:rFonts w:ascii="Arial" w:hAnsi="Arial" w:cs="Arial"/>
        </w:rPr>
        <w:t>Fausse association au l</w:t>
      </w:r>
      <w:r w:rsidR="00CA5452" w:rsidRPr="00CA5452">
        <w:rPr>
          <w:rFonts w:ascii="Arial" w:hAnsi="Arial" w:cs="Arial"/>
        </w:rPr>
        <w:t>obbyisme</w:t>
      </w:r>
      <w:bookmarkEnd w:id="16"/>
      <w:r w:rsidR="00CA5452" w:rsidRPr="00CA5452">
        <w:rPr>
          <w:rFonts w:ascii="Arial" w:hAnsi="Arial" w:cs="Arial"/>
        </w:rPr>
        <w:t xml:space="preserve"> </w:t>
      </w:r>
    </w:p>
    <w:p w:rsidR="00CA5452" w:rsidRDefault="00CA5452" w:rsidP="00CA5452">
      <w:pPr>
        <w:rPr>
          <w:rFonts w:ascii="Arial" w:hAnsi="Arial" w:cs="Arial"/>
          <w:sz w:val="24"/>
          <w:szCs w:val="24"/>
        </w:rPr>
      </w:pPr>
      <w:r>
        <w:rPr>
          <w:rFonts w:ascii="Arial" w:hAnsi="Arial" w:cs="Arial"/>
          <w:sz w:val="24"/>
          <w:szCs w:val="24"/>
        </w:rPr>
        <w:t xml:space="preserve">Nous tenons également à souligner encore une fois que les organismes communautaires ne doivent pas être assujettis à la Loi sur la transparence et l’éthique en matière de lobbyisme. La situation est loin d’être éclaircie tel qu’en témoigne le plus </w:t>
      </w:r>
      <w:r w:rsidRPr="00483242">
        <w:rPr>
          <w:rFonts w:ascii="Arial" w:hAnsi="Arial" w:cs="Arial"/>
          <w:sz w:val="24"/>
          <w:szCs w:val="24"/>
        </w:rPr>
        <w:t>récent rapport du Commissaire au lobbyisme</w:t>
      </w:r>
      <w:r>
        <w:rPr>
          <w:rFonts w:ascii="Arial" w:hAnsi="Arial" w:cs="Arial"/>
          <w:sz w:val="24"/>
          <w:szCs w:val="24"/>
        </w:rPr>
        <w:t xml:space="preserve">. D’ailleurs, </w:t>
      </w:r>
      <w:r w:rsidR="00FC3AE4">
        <w:rPr>
          <w:rFonts w:ascii="Arial" w:hAnsi="Arial" w:cs="Arial"/>
          <w:sz w:val="24"/>
          <w:szCs w:val="24"/>
        </w:rPr>
        <w:t xml:space="preserve">en 2016, </w:t>
      </w:r>
      <w:r>
        <w:rPr>
          <w:rFonts w:ascii="Arial" w:hAnsi="Arial" w:cs="Arial"/>
          <w:sz w:val="24"/>
          <w:szCs w:val="24"/>
        </w:rPr>
        <w:t xml:space="preserve">la COPHAN avait émis un </w:t>
      </w:r>
      <w:hyperlink r:id="rId22" w:history="1">
        <w:r w:rsidRPr="00BC7BA2">
          <w:rPr>
            <w:rStyle w:val="Lienhypertexte"/>
            <w:rFonts w:ascii="Arial" w:hAnsi="Arial" w:cs="Arial"/>
            <w:sz w:val="24"/>
            <w:szCs w:val="24"/>
          </w:rPr>
          <w:t>avis sur le projet de loi 56 – Loi sur la transparence en matière de lobbyisme</w:t>
        </w:r>
      </w:hyperlink>
      <w:r w:rsidR="00FA3918">
        <w:rPr>
          <w:rFonts w:ascii="Arial" w:hAnsi="Arial" w:cs="Arial"/>
          <w:sz w:val="24"/>
          <w:szCs w:val="24"/>
        </w:rPr>
        <w:t>. Notre propos était</w:t>
      </w:r>
      <w:r w:rsidR="00815F8C">
        <w:rPr>
          <w:rFonts w:ascii="Arial" w:hAnsi="Arial" w:cs="Arial"/>
          <w:sz w:val="24"/>
          <w:szCs w:val="24"/>
        </w:rPr>
        <w:t xml:space="preserve"> </w:t>
      </w:r>
      <w:r w:rsidR="00FA3918">
        <w:rPr>
          <w:rFonts w:ascii="Arial" w:hAnsi="Arial" w:cs="Arial"/>
          <w:sz w:val="24"/>
          <w:szCs w:val="24"/>
        </w:rPr>
        <w:t xml:space="preserve">et est toujours actuel </w:t>
      </w:r>
      <w:r w:rsidR="00D1180C">
        <w:rPr>
          <w:rFonts w:ascii="Arial" w:hAnsi="Arial" w:cs="Arial"/>
          <w:sz w:val="24"/>
          <w:szCs w:val="24"/>
        </w:rPr>
        <w:t>:</w:t>
      </w:r>
      <w:r w:rsidR="00FA3918">
        <w:rPr>
          <w:rFonts w:ascii="Arial" w:hAnsi="Arial" w:cs="Arial"/>
          <w:sz w:val="24"/>
          <w:szCs w:val="24"/>
        </w:rPr>
        <w:t xml:space="preserve"> les organismes </w:t>
      </w:r>
      <w:r w:rsidR="00F80FCF">
        <w:rPr>
          <w:rFonts w:ascii="Arial" w:hAnsi="Arial" w:cs="Arial"/>
          <w:sz w:val="24"/>
          <w:szCs w:val="24"/>
        </w:rPr>
        <w:t xml:space="preserve">sans </w:t>
      </w:r>
      <w:r w:rsidR="00FA3918">
        <w:rPr>
          <w:rFonts w:ascii="Arial" w:hAnsi="Arial" w:cs="Arial"/>
          <w:sz w:val="24"/>
          <w:szCs w:val="24"/>
        </w:rPr>
        <w:t>but lucratif (OSBL) ne sont pas des lobbys, assujettir tous les OSBL à la Loi sur le lobbyisme mettrait en péril la survie des organismes communautaires et la réalisation de leurs missions</w:t>
      </w:r>
      <w:r w:rsidR="00F80FCF">
        <w:rPr>
          <w:rFonts w:ascii="Arial" w:hAnsi="Arial" w:cs="Arial"/>
          <w:sz w:val="24"/>
          <w:szCs w:val="24"/>
        </w:rPr>
        <w:t>,</w:t>
      </w:r>
      <w:r w:rsidR="00FA3918">
        <w:rPr>
          <w:rFonts w:ascii="Arial" w:hAnsi="Arial" w:cs="Arial"/>
          <w:sz w:val="24"/>
          <w:szCs w:val="24"/>
        </w:rPr>
        <w:t xml:space="preserve"> les o</w:t>
      </w:r>
      <w:r w:rsidR="00815F8C">
        <w:rPr>
          <w:rFonts w:ascii="Arial" w:hAnsi="Arial" w:cs="Arial"/>
          <w:sz w:val="24"/>
          <w:szCs w:val="24"/>
        </w:rPr>
        <w:t>rganismes communautaires réponda</w:t>
      </w:r>
      <w:r w:rsidR="00FA3918">
        <w:rPr>
          <w:rFonts w:ascii="Arial" w:hAnsi="Arial" w:cs="Arial"/>
          <w:sz w:val="24"/>
          <w:szCs w:val="24"/>
        </w:rPr>
        <w:t xml:space="preserve">nt déjà à l’objectif de transparence visé par la loi. </w:t>
      </w:r>
    </w:p>
    <w:p w:rsidR="00CA5452" w:rsidRDefault="00CA5452" w:rsidP="00CA5452">
      <w:pPr>
        <w:ind w:left="708"/>
        <w:rPr>
          <w:rFonts w:ascii="Arial" w:hAnsi="Arial" w:cs="Arial"/>
          <w:sz w:val="24"/>
          <w:szCs w:val="24"/>
        </w:rPr>
      </w:pPr>
      <w:r w:rsidRPr="00531E46">
        <w:rPr>
          <w:rFonts w:ascii="Arial" w:hAnsi="Arial" w:cs="Arial"/>
          <w:b/>
          <w:sz w:val="24"/>
          <w:szCs w:val="24"/>
        </w:rPr>
        <w:t>Recommandation</w:t>
      </w:r>
      <w:r>
        <w:rPr>
          <w:rFonts w:ascii="Arial" w:hAnsi="Arial" w:cs="Arial"/>
          <w:sz w:val="24"/>
          <w:szCs w:val="24"/>
        </w:rPr>
        <w:t> : Que le gouvernement exclut de manière claire et non équivoque tous les organismes communautaires</w:t>
      </w:r>
      <w:r w:rsidR="00FC3AE4">
        <w:rPr>
          <w:rFonts w:ascii="Arial" w:hAnsi="Arial" w:cs="Arial"/>
          <w:sz w:val="24"/>
          <w:szCs w:val="24"/>
        </w:rPr>
        <w:t>,</w:t>
      </w:r>
      <w:r>
        <w:rPr>
          <w:rFonts w:ascii="Arial" w:hAnsi="Arial" w:cs="Arial"/>
          <w:sz w:val="24"/>
          <w:szCs w:val="24"/>
        </w:rPr>
        <w:t xml:space="preserve"> </w:t>
      </w:r>
      <w:r w:rsidR="00FC3AE4">
        <w:rPr>
          <w:rFonts w:ascii="Arial" w:hAnsi="Arial" w:cs="Arial"/>
          <w:sz w:val="24"/>
          <w:szCs w:val="24"/>
        </w:rPr>
        <w:t xml:space="preserve">dont </w:t>
      </w:r>
      <w:r>
        <w:rPr>
          <w:rFonts w:ascii="Arial" w:hAnsi="Arial" w:cs="Arial"/>
          <w:sz w:val="24"/>
          <w:szCs w:val="24"/>
        </w:rPr>
        <w:t>les regroupements et les organismes en défense collective des droits</w:t>
      </w:r>
      <w:r w:rsidR="00FC3AE4">
        <w:rPr>
          <w:rFonts w:ascii="Arial" w:hAnsi="Arial" w:cs="Arial"/>
          <w:sz w:val="24"/>
          <w:szCs w:val="24"/>
        </w:rPr>
        <w:t>,</w:t>
      </w:r>
      <w:r>
        <w:rPr>
          <w:rFonts w:ascii="Arial" w:hAnsi="Arial" w:cs="Arial"/>
          <w:sz w:val="24"/>
          <w:szCs w:val="24"/>
        </w:rPr>
        <w:t xml:space="preserve"> de la Loi sur la transparence et l’éthique en matière de lobbyisme.</w:t>
      </w:r>
    </w:p>
    <w:p w:rsidR="00011757" w:rsidRDefault="00011757"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A86B04" w:rsidRDefault="00A86B04" w:rsidP="00ED0454">
      <w:pPr>
        <w:rPr>
          <w:rFonts w:ascii="Arial" w:hAnsi="Arial" w:cs="Arial"/>
          <w:sz w:val="24"/>
          <w:szCs w:val="24"/>
        </w:rPr>
      </w:pPr>
    </w:p>
    <w:p w:rsidR="000641B7" w:rsidRPr="00CA5452" w:rsidRDefault="000D498E" w:rsidP="00A608CA">
      <w:pPr>
        <w:pStyle w:val="Titre1"/>
        <w:spacing w:after="200"/>
        <w:rPr>
          <w:rFonts w:ascii="Arial" w:hAnsi="Arial" w:cs="Arial"/>
        </w:rPr>
      </w:pPr>
      <w:bookmarkStart w:id="17" w:name="_Toc26517353"/>
      <w:r>
        <w:rPr>
          <w:rFonts w:ascii="Arial" w:hAnsi="Arial" w:cs="Arial"/>
        </w:rPr>
        <w:lastRenderedPageBreak/>
        <w:t>C</w:t>
      </w:r>
      <w:r w:rsidR="000641B7" w:rsidRPr="00CA5452">
        <w:rPr>
          <w:rFonts w:ascii="Arial" w:hAnsi="Arial" w:cs="Arial"/>
        </w:rPr>
        <w:t>onclusion</w:t>
      </w:r>
      <w:bookmarkEnd w:id="17"/>
      <w:r w:rsidR="000641B7" w:rsidRPr="00CA5452">
        <w:rPr>
          <w:rFonts w:ascii="Arial" w:hAnsi="Arial" w:cs="Arial"/>
        </w:rPr>
        <w:t xml:space="preserve"> </w:t>
      </w:r>
    </w:p>
    <w:p w:rsidR="00606A53" w:rsidRPr="0046364E" w:rsidRDefault="00606A53">
      <w:pPr>
        <w:rPr>
          <w:rFonts w:ascii="Arial" w:hAnsi="Arial" w:cs="Arial"/>
          <w:sz w:val="24"/>
          <w:szCs w:val="24"/>
        </w:rPr>
      </w:pPr>
      <w:r w:rsidRPr="0046364E">
        <w:rPr>
          <w:rFonts w:ascii="Arial" w:hAnsi="Arial" w:cs="Arial"/>
          <w:sz w:val="24"/>
          <w:szCs w:val="24"/>
        </w:rPr>
        <w:t xml:space="preserve">La COPHAN a voulu sensibiliser le </w:t>
      </w:r>
      <w:r w:rsidR="00C1058F" w:rsidRPr="0046364E">
        <w:rPr>
          <w:rFonts w:ascii="Arial" w:hAnsi="Arial" w:cs="Arial"/>
          <w:sz w:val="24"/>
          <w:szCs w:val="24"/>
        </w:rPr>
        <w:t>ministre de l’Emploi, du Travail et de la Solidarité sociale</w:t>
      </w:r>
      <w:r w:rsidRPr="0046364E">
        <w:rPr>
          <w:rFonts w:ascii="Arial" w:hAnsi="Arial" w:cs="Arial"/>
          <w:sz w:val="24"/>
          <w:szCs w:val="24"/>
        </w:rPr>
        <w:t xml:space="preserve"> </w:t>
      </w:r>
      <w:r w:rsidR="004E24F3">
        <w:rPr>
          <w:rFonts w:ascii="Arial" w:hAnsi="Arial" w:cs="Arial"/>
          <w:sz w:val="24"/>
          <w:szCs w:val="24"/>
        </w:rPr>
        <w:t xml:space="preserve">à </w:t>
      </w:r>
      <w:r w:rsidR="00C1058F" w:rsidRPr="0046364E">
        <w:rPr>
          <w:rFonts w:ascii="Arial" w:hAnsi="Arial" w:cs="Arial"/>
          <w:sz w:val="24"/>
          <w:szCs w:val="24"/>
        </w:rPr>
        <w:t>des enjeux spécifiques rencontrés en lien avec l’action communautaire</w:t>
      </w:r>
      <w:r w:rsidRPr="0046364E">
        <w:rPr>
          <w:rFonts w:ascii="Arial" w:hAnsi="Arial" w:cs="Arial"/>
          <w:sz w:val="24"/>
          <w:szCs w:val="24"/>
        </w:rPr>
        <w:t xml:space="preserve"> </w:t>
      </w:r>
      <w:r w:rsidR="004021AF">
        <w:rPr>
          <w:rFonts w:ascii="Arial" w:hAnsi="Arial" w:cs="Arial"/>
          <w:sz w:val="24"/>
          <w:szCs w:val="24"/>
        </w:rPr>
        <w:t>pour l</w:t>
      </w:r>
      <w:r w:rsidR="00C1058F" w:rsidRPr="0046364E">
        <w:rPr>
          <w:rFonts w:ascii="Arial" w:hAnsi="Arial" w:cs="Arial"/>
          <w:sz w:val="24"/>
          <w:szCs w:val="24"/>
        </w:rPr>
        <w:t>es</w:t>
      </w:r>
      <w:r w:rsidRPr="0046364E">
        <w:rPr>
          <w:rFonts w:ascii="Arial" w:hAnsi="Arial" w:cs="Arial"/>
          <w:sz w:val="24"/>
          <w:szCs w:val="24"/>
        </w:rPr>
        <w:t xml:space="preserve"> personnes ayant des limitations fonctionnelles.</w:t>
      </w:r>
    </w:p>
    <w:p w:rsidR="00A55FB1" w:rsidRDefault="00606A53" w:rsidP="005C791B">
      <w:pPr>
        <w:rPr>
          <w:rFonts w:ascii="Arial" w:hAnsi="Arial" w:cs="Arial"/>
          <w:sz w:val="24"/>
          <w:szCs w:val="24"/>
        </w:rPr>
      </w:pPr>
      <w:r w:rsidRPr="0046364E">
        <w:rPr>
          <w:rFonts w:ascii="Arial" w:hAnsi="Arial" w:cs="Arial"/>
          <w:sz w:val="24"/>
          <w:szCs w:val="24"/>
        </w:rPr>
        <w:t xml:space="preserve">Dans ce contexte, nous réaffirmons les recommandations qui ont été exprimées dans ce mémoire et croyons que </w:t>
      </w:r>
      <w:r w:rsidR="00C1058F" w:rsidRPr="0046364E">
        <w:rPr>
          <w:rFonts w:ascii="Arial" w:hAnsi="Arial" w:cs="Arial"/>
          <w:sz w:val="24"/>
          <w:szCs w:val="24"/>
        </w:rPr>
        <w:t>le plan d’action gouvernemental sur l’acti</w:t>
      </w:r>
      <w:r w:rsidR="00A87413" w:rsidRPr="0046364E">
        <w:rPr>
          <w:rFonts w:ascii="Arial" w:hAnsi="Arial" w:cs="Arial"/>
          <w:sz w:val="24"/>
          <w:szCs w:val="24"/>
        </w:rPr>
        <w:t>o</w:t>
      </w:r>
      <w:r w:rsidR="00C1058F" w:rsidRPr="0046364E">
        <w:rPr>
          <w:rFonts w:ascii="Arial" w:hAnsi="Arial" w:cs="Arial"/>
          <w:sz w:val="24"/>
          <w:szCs w:val="24"/>
        </w:rPr>
        <w:t>n communautaire</w:t>
      </w:r>
      <w:r w:rsidRPr="0046364E">
        <w:rPr>
          <w:rFonts w:ascii="Arial" w:hAnsi="Arial" w:cs="Arial"/>
          <w:sz w:val="24"/>
          <w:szCs w:val="24"/>
        </w:rPr>
        <w:t xml:space="preserve"> doit y répondre de manière adéquate.</w:t>
      </w:r>
      <w:r w:rsidR="00F926B6">
        <w:rPr>
          <w:rFonts w:ascii="Arial" w:hAnsi="Arial" w:cs="Arial"/>
          <w:sz w:val="24"/>
          <w:szCs w:val="24"/>
        </w:rPr>
        <w:t xml:space="preserve"> Nous insisto</w:t>
      </w:r>
      <w:r w:rsidR="00F926B6" w:rsidRPr="000C1AF7">
        <w:rPr>
          <w:rFonts w:ascii="Arial" w:hAnsi="Arial" w:cs="Arial"/>
          <w:sz w:val="24"/>
          <w:szCs w:val="24"/>
        </w:rPr>
        <w:t>ns pour que le PAGAC</w:t>
      </w:r>
      <w:r w:rsidR="00F926B6">
        <w:rPr>
          <w:rFonts w:ascii="Arial" w:hAnsi="Arial" w:cs="Arial"/>
          <w:sz w:val="24"/>
          <w:szCs w:val="24"/>
        </w:rPr>
        <w:t xml:space="preserve"> tienne compte des enjeux spécifiques des personnes ayant des limitations fonctionnelles à savoir le concept d’handi-responsabilité incluant l’analyse différenciée selon les capacités, les frais supplémentaires liés à la </w:t>
      </w:r>
      <w:r w:rsidR="00F926B6" w:rsidRPr="000D498E">
        <w:rPr>
          <w:rFonts w:ascii="Arial" w:hAnsi="Arial" w:cs="Arial"/>
          <w:sz w:val="24"/>
          <w:szCs w:val="24"/>
        </w:rPr>
        <w:t xml:space="preserve">participation </w:t>
      </w:r>
      <w:r w:rsidR="00422835" w:rsidRPr="000D498E">
        <w:rPr>
          <w:rFonts w:ascii="Arial" w:hAnsi="Arial" w:cs="Arial"/>
          <w:sz w:val="24"/>
          <w:szCs w:val="24"/>
        </w:rPr>
        <w:t xml:space="preserve">à la vie associative </w:t>
      </w:r>
      <w:r w:rsidR="00F926B6" w:rsidRPr="000D498E">
        <w:rPr>
          <w:rFonts w:ascii="Arial" w:hAnsi="Arial" w:cs="Arial"/>
          <w:sz w:val="24"/>
          <w:szCs w:val="24"/>
        </w:rPr>
        <w:t>des personnes ayant des limitations et l’accessibilité des locaux et des activités des organismes.</w:t>
      </w:r>
    </w:p>
    <w:p w:rsidR="00D713B3" w:rsidRDefault="00D713B3" w:rsidP="005C791B">
      <w:pPr>
        <w:rPr>
          <w:rFonts w:ascii="Arial" w:hAnsi="Arial" w:cs="Arial"/>
          <w:sz w:val="24"/>
          <w:szCs w:val="24"/>
          <w:highlight w:val="yellow"/>
        </w:rPr>
      </w:pPr>
    </w:p>
    <w:p w:rsidR="004E24F3" w:rsidRDefault="004E24F3">
      <w:pPr>
        <w:rPr>
          <w:rFonts w:ascii="Arial" w:eastAsiaTheme="majorEastAsia" w:hAnsi="Arial" w:cs="Arial"/>
          <w:b/>
          <w:bCs/>
          <w:color w:val="365F91" w:themeColor="accent1" w:themeShade="BF"/>
          <w:sz w:val="28"/>
          <w:szCs w:val="28"/>
          <w:highlight w:val="yellow"/>
        </w:rPr>
      </w:pPr>
      <w:r>
        <w:rPr>
          <w:rFonts w:ascii="Arial" w:hAnsi="Arial" w:cs="Arial"/>
          <w:highlight w:val="yellow"/>
        </w:rPr>
        <w:br w:type="page"/>
      </w:r>
    </w:p>
    <w:p w:rsidR="00C72EBD" w:rsidRDefault="00C72EBD" w:rsidP="00A608CA">
      <w:pPr>
        <w:pStyle w:val="Titre1"/>
        <w:spacing w:after="200"/>
        <w:rPr>
          <w:rFonts w:ascii="Arial" w:hAnsi="Arial" w:cs="Arial"/>
        </w:rPr>
      </w:pPr>
      <w:bookmarkStart w:id="18" w:name="_Toc26517354"/>
      <w:r w:rsidRPr="00277CFC">
        <w:rPr>
          <w:rFonts w:ascii="Arial" w:hAnsi="Arial" w:cs="Arial"/>
        </w:rPr>
        <w:lastRenderedPageBreak/>
        <w:t>Liste des recommandations</w:t>
      </w:r>
      <w:bookmarkEnd w:id="18"/>
      <w:r w:rsidRPr="00E511B0">
        <w:rPr>
          <w:rFonts w:ascii="Arial" w:hAnsi="Arial" w:cs="Arial"/>
        </w:rPr>
        <w:t xml:space="preserve"> </w:t>
      </w:r>
    </w:p>
    <w:p w:rsidR="00D95BB0" w:rsidRPr="0046364E" w:rsidRDefault="00D95BB0" w:rsidP="00D95BB0">
      <w:pPr>
        <w:rPr>
          <w:rFonts w:ascii="Arial" w:hAnsi="Arial" w:cs="Arial"/>
          <w:sz w:val="24"/>
          <w:szCs w:val="24"/>
        </w:rPr>
      </w:pPr>
      <w:r w:rsidRPr="0046364E">
        <w:rPr>
          <w:rFonts w:ascii="Arial" w:hAnsi="Arial" w:cs="Arial"/>
          <w:sz w:val="24"/>
          <w:szCs w:val="24"/>
        </w:rPr>
        <w:t>Qu’une somme de 15 millions de dollars soit injecté</w:t>
      </w:r>
      <w:r>
        <w:rPr>
          <w:rFonts w:ascii="Arial" w:hAnsi="Arial" w:cs="Arial"/>
          <w:sz w:val="24"/>
          <w:szCs w:val="24"/>
        </w:rPr>
        <w:t>e</w:t>
      </w:r>
      <w:r w:rsidRPr="0046364E">
        <w:rPr>
          <w:rFonts w:ascii="Arial" w:hAnsi="Arial" w:cs="Arial"/>
          <w:sz w:val="24"/>
          <w:szCs w:val="24"/>
        </w:rPr>
        <w:t xml:space="preserve"> pour soutenir la participation des personnes ayant des limitations fonctionnelles à la vie associative des organismes communautaires; </w:t>
      </w:r>
    </w:p>
    <w:p w:rsidR="00D95BB0" w:rsidRDefault="00D95BB0" w:rsidP="00D95BB0">
      <w:pPr>
        <w:rPr>
          <w:rFonts w:ascii="Arial" w:hAnsi="Arial" w:cs="Arial"/>
          <w:sz w:val="24"/>
          <w:szCs w:val="24"/>
        </w:rPr>
      </w:pPr>
      <w:r w:rsidRPr="0046364E">
        <w:rPr>
          <w:rFonts w:ascii="Arial" w:hAnsi="Arial" w:cs="Arial"/>
          <w:sz w:val="24"/>
          <w:szCs w:val="24"/>
        </w:rPr>
        <w:t>Que cette somme soit incluse dans le</w:t>
      </w:r>
      <w:r>
        <w:rPr>
          <w:rFonts w:ascii="Arial" w:hAnsi="Arial" w:cs="Arial"/>
          <w:sz w:val="24"/>
          <w:szCs w:val="24"/>
        </w:rPr>
        <w:t xml:space="preserve"> financement à la mission globale</w:t>
      </w:r>
      <w:r w:rsidRPr="0046364E">
        <w:rPr>
          <w:rFonts w:ascii="Arial" w:hAnsi="Arial" w:cs="Arial"/>
          <w:sz w:val="24"/>
          <w:szCs w:val="24"/>
        </w:rPr>
        <w:t xml:space="preserve"> des organismes communautaires avec une reddition </w:t>
      </w:r>
      <w:r>
        <w:rPr>
          <w:rFonts w:ascii="Arial" w:hAnsi="Arial" w:cs="Arial"/>
          <w:sz w:val="24"/>
          <w:szCs w:val="24"/>
        </w:rPr>
        <w:t xml:space="preserve">de comptes </w:t>
      </w:r>
      <w:r w:rsidRPr="0046364E">
        <w:rPr>
          <w:rFonts w:ascii="Arial" w:hAnsi="Arial" w:cs="Arial"/>
          <w:sz w:val="24"/>
          <w:szCs w:val="24"/>
        </w:rPr>
        <w:t>distincte pour les différentes mesures d’accommodement</w:t>
      </w:r>
      <w:r>
        <w:rPr>
          <w:rFonts w:ascii="Arial" w:hAnsi="Arial" w:cs="Arial"/>
          <w:sz w:val="24"/>
          <w:szCs w:val="24"/>
        </w:rPr>
        <w:t>s</w:t>
      </w:r>
      <w:r w:rsidRPr="0046364E">
        <w:rPr>
          <w:rFonts w:ascii="Arial" w:hAnsi="Arial" w:cs="Arial"/>
          <w:sz w:val="24"/>
          <w:szCs w:val="24"/>
        </w:rPr>
        <w:t xml:space="preserve"> afin de permettre une véritable inclusion des </w:t>
      </w:r>
      <w:r>
        <w:rPr>
          <w:rFonts w:ascii="Arial" w:hAnsi="Arial" w:cs="Arial"/>
          <w:sz w:val="24"/>
          <w:szCs w:val="24"/>
        </w:rPr>
        <w:t xml:space="preserve">personnes que nous représentons; </w:t>
      </w:r>
    </w:p>
    <w:p w:rsidR="00D95BB0" w:rsidRDefault="00D95BB0" w:rsidP="00D95BB0">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Que les sommes supplémentaires liées à l’accessibilité des locaux soient reconnues comme un accommodement offert aux personnes ayant des limitations fonctionnelles;</w:t>
      </w:r>
    </w:p>
    <w:p w:rsidR="00D95BB0" w:rsidRPr="0085098E" w:rsidRDefault="00D95BB0" w:rsidP="00D95BB0">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Qu’un programme de financement soit disponible pour les organismes communautaires afin qu’ils puissent </w:t>
      </w:r>
      <w:r>
        <w:rPr>
          <w:rFonts w:ascii="Arial" w:eastAsia="Times New Roman" w:hAnsi="Arial" w:cs="Arial"/>
          <w:color w:val="000000" w:themeColor="text1"/>
          <w:sz w:val="24"/>
          <w:szCs w:val="24"/>
        </w:rPr>
        <w:t xml:space="preserve">rendre leurs locaux accessibles; </w:t>
      </w:r>
    </w:p>
    <w:p w:rsidR="00D95BB0" w:rsidRDefault="00D95BB0" w:rsidP="00D95BB0">
      <w:pPr>
        <w:rPr>
          <w:rFonts w:ascii="Arial" w:hAnsi="Arial" w:cs="Arial"/>
          <w:sz w:val="24"/>
          <w:szCs w:val="24"/>
        </w:rPr>
      </w:pPr>
      <w:r w:rsidRPr="0046364E">
        <w:rPr>
          <w:rFonts w:ascii="Arial" w:hAnsi="Arial" w:cs="Arial"/>
          <w:color w:val="000000" w:themeColor="text1"/>
        </w:rPr>
        <w:t xml:space="preserve">Que le gouvernement injecte un montant supplémentaire de 460 millions de dollars par année </w:t>
      </w:r>
      <w:r>
        <w:rPr>
          <w:rFonts w:ascii="Arial" w:hAnsi="Arial" w:cs="Arial"/>
          <w:color w:val="000000" w:themeColor="text1"/>
        </w:rPr>
        <w:t>pour</w:t>
      </w:r>
      <w:r w:rsidRPr="0046364E">
        <w:rPr>
          <w:rFonts w:ascii="Arial" w:hAnsi="Arial" w:cs="Arial"/>
          <w:color w:val="000000" w:themeColor="text1"/>
        </w:rPr>
        <w:t xml:space="preserve"> le financement à la mission globale des organismes </w:t>
      </w:r>
      <w:r>
        <w:rPr>
          <w:rFonts w:ascii="Arial" w:hAnsi="Arial" w:cs="Arial"/>
          <w:color w:val="000000" w:themeColor="text1"/>
        </w:rPr>
        <w:t>communautaires</w:t>
      </w:r>
      <w:r>
        <w:rPr>
          <w:rFonts w:ascii="Arial" w:hAnsi="Arial" w:cs="Arial"/>
          <w:color w:val="000000" w:themeColor="text1"/>
        </w:rPr>
        <w:t xml:space="preserve"> d’ici 2022; </w:t>
      </w:r>
    </w:p>
    <w:p w:rsidR="00D95BB0" w:rsidRPr="0046364E" w:rsidRDefault="00D95BB0" w:rsidP="00D95BB0">
      <w:pPr>
        <w:rPr>
          <w:rFonts w:ascii="Arial" w:hAnsi="Arial" w:cs="Arial"/>
          <w:sz w:val="24"/>
          <w:szCs w:val="24"/>
        </w:rPr>
      </w:pPr>
      <w:r w:rsidRPr="0046364E">
        <w:rPr>
          <w:rFonts w:ascii="Arial" w:hAnsi="Arial" w:cs="Arial"/>
          <w:sz w:val="24"/>
          <w:szCs w:val="24"/>
        </w:rPr>
        <w:t xml:space="preserve">Que des mécanismes de reconduction automatique des ententes pluriannuelles soient mis en place afin d’éviter des délais dans l’acheminement du financement </w:t>
      </w:r>
      <w:r>
        <w:rPr>
          <w:rFonts w:ascii="Arial" w:hAnsi="Arial" w:cs="Arial"/>
          <w:sz w:val="24"/>
          <w:szCs w:val="24"/>
        </w:rPr>
        <w:t xml:space="preserve">aux </w:t>
      </w:r>
      <w:r w:rsidRPr="0046364E">
        <w:rPr>
          <w:rFonts w:ascii="Arial" w:hAnsi="Arial" w:cs="Arial"/>
          <w:sz w:val="24"/>
          <w:szCs w:val="24"/>
        </w:rPr>
        <w:t>organismes communautaires et que la démarche annuelle soit limité</w:t>
      </w:r>
      <w:r>
        <w:rPr>
          <w:rFonts w:ascii="Arial" w:hAnsi="Arial" w:cs="Arial"/>
          <w:sz w:val="24"/>
          <w:szCs w:val="24"/>
        </w:rPr>
        <w:t>e</w:t>
      </w:r>
      <w:r w:rsidRPr="0046364E">
        <w:rPr>
          <w:rFonts w:ascii="Arial" w:hAnsi="Arial" w:cs="Arial"/>
          <w:sz w:val="24"/>
          <w:szCs w:val="24"/>
        </w:rPr>
        <w:t xml:space="preserve"> à la mise à jour des informations le cas échéant (et non à une nouvelle signature); </w:t>
      </w:r>
    </w:p>
    <w:p w:rsidR="00D95BB0" w:rsidRPr="0046364E" w:rsidRDefault="00D95BB0" w:rsidP="00D95BB0">
      <w:pPr>
        <w:rPr>
          <w:rFonts w:ascii="Arial" w:hAnsi="Arial" w:cs="Arial"/>
          <w:sz w:val="24"/>
          <w:szCs w:val="24"/>
        </w:rPr>
      </w:pPr>
      <w:r w:rsidRPr="0046364E">
        <w:rPr>
          <w:rFonts w:ascii="Arial" w:hAnsi="Arial" w:cs="Arial"/>
          <w:sz w:val="24"/>
          <w:szCs w:val="24"/>
        </w:rPr>
        <w:t>Que les dates de versement du soutien financier soient fixes et qu’elles tiennent compte de la réalité et des besoins des différents organismes communautaires</w:t>
      </w:r>
      <w:r>
        <w:rPr>
          <w:rFonts w:ascii="Arial" w:hAnsi="Arial" w:cs="Arial"/>
          <w:sz w:val="24"/>
          <w:szCs w:val="24"/>
        </w:rPr>
        <w:t xml:space="preserve">, en assurant toutefois une certaine flexibilité si le besoin est présent; </w:t>
      </w:r>
    </w:p>
    <w:p w:rsidR="00D95BB0" w:rsidRDefault="00D95BB0" w:rsidP="00D95BB0">
      <w:pPr>
        <w:rPr>
          <w:rFonts w:ascii="Arial" w:hAnsi="Arial" w:cs="Arial"/>
          <w:sz w:val="24"/>
          <w:szCs w:val="24"/>
        </w:rPr>
      </w:pPr>
      <w:r w:rsidRPr="0046364E">
        <w:rPr>
          <w:rFonts w:ascii="Arial" w:hAnsi="Arial" w:cs="Arial"/>
          <w:sz w:val="24"/>
          <w:szCs w:val="24"/>
        </w:rPr>
        <w:t xml:space="preserve">Que la durée des ententes de financement soit minimalement </w:t>
      </w:r>
      <w:r>
        <w:rPr>
          <w:rFonts w:ascii="Arial" w:hAnsi="Arial" w:cs="Arial"/>
          <w:sz w:val="24"/>
          <w:szCs w:val="24"/>
        </w:rPr>
        <w:t>d’une durée de quatre</w:t>
      </w:r>
      <w:r>
        <w:rPr>
          <w:rFonts w:ascii="Arial" w:hAnsi="Arial" w:cs="Arial"/>
          <w:sz w:val="24"/>
          <w:szCs w:val="24"/>
        </w:rPr>
        <w:t xml:space="preserve"> ans; </w:t>
      </w:r>
    </w:p>
    <w:p w:rsidR="00D95BB0" w:rsidRDefault="00D95BB0" w:rsidP="00D95BB0">
      <w:pPr>
        <w:rPr>
          <w:rFonts w:ascii="Arial" w:hAnsi="Arial" w:cs="Arial"/>
          <w:sz w:val="24"/>
          <w:szCs w:val="24"/>
        </w:rPr>
      </w:pPr>
      <w:r w:rsidRPr="0046364E">
        <w:rPr>
          <w:rFonts w:ascii="Arial" w:hAnsi="Arial" w:cs="Arial"/>
          <w:sz w:val="24"/>
          <w:szCs w:val="24"/>
        </w:rPr>
        <w:t>Que le programme du SACAIS dédié à financer des projets</w:t>
      </w:r>
      <w:r>
        <w:rPr>
          <w:rFonts w:ascii="Arial" w:hAnsi="Arial" w:cs="Arial"/>
          <w:sz w:val="24"/>
          <w:szCs w:val="24"/>
        </w:rPr>
        <w:t xml:space="preserve"> ponctuels</w:t>
      </w:r>
      <w:r w:rsidRPr="0046364E">
        <w:rPr>
          <w:rFonts w:ascii="Arial" w:hAnsi="Arial" w:cs="Arial"/>
          <w:sz w:val="24"/>
          <w:szCs w:val="24"/>
        </w:rPr>
        <w:t xml:space="preserve"> soit remis en </w:t>
      </w:r>
      <w:r w:rsidRPr="002349F6">
        <w:rPr>
          <w:rFonts w:ascii="Arial" w:hAnsi="Arial" w:cs="Arial"/>
          <w:sz w:val="24"/>
          <w:szCs w:val="24"/>
        </w:rPr>
        <w:t>place pour favoriser la diversification du financement des organismes communautaires et permettre le financement de projets, par exemple, des recherche</w:t>
      </w:r>
      <w:r>
        <w:rPr>
          <w:rFonts w:ascii="Arial" w:hAnsi="Arial" w:cs="Arial"/>
          <w:sz w:val="24"/>
          <w:szCs w:val="24"/>
        </w:rPr>
        <w:t>s</w:t>
      </w:r>
      <w:r w:rsidRPr="002349F6">
        <w:rPr>
          <w:rFonts w:ascii="Arial" w:hAnsi="Arial" w:cs="Arial"/>
          <w:sz w:val="24"/>
          <w:szCs w:val="24"/>
        </w:rPr>
        <w:t>, des formations, des activités d’éducation populaire ou de sensibilisation por</w:t>
      </w:r>
      <w:r>
        <w:rPr>
          <w:rFonts w:ascii="Arial" w:hAnsi="Arial" w:cs="Arial"/>
          <w:sz w:val="24"/>
          <w:szCs w:val="24"/>
        </w:rPr>
        <w:t xml:space="preserve">tant sur l’action communautaire; </w:t>
      </w:r>
    </w:p>
    <w:p w:rsidR="00D95BB0" w:rsidRDefault="00D95BB0" w:rsidP="00D95BB0">
      <w:pPr>
        <w:rPr>
          <w:rFonts w:ascii="Arial" w:hAnsi="Arial" w:cs="Arial"/>
          <w:sz w:val="24"/>
          <w:szCs w:val="24"/>
        </w:rPr>
      </w:pPr>
      <w:r w:rsidRPr="0046364E">
        <w:rPr>
          <w:rFonts w:ascii="Arial" w:hAnsi="Arial" w:cs="Arial"/>
          <w:sz w:val="24"/>
          <w:szCs w:val="24"/>
        </w:rPr>
        <w:t xml:space="preserve">Qu’une harmonisation du PSOC soit faite pour limiter les grandes disparités régionales et qu’une meilleure explication en lien avec leurs modalités de versement soit </w:t>
      </w:r>
      <w:r>
        <w:rPr>
          <w:rFonts w:ascii="Arial" w:hAnsi="Arial" w:cs="Arial"/>
          <w:sz w:val="24"/>
          <w:szCs w:val="24"/>
        </w:rPr>
        <w:t>donnée</w:t>
      </w:r>
      <w:r>
        <w:rPr>
          <w:rFonts w:ascii="Arial" w:hAnsi="Arial" w:cs="Arial"/>
          <w:sz w:val="24"/>
          <w:szCs w:val="24"/>
        </w:rPr>
        <w:t xml:space="preserve">; </w:t>
      </w:r>
    </w:p>
    <w:p w:rsidR="00D95BB0" w:rsidRDefault="00D95BB0" w:rsidP="00D95BB0">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Que tous les </w:t>
      </w:r>
      <w:r w:rsidRPr="00E65F00">
        <w:rPr>
          <w:rFonts w:ascii="Arial" w:eastAsia="Times New Roman" w:hAnsi="Arial" w:cs="Arial"/>
          <w:color w:val="000000" w:themeColor="text1"/>
          <w:sz w:val="24"/>
          <w:szCs w:val="24"/>
        </w:rPr>
        <w:t>programme</w:t>
      </w:r>
      <w:r>
        <w:rPr>
          <w:rFonts w:ascii="Arial" w:eastAsia="Times New Roman" w:hAnsi="Arial" w:cs="Arial"/>
          <w:color w:val="000000" w:themeColor="text1"/>
          <w:sz w:val="24"/>
          <w:szCs w:val="24"/>
        </w:rPr>
        <w:t>s</w:t>
      </w:r>
      <w:r w:rsidRPr="00E65F00">
        <w:rPr>
          <w:rFonts w:ascii="Arial" w:eastAsia="Times New Roman" w:hAnsi="Arial" w:cs="Arial"/>
          <w:color w:val="000000" w:themeColor="text1"/>
          <w:sz w:val="24"/>
          <w:szCs w:val="24"/>
        </w:rPr>
        <w:t>, projet</w:t>
      </w:r>
      <w:r>
        <w:rPr>
          <w:rFonts w:ascii="Arial" w:eastAsia="Times New Roman" w:hAnsi="Arial" w:cs="Arial"/>
          <w:color w:val="000000" w:themeColor="text1"/>
          <w:sz w:val="24"/>
          <w:szCs w:val="24"/>
        </w:rPr>
        <w:t>s</w:t>
      </w:r>
      <w:r w:rsidRPr="00E65F00">
        <w:rPr>
          <w:rFonts w:ascii="Arial" w:eastAsia="Times New Roman" w:hAnsi="Arial" w:cs="Arial"/>
          <w:color w:val="000000" w:themeColor="text1"/>
          <w:sz w:val="24"/>
          <w:szCs w:val="24"/>
        </w:rPr>
        <w:t xml:space="preserve"> ou appel</w:t>
      </w:r>
      <w:r>
        <w:rPr>
          <w:rFonts w:ascii="Arial" w:eastAsia="Times New Roman" w:hAnsi="Arial" w:cs="Arial"/>
          <w:color w:val="000000" w:themeColor="text1"/>
          <w:sz w:val="24"/>
          <w:szCs w:val="24"/>
        </w:rPr>
        <w:t>s</w:t>
      </w:r>
      <w:r w:rsidRPr="00E65F00">
        <w:rPr>
          <w:rFonts w:ascii="Arial" w:eastAsia="Times New Roman" w:hAnsi="Arial" w:cs="Arial"/>
          <w:color w:val="000000" w:themeColor="text1"/>
          <w:sz w:val="24"/>
          <w:szCs w:val="24"/>
        </w:rPr>
        <w:t xml:space="preserve"> à projets qui </w:t>
      </w:r>
      <w:r>
        <w:rPr>
          <w:rFonts w:ascii="Arial" w:eastAsia="Times New Roman" w:hAnsi="Arial" w:cs="Arial"/>
          <w:color w:val="000000" w:themeColor="text1"/>
          <w:sz w:val="24"/>
          <w:szCs w:val="24"/>
        </w:rPr>
        <w:t>sont</w:t>
      </w:r>
      <w:r w:rsidRPr="00E65F00">
        <w:rPr>
          <w:rFonts w:ascii="Arial" w:eastAsia="Times New Roman" w:hAnsi="Arial" w:cs="Arial"/>
          <w:color w:val="000000" w:themeColor="text1"/>
          <w:sz w:val="24"/>
          <w:szCs w:val="24"/>
        </w:rPr>
        <w:t xml:space="preserve"> de financement public tienne</w:t>
      </w:r>
      <w:r>
        <w:rPr>
          <w:rFonts w:ascii="Arial" w:eastAsia="Times New Roman" w:hAnsi="Arial" w:cs="Arial"/>
          <w:color w:val="000000" w:themeColor="text1"/>
          <w:sz w:val="24"/>
          <w:szCs w:val="24"/>
        </w:rPr>
        <w:t>nt</w:t>
      </w:r>
      <w:r w:rsidRPr="00E65F00">
        <w:rPr>
          <w:rFonts w:ascii="Arial" w:eastAsia="Times New Roman" w:hAnsi="Arial" w:cs="Arial"/>
          <w:color w:val="000000" w:themeColor="text1"/>
          <w:sz w:val="24"/>
          <w:szCs w:val="24"/>
        </w:rPr>
        <w:t xml:space="preserve"> compte d’une analyse différenciée selon les capacités et que tout organisme communautaire tienne compte</w:t>
      </w:r>
      <w:r>
        <w:rPr>
          <w:rFonts w:ascii="Arial" w:eastAsia="Times New Roman" w:hAnsi="Arial" w:cs="Arial"/>
          <w:color w:val="000000" w:themeColor="text1"/>
          <w:sz w:val="24"/>
          <w:szCs w:val="24"/>
        </w:rPr>
        <w:t xml:space="preserve">, dans son offre de services, </w:t>
      </w:r>
      <w:r w:rsidRPr="00E65F00">
        <w:rPr>
          <w:rFonts w:ascii="Arial" w:eastAsia="Times New Roman" w:hAnsi="Arial" w:cs="Arial"/>
          <w:color w:val="000000" w:themeColor="text1"/>
          <w:sz w:val="24"/>
          <w:szCs w:val="24"/>
        </w:rPr>
        <w:t>de l’acces</w:t>
      </w:r>
      <w:r>
        <w:rPr>
          <w:rFonts w:ascii="Arial" w:eastAsia="Times New Roman" w:hAnsi="Arial" w:cs="Arial"/>
          <w:color w:val="000000" w:themeColor="text1"/>
          <w:sz w:val="24"/>
          <w:szCs w:val="24"/>
        </w:rPr>
        <w:t>sibilité aux personnes ayant des</w:t>
      </w:r>
      <w:r w:rsidRPr="00E65F00">
        <w:rPr>
          <w:rFonts w:ascii="Arial" w:eastAsia="Times New Roman" w:hAnsi="Arial" w:cs="Arial"/>
          <w:color w:val="000000" w:themeColor="text1"/>
          <w:sz w:val="24"/>
          <w:szCs w:val="24"/>
        </w:rPr>
        <w:t xml:space="preserve"> limitation</w:t>
      </w:r>
      <w:r>
        <w:rPr>
          <w:rFonts w:ascii="Arial" w:eastAsia="Times New Roman" w:hAnsi="Arial" w:cs="Arial"/>
          <w:color w:val="000000" w:themeColor="text1"/>
          <w:sz w:val="24"/>
          <w:szCs w:val="24"/>
        </w:rPr>
        <w:t>s</w:t>
      </w:r>
      <w:r w:rsidRPr="00E65F00">
        <w:rPr>
          <w:rFonts w:ascii="Arial" w:eastAsia="Times New Roman" w:hAnsi="Arial" w:cs="Arial"/>
          <w:color w:val="000000" w:themeColor="text1"/>
          <w:sz w:val="24"/>
          <w:szCs w:val="24"/>
        </w:rPr>
        <w:t xml:space="preserve"> fonctionnelle</w:t>
      </w:r>
      <w:r>
        <w:rPr>
          <w:rFonts w:ascii="Arial" w:eastAsia="Times New Roman" w:hAnsi="Arial" w:cs="Arial"/>
          <w:color w:val="000000" w:themeColor="text1"/>
          <w:sz w:val="24"/>
          <w:szCs w:val="24"/>
        </w:rPr>
        <w:t xml:space="preserve">s. Ces conditions doivent être respectées pour obtenir le financement; </w:t>
      </w:r>
    </w:p>
    <w:p w:rsidR="00D95BB0" w:rsidRDefault="00D95BB0" w:rsidP="00D95BB0">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Que les formulaires de reconnaissance, de demande de financement et de reddition de compte documentent l’accessibilité des organismes communautaires aux personnes ayant </w:t>
      </w:r>
      <w:r>
        <w:rPr>
          <w:rFonts w:ascii="Arial" w:eastAsia="Times New Roman" w:hAnsi="Arial" w:cs="Arial"/>
          <w:color w:val="000000" w:themeColor="text1"/>
          <w:sz w:val="24"/>
          <w:szCs w:val="24"/>
        </w:rPr>
        <w:t xml:space="preserve">des limitations fonctionnelles; </w:t>
      </w:r>
    </w:p>
    <w:p w:rsidR="00D95BB0" w:rsidRDefault="00D95BB0" w:rsidP="00D95BB0">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Que les formulaires visant la reconnaissance d’un organisme, les demandes de financement, les appels à projets ou les redditions de compte soient accessibles.</w:t>
      </w:r>
    </w:p>
    <w:p w:rsidR="00D95BB0" w:rsidRPr="0046364E" w:rsidRDefault="00D95BB0" w:rsidP="00D95BB0">
      <w:pPr>
        <w:rPr>
          <w:rFonts w:ascii="Arial" w:hAnsi="Arial" w:cs="Arial"/>
          <w:sz w:val="24"/>
          <w:szCs w:val="24"/>
        </w:rPr>
      </w:pPr>
      <w:r w:rsidRPr="0046364E">
        <w:rPr>
          <w:rFonts w:ascii="Arial" w:hAnsi="Arial" w:cs="Arial"/>
          <w:sz w:val="24"/>
          <w:szCs w:val="24"/>
        </w:rPr>
        <w:t>Que la Politique de reconnaissance de l’action communautaire soit prescriptible et appliqué</w:t>
      </w:r>
      <w:r>
        <w:rPr>
          <w:rFonts w:ascii="Arial" w:hAnsi="Arial" w:cs="Arial"/>
          <w:sz w:val="24"/>
          <w:szCs w:val="24"/>
        </w:rPr>
        <w:t>e</w:t>
      </w:r>
      <w:r w:rsidRPr="0046364E">
        <w:rPr>
          <w:rFonts w:ascii="Arial" w:hAnsi="Arial" w:cs="Arial"/>
          <w:sz w:val="24"/>
          <w:szCs w:val="24"/>
        </w:rPr>
        <w:t xml:space="preserve"> par tous les ministères et organismes publics; </w:t>
      </w:r>
    </w:p>
    <w:p w:rsidR="00D95BB0" w:rsidRPr="0046364E" w:rsidRDefault="00D95BB0" w:rsidP="00D95BB0">
      <w:pPr>
        <w:rPr>
          <w:rFonts w:ascii="Arial" w:hAnsi="Arial" w:cs="Arial"/>
          <w:sz w:val="24"/>
          <w:szCs w:val="24"/>
        </w:rPr>
      </w:pPr>
      <w:r w:rsidRPr="0046364E">
        <w:rPr>
          <w:rFonts w:ascii="Arial" w:hAnsi="Arial" w:cs="Arial"/>
          <w:sz w:val="24"/>
          <w:szCs w:val="24"/>
        </w:rPr>
        <w:t xml:space="preserve">Que le MTESS veille à la mise en œuvre et </w:t>
      </w:r>
      <w:r>
        <w:rPr>
          <w:rFonts w:ascii="Arial" w:hAnsi="Arial" w:cs="Arial"/>
          <w:sz w:val="24"/>
          <w:szCs w:val="24"/>
        </w:rPr>
        <w:t xml:space="preserve">à </w:t>
      </w:r>
      <w:r w:rsidRPr="0046364E">
        <w:rPr>
          <w:rFonts w:ascii="Arial" w:hAnsi="Arial" w:cs="Arial"/>
          <w:sz w:val="24"/>
          <w:szCs w:val="24"/>
        </w:rPr>
        <w:t xml:space="preserve">l’application de la Politique de reconnaissance de l’action communautaire; </w:t>
      </w:r>
    </w:p>
    <w:p w:rsidR="00D95BB0" w:rsidRDefault="00D95BB0" w:rsidP="00D95BB0">
      <w:pPr>
        <w:rPr>
          <w:rFonts w:ascii="Arial" w:hAnsi="Arial" w:cs="Arial"/>
          <w:sz w:val="24"/>
          <w:szCs w:val="24"/>
        </w:rPr>
      </w:pPr>
      <w:r w:rsidRPr="0046364E">
        <w:rPr>
          <w:rFonts w:ascii="Arial" w:hAnsi="Arial" w:cs="Arial"/>
          <w:sz w:val="24"/>
          <w:szCs w:val="24"/>
        </w:rPr>
        <w:t xml:space="preserve">Qu’un processus de consultation avec les différents acteurs impliqués soit </w:t>
      </w:r>
      <w:r>
        <w:rPr>
          <w:rFonts w:ascii="Arial" w:hAnsi="Arial" w:cs="Arial"/>
          <w:sz w:val="24"/>
          <w:szCs w:val="24"/>
        </w:rPr>
        <w:t>implanté</w:t>
      </w:r>
      <w:r w:rsidRPr="0046364E">
        <w:rPr>
          <w:rFonts w:ascii="Arial" w:hAnsi="Arial" w:cs="Arial"/>
          <w:sz w:val="24"/>
          <w:szCs w:val="24"/>
        </w:rPr>
        <w:t xml:space="preserve"> afin de trouver la meilleure façon pour que ladite Politique soit prescriptible et qu’une fois le processus complété</w:t>
      </w:r>
      <w:r>
        <w:rPr>
          <w:rFonts w:ascii="Arial" w:hAnsi="Arial" w:cs="Arial"/>
          <w:sz w:val="24"/>
          <w:szCs w:val="24"/>
        </w:rPr>
        <w:t>, que d</w:t>
      </w:r>
      <w:r w:rsidRPr="0046364E">
        <w:rPr>
          <w:rFonts w:ascii="Arial" w:hAnsi="Arial" w:cs="Arial"/>
          <w:sz w:val="24"/>
          <w:szCs w:val="24"/>
        </w:rPr>
        <w:t xml:space="preserve">es </w:t>
      </w:r>
      <w:r>
        <w:rPr>
          <w:rFonts w:ascii="Arial" w:hAnsi="Arial" w:cs="Arial"/>
          <w:sz w:val="24"/>
          <w:szCs w:val="24"/>
        </w:rPr>
        <w:t>lignes directrices</w:t>
      </w:r>
      <w:r w:rsidRPr="0046364E">
        <w:rPr>
          <w:rFonts w:ascii="Arial" w:hAnsi="Arial" w:cs="Arial"/>
          <w:sz w:val="24"/>
          <w:szCs w:val="24"/>
        </w:rPr>
        <w:t xml:space="preserve"> qui en découlent soient considéré</w:t>
      </w:r>
      <w:r>
        <w:rPr>
          <w:rFonts w:ascii="Arial" w:hAnsi="Arial" w:cs="Arial"/>
          <w:sz w:val="24"/>
          <w:szCs w:val="24"/>
        </w:rPr>
        <w:t>e</w:t>
      </w:r>
      <w:r>
        <w:rPr>
          <w:rFonts w:ascii="Arial" w:hAnsi="Arial" w:cs="Arial"/>
          <w:sz w:val="24"/>
          <w:szCs w:val="24"/>
        </w:rPr>
        <w:t xml:space="preserve">s comme un minimum à respecter; </w:t>
      </w:r>
    </w:p>
    <w:p w:rsidR="00D95BB0" w:rsidRPr="0046364E" w:rsidRDefault="00D95BB0" w:rsidP="00D95BB0">
      <w:pPr>
        <w:rPr>
          <w:rFonts w:ascii="Arial" w:hAnsi="Arial" w:cs="Arial"/>
          <w:sz w:val="24"/>
          <w:szCs w:val="24"/>
        </w:rPr>
      </w:pPr>
      <w:r w:rsidRPr="0046364E">
        <w:rPr>
          <w:rFonts w:ascii="Arial" w:hAnsi="Arial" w:cs="Arial"/>
          <w:sz w:val="24"/>
          <w:szCs w:val="24"/>
        </w:rPr>
        <w:t xml:space="preserve">Que l’expertise des organismes communautaires soit valorisée et qu’ils soient interpellés lors de travaux parlementaires concernant les projets de lois et de règlements et les politiques publiques; </w:t>
      </w:r>
    </w:p>
    <w:p w:rsidR="00D95BB0" w:rsidRPr="0046364E" w:rsidRDefault="00D95BB0" w:rsidP="00D95BB0">
      <w:pPr>
        <w:rPr>
          <w:rFonts w:ascii="Arial" w:hAnsi="Arial" w:cs="Arial"/>
          <w:sz w:val="24"/>
          <w:szCs w:val="24"/>
        </w:rPr>
      </w:pPr>
      <w:r w:rsidRPr="0046364E">
        <w:rPr>
          <w:rFonts w:ascii="Arial" w:hAnsi="Arial" w:cs="Arial"/>
          <w:sz w:val="24"/>
          <w:szCs w:val="24"/>
        </w:rPr>
        <w:t>Que lorsqu’un projet de loi, de règlement ou une politique publique concern</w:t>
      </w:r>
      <w:r>
        <w:rPr>
          <w:rFonts w:ascii="Arial" w:hAnsi="Arial" w:cs="Arial"/>
          <w:sz w:val="24"/>
          <w:szCs w:val="24"/>
        </w:rPr>
        <w:t>e</w:t>
      </w:r>
      <w:r w:rsidRPr="0046364E">
        <w:rPr>
          <w:rFonts w:ascii="Arial" w:hAnsi="Arial" w:cs="Arial"/>
          <w:sz w:val="24"/>
          <w:szCs w:val="24"/>
        </w:rPr>
        <w:t xml:space="preserve"> </w:t>
      </w:r>
      <w:r>
        <w:rPr>
          <w:rFonts w:ascii="Arial" w:hAnsi="Arial" w:cs="Arial"/>
          <w:sz w:val="24"/>
          <w:szCs w:val="24"/>
        </w:rPr>
        <w:t>les personnes ayant une limitation fonctionnelle ou ayant un impact sur celles-ci</w:t>
      </w:r>
      <w:r w:rsidRPr="0046364E">
        <w:rPr>
          <w:rFonts w:ascii="Arial" w:hAnsi="Arial" w:cs="Arial"/>
          <w:sz w:val="24"/>
          <w:szCs w:val="24"/>
        </w:rPr>
        <w:t>, les instances</w:t>
      </w:r>
      <w:r>
        <w:rPr>
          <w:rFonts w:ascii="Arial" w:hAnsi="Arial" w:cs="Arial"/>
          <w:sz w:val="24"/>
          <w:szCs w:val="24"/>
        </w:rPr>
        <w:t xml:space="preserve"> les</w:t>
      </w:r>
      <w:r w:rsidRPr="0046364E">
        <w:rPr>
          <w:rFonts w:ascii="Arial" w:hAnsi="Arial" w:cs="Arial"/>
          <w:sz w:val="24"/>
          <w:szCs w:val="24"/>
        </w:rPr>
        <w:t xml:space="preserve"> représentant soient consultées,</w:t>
      </w:r>
      <w:r>
        <w:rPr>
          <w:rFonts w:ascii="Arial" w:hAnsi="Arial" w:cs="Arial"/>
          <w:sz w:val="24"/>
          <w:szCs w:val="24"/>
        </w:rPr>
        <w:t xml:space="preserve"> donc que </w:t>
      </w:r>
      <w:r w:rsidRPr="0046364E">
        <w:rPr>
          <w:rFonts w:ascii="Arial" w:hAnsi="Arial" w:cs="Arial"/>
          <w:sz w:val="24"/>
          <w:szCs w:val="24"/>
        </w:rPr>
        <w:t xml:space="preserve">les bons acteurs soient consultés </w:t>
      </w:r>
      <w:r>
        <w:rPr>
          <w:rFonts w:ascii="Arial" w:hAnsi="Arial" w:cs="Arial"/>
          <w:sz w:val="24"/>
          <w:szCs w:val="24"/>
        </w:rPr>
        <w:t>sur l</w:t>
      </w:r>
      <w:r w:rsidRPr="0046364E">
        <w:rPr>
          <w:rFonts w:ascii="Arial" w:hAnsi="Arial" w:cs="Arial"/>
          <w:sz w:val="24"/>
          <w:szCs w:val="24"/>
        </w:rPr>
        <w:t xml:space="preserve">es sujets les concernant; </w:t>
      </w:r>
    </w:p>
    <w:p w:rsidR="00D95BB0" w:rsidRDefault="00D95BB0" w:rsidP="00D95BB0">
      <w:pPr>
        <w:rPr>
          <w:rFonts w:ascii="Arial" w:hAnsi="Arial" w:cs="Arial"/>
          <w:sz w:val="24"/>
          <w:szCs w:val="24"/>
        </w:rPr>
      </w:pPr>
      <w:r w:rsidRPr="00B025EE">
        <w:rPr>
          <w:rFonts w:ascii="Arial" w:hAnsi="Arial" w:cs="Arial"/>
          <w:sz w:val="24"/>
          <w:szCs w:val="24"/>
        </w:rPr>
        <w:t xml:space="preserve">Qu’un « délai minimum acceptable » de consultation </w:t>
      </w:r>
      <w:r>
        <w:rPr>
          <w:rFonts w:ascii="Arial" w:hAnsi="Arial" w:cs="Arial"/>
          <w:sz w:val="24"/>
          <w:szCs w:val="24"/>
        </w:rPr>
        <w:t>soit d’</w:t>
      </w:r>
      <w:r w:rsidRPr="00B025EE">
        <w:rPr>
          <w:rFonts w:ascii="Arial" w:hAnsi="Arial" w:cs="Arial"/>
          <w:sz w:val="24"/>
          <w:szCs w:val="24"/>
        </w:rPr>
        <w:t xml:space="preserve">une durée minimale de </w:t>
      </w:r>
      <w:r>
        <w:rPr>
          <w:rFonts w:ascii="Arial" w:hAnsi="Arial" w:cs="Arial"/>
          <w:sz w:val="24"/>
          <w:szCs w:val="24"/>
        </w:rPr>
        <w:t>quatre</w:t>
      </w:r>
      <w:r w:rsidRPr="00B025EE">
        <w:rPr>
          <w:rFonts w:ascii="Arial" w:hAnsi="Arial" w:cs="Arial"/>
          <w:sz w:val="24"/>
          <w:szCs w:val="24"/>
        </w:rPr>
        <w:t xml:space="preserve"> mois, n’incluant pas les périodes traditionnelles de congé</w:t>
      </w:r>
      <w:r>
        <w:rPr>
          <w:rFonts w:ascii="Arial" w:hAnsi="Arial" w:cs="Arial"/>
          <w:sz w:val="24"/>
          <w:szCs w:val="24"/>
        </w:rPr>
        <w:t xml:space="preserve">s; </w:t>
      </w:r>
    </w:p>
    <w:p w:rsidR="00D95BB0" w:rsidRDefault="00D95BB0" w:rsidP="00D95BB0">
      <w:pPr>
        <w:rPr>
          <w:rFonts w:ascii="Arial" w:hAnsi="Arial" w:cs="Arial"/>
          <w:sz w:val="24"/>
          <w:szCs w:val="24"/>
        </w:rPr>
      </w:pPr>
      <w:r w:rsidRPr="0046364E">
        <w:rPr>
          <w:rFonts w:ascii="Arial" w:hAnsi="Arial" w:cs="Arial"/>
          <w:sz w:val="24"/>
          <w:szCs w:val="24"/>
        </w:rPr>
        <w:t>Que toutes les instances ministérielles qui participent de près ou de loin à l’élaboration de programme</w:t>
      </w:r>
      <w:r>
        <w:rPr>
          <w:rFonts w:ascii="Arial" w:hAnsi="Arial" w:cs="Arial"/>
          <w:sz w:val="24"/>
          <w:szCs w:val="24"/>
        </w:rPr>
        <w:t>s</w:t>
      </w:r>
      <w:r w:rsidRPr="0046364E">
        <w:rPr>
          <w:rFonts w:ascii="Arial" w:hAnsi="Arial" w:cs="Arial"/>
          <w:sz w:val="24"/>
          <w:szCs w:val="24"/>
        </w:rPr>
        <w:t>, de cadre</w:t>
      </w:r>
      <w:r>
        <w:rPr>
          <w:rFonts w:ascii="Arial" w:hAnsi="Arial" w:cs="Arial"/>
          <w:sz w:val="24"/>
          <w:szCs w:val="24"/>
        </w:rPr>
        <w:t>s</w:t>
      </w:r>
      <w:r w:rsidRPr="0046364E">
        <w:rPr>
          <w:rFonts w:ascii="Arial" w:hAnsi="Arial" w:cs="Arial"/>
          <w:sz w:val="24"/>
          <w:szCs w:val="24"/>
        </w:rPr>
        <w:t xml:space="preserve"> normatif</w:t>
      </w:r>
      <w:r>
        <w:rPr>
          <w:rFonts w:ascii="Arial" w:hAnsi="Arial" w:cs="Arial"/>
          <w:sz w:val="24"/>
          <w:szCs w:val="24"/>
        </w:rPr>
        <w:t>s</w:t>
      </w:r>
      <w:r w:rsidRPr="0046364E">
        <w:rPr>
          <w:rFonts w:ascii="Arial" w:hAnsi="Arial" w:cs="Arial"/>
          <w:sz w:val="24"/>
          <w:szCs w:val="24"/>
        </w:rPr>
        <w:t xml:space="preserve"> ou de convention</w:t>
      </w:r>
      <w:r>
        <w:rPr>
          <w:rFonts w:ascii="Arial" w:hAnsi="Arial" w:cs="Arial"/>
          <w:sz w:val="24"/>
          <w:szCs w:val="24"/>
        </w:rPr>
        <w:t>s</w:t>
      </w:r>
      <w:r w:rsidRPr="0046364E">
        <w:rPr>
          <w:rFonts w:ascii="Arial" w:hAnsi="Arial" w:cs="Arial"/>
          <w:sz w:val="24"/>
          <w:szCs w:val="24"/>
        </w:rPr>
        <w:t xml:space="preserve"> d’aide financière soient formées aux implications de la Politique de reconnaissance de l’action communautaire</w:t>
      </w:r>
      <w:r>
        <w:rPr>
          <w:rFonts w:ascii="Arial" w:hAnsi="Arial" w:cs="Arial"/>
          <w:sz w:val="24"/>
          <w:szCs w:val="24"/>
        </w:rPr>
        <w:t xml:space="preserve"> et de son cadre de référence; </w:t>
      </w:r>
    </w:p>
    <w:p w:rsidR="00D95BB0" w:rsidRDefault="00D95BB0" w:rsidP="00D95BB0">
      <w:pPr>
        <w:rPr>
          <w:rFonts w:ascii="Arial" w:hAnsi="Arial" w:cs="Arial"/>
          <w:sz w:val="24"/>
          <w:szCs w:val="24"/>
        </w:rPr>
      </w:pPr>
      <w:r>
        <w:rPr>
          <w:rFonts w:ascii="Arial" w:hAnsi="Arial" w:cs="Arial"/>
          <w:sz w:val="24"/>
          <w:szCs w:val="24"/>
        </w:rPr>
        <w:t xml:space="preserve">Qu’un respect des lois et des règlements par l’appareil gouvernemental soit fait et qu’il y ait une meilleure prise en compte des recommandations des différents organismes </w:t>
      </w:r>
      <w:r>
        <w:rPr>
          <w:rFonts w:ascii="Arial" w:hAnsi="Arial" w:cs="Arial"/>
          <w:sz w:val="24"/>
          <w:szCs w:val="24"/>
        </w:rPr>
        <w:t xml:space="preserve">communautaires; </w:t>
      </w:r>
    </w:p>
    <w:p w:rsidR="00D95BB0" w:rsidRPr="0046364E" w:rsidRDefault="00D95BB0" w:rsidP="00D95BB0">
      <w:pPr>
        <w:rPr>
          <w:rFonts w:ascii="Arial" w:hAnsi="Arial" w:cs="Arial"/>
          <w:sz w:val="24"/>
          <w:szCs w:val="24"/>
        </w:rPr>
      </w:pPr>
      <w:r w:rsidRPr="0046364E">
        <w:rPr>
          <w:rFonts w:ascii="Arial" w:hAnsi="Arial" w:cs="Arial"/>
          <w:sz w:val="24"/>
          <w:szCs w:val="24"/>
        </w:rPr>
        <w:t>Que le gouvernement prenne action afin de protéger le rôle des regroupements</w:t>
      </w:r>
      <w:r>
        <w:rPr>
          <w:rFonts w:ascii="Arial" w:hAnsi="Arial" w:cs="Arial"/>
          <w:sz w:val="24"/>
          <w:szCs w:val="24"/>
        </w:rPr>
        <w:t>,</w:t>
      </w:r>
      <w:r w:rsidRPr="0046364E">
        <w:rPr>
          <w:rFonts w:ascii="Arial" w:hAnsi="Arial" w:cs="Arial"/>
          <w:sz w:val="24"/>
          <w:szCs w:val="24"/>
        </w:rPr>
        <w:t xml:space="preserve"> notamment en </w:t>
      </w:r>
      <w:r>
        <w:rPr>
          <w:rFonts w:ascii="Arial" w:hAnsi="Arial" w:cs="Arial"/>
          <w:sz w:val="24"/>
          <w:szCs w:val="24"/>
        </w:rPr>
        <w:t>assurant</w:t>
      </w:r>
      <w:r w:rsidRPr="0046364E">
        <w:rPr>
          <w:rFonts w:ascii="Arial" w:hAnsi="Arial" w:cs="Arial"/>
          <w:sz w:val="24"/>
          <w:szCs w:val="24"/>
        </w:rPr>
        <w:t xml:space="preserve"> leur liberté d’expression et leur droit d’association; </w:t>
      </w:r>
    </w:p>
    <w:p w:rsidR="00D95BB0" w:rsidRPr="0046364E" w:rsidRDefault="00D95BB0" w:rsidP="00D95BB0">
      <w:pPr>
        <w:rPr>
          <w:rFonts w:ascii="Arial" w:hAnsi="Arial" w:cs="Arial"/>
          <w:sz w:val="24"/>
          <w:szCs w:val="24"/>
        </w:rPr>
      </w:pPr>
      <w:r w:rsidRPr="0046364E">
        <w:rPr>
          <w:rFonts w:ascii="Arial" w:hAnsi="Arial" w:cs="Arial"/>
          <w:sz w:val="24"/>
          <w:szCs w:val="24"/>
        </w:rPr>
        <w:t xml:space="preserve">Que des mesures soient mises en place pour valoriser le rôle des regroupements auprès des ministères et organismes publics; </w:t>
      </w:r>
    </w:p>
    <w:p w:rsidR="00D95BB0" w:rsidRPr="0046364E" w:rsidRDefault="00D95BB0" w:rsidP="00D95BB0">
      <w:pPr>
        <w:rPr>
          <w:rFonts w:ascii="Arial" w:hAnsi="Arial" w:cs="Arial"/>
          <w:sz w:val="24"/>
          <w:szCs w:val="24"/>
        </w:rPr>
      </w:pPr>
      <w:r w:rsidRPr="0046364E">
        <w:rPr>
          <w:rFonts w:ascii="Arial" w:hAnsi="Arial" w:cs="Arial"/>
          <w:sz w:val="24"/>
          <w:szCs w:val="24"/>
        </w:rPr>
        <w:lastRenderedPageBreak/>
        <w:t>Qu’une définition de « regroupement » soit élaborée par les différents regroupements d’organismes communautaires et inclu</w:t>
      </w:r>
      <w:r>
        <w:rPr>
          <w:rFonts w:ascii="Arial" w:hAnsi="Arial" w:cs="Arial"/>
          <w:sz w:val="24"/>
          <w:szCs w:val="24"/>
        </w:rPr>
        <w:t>se dans le PAGAC</w:t>
      </w:r>
      <w:r>
        <w:rPr>
          <w:rFonts w:ascii="Arial" w:hAnsi="Arial" w:cs="Arial"/>
          <w:sz w:val="24"/>
          <w:szCs w:val="24"/>
        </w:rPr>
        <w:t xml:space="preserve">; </w:t>
      </w:r>
    </w:p>
    <w:p w:rsidR="00D95BB0" w:rsidRPr="0046364E" w:rsidRDefault="00D95BB0" w:rsidP="00D95BB0">
      <w:pPr>
        <w:rPr>
          <w:rFonts w:ascii="Arial" w:hAnsi="Arial" w:cs="Arial"/>
          <w:sz w:val="24"/>
          <w:szCs w:val="24"/>
        </w:rPr>
      </w:pPr>
      <w:r w:rsidRPr="0046364E">
        <w:rPr>
          <w:rFonts w:ascii="Arial" w:hAnsi="Arial" w:cs="Arial"/>
          <w:sz w:val="24"/>
          <w:szCs w:val="24"/>
        </w:rPr>
        <w:t>Que le gouvernement cesse toute affirmation à l’effet du « dédoublement » d’organismes communautaires, reconnaiss</w:t>
      </w:r>
      <w:r>
        <w:rPr>
          <w:rFonts w:ascii="Arial" w:hAnsi="Arial" w:cs="Arial"/>
          <w:sz w:val="24"/>
          <w:szCs w:val="24"/>
        </w:rPr>
        <w:t>e</w:t>
      </w:r>
      <w:r w:rsidRPr="0046364E">
        <w:rPr>
          <w:rFonts w:ascii="Arial" w:hAnsi="Arial" w:cs="Arial"/>
          <w:sz w:val="24"/>
          <w:szCs w:val="24"/>
        </w:rPr>
        <w:t xml:space="preserve"> qu’il n’y a pas dédoublement lorsque deux organismes ont de</w:t>
      </w:r>
      <w:r>
        <w:rPr>
          <w:rFonts w:ascii="Arial" w:hAnsi="Arial" w:cs="Arial"/>
          <w:sz w:val="24"/>
          <w:szCs w:val="24"/>
        </w:rPr>
        <w:t>s</w:t>
      </w:r>
      <w:r w:rsidRPr="0046364E">
        <w:rPr>
          <w:rFonts w:ascii="Arial" w:hAnsi="Arial" w:cs="Arial"/>
          <w:sz w:val="24"/>
          <w:szCs w:val="24"/>
        </w:rPr>
        <w:t xml:space="preserve"> missions semblables et cesse de faire pression pour que deux organi</w:t>
      </w:r>
      <w:r>
        <w:rPr>
          <w:rFonts w:ascii="Arial" w:hAnsi="Arial" w:cs="Arial"/>
          <w:sz w:val="24"/>
          <w:szCs w:val="24"/>
        </w:rPr>
        <w:t>smes communautaires</w:t>
      </w:r>
      <w:r w:rsidRPr="0046364E">
        <w:rPr>
          <w:rFonts w:ascii="Arial" w:hAnsi="Arial" w:cs="Arial"/>
          <w:sz w:val="24"/>
          <w:szCs w:val="24"/>
        </w:rPr>
        <w:t xml:space="preserve"> fusionnent le cas échéant; </w:t>
      </w:r>
    </w:p>
    <w:p w:rsidR="00D95BB0" w:rsidRPr="004A67CA" w:rsidRDefault="00D95BB0" w:rsidP="00D95BB0">
      <w:pPr>
        <w:rPr>
          <w:rFonts w:ascii="Arial" w:hAnsi="Arial" w:cs="Arial"/>
          <w:sz w:val="24"/>
          <w:szCs w:val="24"/>
        </w:rPr>
      </w:pPr>
      <w:r w:rsidRPr="0046364E">
        <w:rPr>
          <w:rFonts w:ascii="Arial" w:hAnsi="Arial" w:cs="Arial"/>
          <w:sz w:val="24"/>
          <w:szCs w:val="24"/>
        </w:rPr>
        <w:t>Que le gouvernement cesse de confier à des organismes sans but lucratif, des organisations parapubliques, des organismes privés ou des fondations</w:t>
      </w:r>
      <w:r>
        <w:rPr>
          <w:rFonts w:ascii="Arial" w:hAnsi="Arial" w:cs="Arial"/>
          <w:sz w:val="24"/>
          <w:szCs w:val="24"/>
        </w:rPr>
        <w:t>,</w:t>
      </w:r>
      <w:r w:rsidRPr="0046364E">
        <w:rPr>
          <w:rFonts w:ascii="Arial" w:hAnsi="Arial" w:cs="Arial"/>
          <w:sz w:val="24"/>
          <w:szCs w:val="24"/>
        </w:rPr>
        <w:t xml:space="preserve"> des missions déjà couvertes par des organismes communautaires</w:t>
      </w:r>
      <w:r>
        <w:rPr>
          <w:rFonts w:ascii="Arial" w:hAnsi="Arial" w:cs="Arial"/>
          <w:sz w:val="24"/>
          <w:szCs w:val="24"/>
        </w:rPr>
        <w:t xml:space="preserve">; </w:t>
      </w:r>
    </w:p>
    <w:p w:rsidR="00D95BB0" w:rsidRDefault="00D95BB0" w:rsidP="00D95BB0">
      <w:r>
        <w:rPr>
          <w:rFonts w:ascii="Arial" w:hAnsi="Arial" w:cs="Arial"/>
          <w:sz w:val="24"/>
          <w:szCs w:val="24"/>
        </w:rPr>
        <w:t>Que le gouvernement exclut de manière claire et non équivoque tous les organismes communautaires, dont les regroupements et les organismes en défense collective des droits, de la Loi sur la transparence et l’éthique en matière de lobbyisme.</w:t>
      </w:r>
    </w:p>
    <w:p w:rsidR="00D95BB0" w:rsidRPr="00D95BB0" w:rsidRDefault="00D95BB0" w:rsidP="00D95BB0"/>
    <w:sectPr w:rsidR="00D95BB0" w:rsidRPr="00D95BB0" w:rsidSect="000641B7">
      <w:footerReference w:type="default" r:id="rId23"/>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49" w:rsidRDefault="00923B49" w:rsidP="000641B7">
      <w:pPr>
        <w:spacing w:after="0" w:line="240" w:lineRule="auto"/>
      </w:pPr>
      <w:r>
        <w:separator/>
      </w:r>
    </w:p>
  </w:endnote>
  <w:endnote w:type="continuationSeparator" w:id="0">
    <w:p w:rsidR="00923B49" w:rsidRDefault="00923B49" w:rsidP="0006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rsidP="000641B7">
    <w:pPr>
      <w:pStyle w:val="Pieddepage"/>
      <w:rPr>
        <w:sz w:val="18"/>
        <w:szCs w:val="18"/>
      </w:rPr>
    </w:pPr>
    <w:r w:rsidRPr="00537969">
      <w:rPr>
        <w:sz w:val="18"/>
        <w:szCs w:val="18"/>
      </w:rPr>
      <w:t>Confédération des organismes de personnes handicap</w:t>
    </w:r>
    <w:r>
      <w:rPr>
        <w:sz w:val="18"/>
        <w:szCs w:val="18"/>
      </w:rPr>
      <w:t>ées du Québec (COPHAN)</w:t>
    </w:r>
  </w:p>
  <w:p w:rsidR="00DC1CFD" w:rsidRPr="00537969" w:rsidRDefault="00DC1CFD" w:rsidP="000641B7">
    <w:pPr>
      <w:pStyle w:val="Pieddepage"/>
      <w:rPr>
        <w:sz w:val="18"/>
        <w:szCs w:val="18"/>
      </w:rPr>
    </w:pPr>
    <w:r>
      <w:rPr>
        <w:sz w:val="18"/>
        <w:szCs w:val="18"/>
      </w:rPr>
      <w:t>7000 avenue du Parc, bureau 414-C, Montréal (Québec) H3N 1X1</w:t>
    </w:r>
  </w:p>
  <w:p w:rsidR="00DC1CFD" w:rsidRPr="00537969" w:rsidRDefault="00DC1CFD" w:rsidP="000641B7">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DC1CFD" w:rsidRDefault="00DC1CF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Pieddepage"/>
      <w:jc w:val="right"/>
    </w:pPr>
  </w:p>
  <w:p w:rsidR="00DC1CFD" w:rsidRDefault="00DC1CF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2393"/>
      <w:docPartObj>
        <w:docPartGallery w:val="Page Numbers (Bottom of Page)"/>
        <w:docPartUnique/>
      </w:docPartObj>
    </w:sdtPr>
    <w:sdtContent>
      <w:p w:rsidR="00DC1CFD" w:rsidRDefault="00DC1CFD">
        <w:pPr>
          <w:pStyle w:val="Pieddepage"/>
          <w:jc w:val="right"/>
        </w:pPr>
        <w:r>
          <w:fldChar w:fldCharType="begin"/>
        </w:r>
        <w:r>
          <w:instrText xml:space="preserve"> PAGE   \* MERGEFORMAT </w:instrText>
        </w:r>
        <w:r>
          <w:fldChar w:fldCharType="separate"/>
        </w:r>
        <w:r w:rsidR="00E557B6">
          <w:rPr>
            <w:noProof/>
          </w:rPr>
          <w:t>4</w:t>
        </w:r>
        <w:r>
          <w:rPr>
            <w:noProof/>
          </w:rPr>
          <w:fldChar w:fldCharType="end"/>
        </w:r>
      </w:p>
    </w:sdtContent>
  </w:sdt>
  <w:p w:rsidR="00DC1CFD" w:rsidRDefault="00DC1C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49" w:rsidRDefault="00923B49" w:rsidP="000641B7">
      <w:pPr>
        <w:spacing w:after="0" w:line="240" w:lineRule="auto"/>
      </w:pPr>
      <w:r>
        <w:separator/>
      </w:r>
    </w:p>
  </w:footnote>
  <w:footnote w:type="continuationSeparator" w:id="0">
    <w:p w:rsidR="00923B49" w:rsidRDefault="00923B49" w:rsidP="000641B7">
      <w:pPr>
        <w:spacing w:after="0" w:line="240" w:lineRule="auto"/>
      </w:pPr>
      <w:r>
        <w:continuationSeparator/>
      </w:r>
    </w:p>
  </w:footnote>
  <w:footnote w:id="1">
    <w:p w:rsidR="00DC1CFD" w:rsidRDefault="00DC1CFD">
      <w:pPr>
        <w:pStyle w:val="Notedebasdepage"/>
      </w:pPr>
      <w:r w:rsidRPr="00CA45C7">
        <w:rPr>
          <w:rStyle w:val="Appelnotedebasdep"/>
        </w:rPr>
        <w:footnoteRef/>
      </w:r>
      <w:r w:rsidRPr="00CA45C7">
        <w:t xml:space="preserve"> IRIS (2017) </w:t>
      </w:r>
      <w:hyperlink r:id="rId1" w:history="1">
        <w:r w:rsidRPr="00CA45C7">
          <w:rPr>
            <w:rStyle w:val="Lienhypertexte"/>
          </w:rPr>
          <w:t>L’accès à la vie associative pour les personnes en situation de handicap dans le mouvement de l’action communautaire autonome : Pratiques et besoins pour un accès non discriminatoire</w:t>
        </w:r>
      </w:hyperlink>
      <w:r w:rsidRPr="00CA45C7">
        <w:t>, p. 3</w:t>
      </w:r>
    </w:p>
  </w:footnote>
  <w:footnote w:id="2">
    <w:p w:rsidR="00DC1CFD" w:rsidRDefault="00DC1CFD">
      <w:pPr>
        <w:pStyle w:val="Notedebasdepage"/>
      </w:pPr>
      <w:r>
        <w:rPr>
          <w:rStyle w:val="Appelnotedebasdep"/>
        </w:rPr>
        <w:footnoteRef/>
      </w:r>
      <w:r>
        <w:t xml:space="preserve"> Pour plus de détail, </w:t>
      </w:r>
      <w:hyperlink r:id="rId2" w:history="1">
        <w:r w:rsidRPr="00780376">
          <w:rPr>
            <w:rStyle w:val="Lienhypertexte"/>
          </w:rPr>
          <w:t>veuillez cliquer sur ce lien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FD" w:rsidRDefault="00DC1C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0B5"/>
    <w:multiLevelType w:val="hybridMultilevel"/>
    <w:tmpl w:val="2E362B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C746FF"/>
    <w:multiLevelType w:val="multilevel"/>
    <w:tmpl w:val="B73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15:restartNumberingAfterBreak="0">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0FBE25A3"/>
    <w:multiLevelType w:val="hybridMultilevel"/>
    <w:tmpl w:val="3B244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5B635A"/>
    <w:multiLevelType w:val="hybridMultilevel"/>
    <w:tmpl w:val="65DAD70E"/>
    <w:lvl w:ilvl="0" w:tplc="9FD086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DB221F"/>
    <w:multiLevelType w:val="hybridMultilevel"/>
    <w:tmpl w:val="F89892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872AC9"/>
    <w:multiLevelType w:val="hybridMultilevel"/>
    <w:tmpl w:val="AEC0A922"/>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2763B01"/>
    <w:multiLevelType w:val="hybridMultilevel"/>
    <w:tmpl w:val="B2B0A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DB2256"/>
    <w:multiLevelType w:val="hybridMultilevel"/>
    <w:tmpl w:val="73A4C96A"/>
    <w:lvl w:ilvl="0" w:tplc="9D844E98">
      <w:start w:val="1"/>
      <w:numFmt w:val="decimal"/>
      <w:lvlText w:val="%1-"/>
      <w:lvlJc w:val="left"/>
      <w:pPr>
        <w:ind w:left="720" w:hanging="360"/>
      </w:pPr>
      <w:rPr>
        <w:rFonts w:ascii="Arial" w:eastAsiaTheme="minorEastAsia" w:hAnsi="Arial" w:cs="Arial"/>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273F93"/>
    <w:multiLevelType w:val="hybridMultilevel"/>
    <w:tmpl w:val="7388B17C"/>
    <w:lvl w:ilvl="0" w:tplc="5A1AEF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46DC2582"/>
    <w:multiLevelType w:val="hybridMultilevel"/>
    <w:tmpl w:val="C2420B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6" w15:restartNumberingAfterBreak="0">
    <w:nsid w:val="54534662"/>
    <w:multiLevelType w:val="hybridMultilevel"/>
    <w:tmpl w:val="AFDE84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A60693D"/>
    <w:multiLevelType w:val="hybridMultilevel"/>
    <w:tmpl w:val="A978087A"/>
    <w:lvl w:ilvl="0" w:tplc="EFD8DF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B4C4670"/>
    <w:multiLevelType w:val="hybridMultilevel"/>
    <w:tmpl w:val="93D280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0E74438"/>
    <w:multiLevelType w:val="hybridMultilevel"/>
    <w:tmpl w:val="B0F8A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9A048C"/>
    <w:multiLevelType w:val="hybridMultilevel"/>
    <w:tmpl w:val="49500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90638D"/>
    <w:multiLevelType w:val="hybridMultilevel"/>
    <w:tmpl w:val="F4E0D4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087371A"/>
    <w:multiLevelType w:val="multilevel"/>
    <w:tmpl w:val="390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713EDE"/>
    <w:multiLevelType w:val="hybridMultilevel"/>
    <w:tmpl w:val="23D02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C23C81"/>
    <w:multiLevelType w:val="hybridMultilevel"/>
    <w:tmpl w:val="D40434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2"/>
  </w:num>
  <w:num w:numId="5">
    <w:abstractNumId w:val="5"/>
  </w:num>
  <w:num w:numId="6">
    <w:abstractNumId w:val="13"/>
  </w:num>
  <w:num w:numId="7">
    <w:abstractNumId w:val="15"/>
  </w:num>
  <w:num w:numId="8">
    <w:abstractNumId w:val="4"/>
  </w:num>
  <w:num w:numId="9">
    <w:abstractNumId w:val="9"/>
  </w:num>
  <w:num w:numId="10">
    <w:abstractNumId w:val="7"/>
  </w:num>
  <w:num w:numId="11">
    <w:abstractNumId w:val="19"/>
  </w:num>
  <w:num w:numId="12">
    <w:abstractNumId w:val="0"/>
  </w:num>
  <w:num w:numId="13">
    <w:abstractNumId w:val="6"/>
  </w:num>
  <w:num w:numId="14">
    <w:abstractNumId w:val="20"/>
  </w:num>
  <w:num w:numId="15">
    <w:abstractNumId w:val="14"/>
  </w:num>
  <w:num w:numId="16">
    <w:abstractNumId w:val="21"/>
  </w:num>
  <w:num w:numId="17">
    <w:abstractNumId w:val="25"/>
  </w:num>
  <w:num w:numId="18">
    <w:abstractNumId w:val="24"/>
  </w:num>
  <w:num w:numId="19">
    <w:abstractNumId w:val="18"/>
  </w:num>
  <w:num w:numId="20">
    <w:abstractNumId w:val="16"/>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
  </w:num>
  <w:num w:numId="23">
    <w:abstractNumId w:val="23"/>
  </w:num>
  <w:num w:numId="24">
    <w:abstractNumId w:val="1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41"/>
    <w:rsid w:val="0000222F"/>
    <w:rsid w:val="000049C6"/>
    <w:rsid w:val="00006603"/>
    <w:rsid w:val="000110ED"/>
    <w:rsid w:val="00011757"/>
    <w:rsid w:val="0001235D"/>
    <w:rsid w:val="00017664"/>
    <w:rsid w:val="00020D70"/>
    <w:rsid w:val="00022599"/>
    <w:rsid w:val="00030C3C"/>
    <w:rsid w:val="00032227"/>
    <w:rsid w:val="000351E3"/>
    <w:rsid w:val="00041B8A"/>
    <w:rsid w:val="0004401F"/>
    <w:rsid w:val="0004438F"/>
    <w:rsid w:val="00050094"/>
    <w:rsid w:val="00050F21"/>
    <w:rsid w:val="0006090D"/>
    <w:rsid w:val="0006140A"/>
    <w:rsid w:val="000641B7"/>
    <w:rsid w:val="0006420C"/>
    <w:rsid w:val="000665C1"/>
    <w:rsid w:val="0007008F"/>
    <w:rsid w:val="000764FD"/>
    <w:rsid w:val="000821B4"/>
    <w:rsid w:val="000853B7"/>
    <w:rsid w:val="00086E03"/>
    <w:rsid w:val="00086EE4"/>
    <w:rsid w:val="000917D8"/>
    <w:rsid w:val="0009247F"/>
    <w:rsid w:val="00092DCF"/>
    <w:rsid w:val="000968EC"/>
    <w:rsid w:val="000A0E09"/>
    <w:rsid w:val="000A3247"/>
    <w:rsid w:val="000A441A"/>
    <w:rsid w:val="000B0D8E"/>
    <w:rsid w:val="000B157F"/>
    <w:rsid w:val="000B2D12"/>
    <w:rsid w:val="000B3927"/>
    <w:rsid w:val="000B41C1"/>
    <w:rsid w:val="000B7ECC"/>
    <w:rsid w:val="000C1AF7"/>
    <w:rsid w:val="000C1EED"/>
    <w:rsid w:val="000C2CA3"/>
    <w:rsid w:val="000C330A"/>
    <w:rsid w:val="000C35CD"/>
    <w:rsid w:val="000C4B8C"/>
    <w:rsid w:val="000C5E1C"/>
    <w:rsid w:val="000C5E54"/>
    <w:rsid w:val="000C62B5"/>
    <w:rsid w:val="000D2203"/>
    <w:rsid w:val="000D2BB4"/>
    <w:rsid w:val="000D498E"/>
    <w:rsid w:val="000D648D"/>
    <w:rsid w:val="000E0F96"/>
    <w:rsid w:val="000E199A"/>
    <w:rsid w:val="000E3FEF"/>
    <w:rsid w:val="000F5D63"/>
    <w:rsid w:val="000F7280"/>
    <w:rsid w:val="000F7FAC"/>
    <w:rsid w:val="00102069"/>
    <w:rsid w:val="00103E50"/>
    <w:rsid w:val="001048D8"/>
    <w:rsid w:val="00105FA5"/>
    <w:rsid w:val="001074B4"/>
    <w:rsid w:val="00107D56"/>
    <w:rsid w:val="00115262"/>
    <w:rsid w:val="001153F9"/>
    <w:rsid w:val="00115A8E"/>
    <w:rsid w:val="00120A74"/>
    <w:rsid w:val="0012684B"/>
    <w:rsid w:val="001320B0"/>
    <w:rsid w:val="00132C79"/>
    <w:rsid w:val="00146735"/>
    <w:rsid w:val="00146F23"/>
    <w:rsid w:val="001473B5"/>
    <w:rsid w:val="00150112"/>
    <w:rsid w:val="001508DD"/>
    <w:rsid w:val="001509F4"/>
    <w:rsid w:val="00150B5C"/>
    <w:rsid w:val="001522B9"/>
    <w:rsid w:val="00153C1B"/>
    <w:rsid w:val="00162DA6"/>
    <w:rsid w:val="001675A0"/>
    <w:rsid w:val="00170210"/>
    <w:rsid w:val="00172B45"/>
    <w:rsid w:val="00172C43"/>
    <w:rsid w:val="001733B7"/>
    <w:rsid w:val="001734C6"/>
    <w:rsid w:val="00173A80"/>
    <w:rsid w:val="00180020"/>
    <w:rsid w:val="0018067C"/>
    <w:rsid w:val="00182403"/>
    <w:rsid w:val="00183CFE"/>
    <w:rsid w:val="00185F48"/>
    <w:rsid w:val="001860E0"/>
    <w:rsid w:val="001867C7"/>
    <w:rsid w:val="00191913"/>
    <w:rsid w:val="00196880"/>
    <w:rsid w:val="00196905"/>
    <w:rsid w:val="00197429"/>
    <w:rsid w:val="001A51D5"/>
    <w:rsid w:val="001A6BA4"/>
    <w:rsid w:val="001B587A"/>
    <w:rsid w:val="001C39BB"/>
    <w:rsid w:val="001C5CF6"/>
    <w:rsid w:val="001C5D9F"/>
    <w:rsid w:val="001D153F"/>
    <w:rsid w:val="001D2EAC"/>
    <w:rsid w:val="001D555F"/>
    <w:rsid w:val="001E10D0"/>
    <w:rsid w:val="001E1A97"/>
    <w:rsid w:val="001E65FB"/>
    <w:rsid w:val="001F2C3E"/>
    <w:rsid w:val="001F3628"/>
    <w:rsid w:val="001F59C7"/>
    <w:rsid w:val="00200CFD"/>
    <w:rsid w:val="00203AA2"/>
    <w:rsid w:val="002046E5"/>
    <w:rsid w:val="00204885"/>
    <w:rsid w:val="00204906"/>
    <w:rsid w:val="002051EA"/>
    <w:rsid w:val="0020583D"/>
    <w:rsid w:val="00206645"/>
    <w:rsid w:val="002108DF"/>
    <w:rsid w:val="00211835"/>
    <w:rsid w:val="00214059"/>
    <w:rsid w:val="002150D7"/>
    <w:rsid w:val="002153B1"/>
    <w:rsid w:val="0021558D"/>
    <w:rsid w:val="002239BD"/>
    <w:rsid w:val="00230E58"/>
    <w:rsid w:val="00232FA3"/>
    <w:rsid w:val="002349F6"/>
    <w:rsid w:val="00242A2F"/>
    <w:rsid w:val="00242C00"/>
    <w:rsid w:val="00243041"/>
    <w:rsid w:val="00244EB0"/>
    <w:rsid w:val="002455D0"/>
    <w:rsid w:val="00245CC1"/>
    <w:rsid w:val="002467B9"/>
    <w:rsid w:val="00247A16"/>
    <w:rsid w:val="002515E5"/>
    <w:rsid w:val="00251CEB"/>
    <w:rsid w:val="0025333A"/>
    <w:rsid w:val="00254AE6"/>
    <w:rsid w:val="00261869"/>
    <w:rsid w:val="002622AC"/>
    <w:rsid w:val="002633E6"/>
    <w:rsid w:val="0027010A"/>
    <w:rsid w:val="0027263E"/>
    <w:rsid w:val="00277CFC"/>
    <w:rsid w:val="00282788"/>
    <w:rsid w:val="00283741"/>
    <w:rsid w:val="00285A55"/>
    <w:rsid w:val="0028638A"/>
    <w:rsid w:val="002926A4"/>
    <w:rsid w:val="0029286D"/>
    <w:rsid w:val="00295BB7"/>
    <w:rsid w:val="002A2ED2"/>
    <w:rsid w:val="002A4C95"/>
    <w:rsid w:val="002A4D79"/>
    <w:rsid w:val="002A608A"/>
    <w:rsid w:val="002A76E9"/>
    <w:rsid w:val="002B03EE"/>
    <w:rsid w:val="002B0F98"/>
    <w:rsid w:val="002B290F"/>
    <w:rsid w:val="002B67FD"/>
    <w:rsid w:val="002C125B"/>
    <w:rsid w:val="002C25D0"/>
    <w:rsid w:val="002C678F"/>
    <w:rsid w:val="002C724C"/>
    <w:rsid w:val="002D3468"/>
    <w:rsid w:val="002D475B"/>
    <w:rsid w:val="002D47A2"/>
    <w:rsid w:val="002D59B6"/>
    <w:rsid w:val="002D5A4B"/>
    <w:rsid w:val="002E1898"/>
    <w:rsid w:val="002E39A0"/>
    <w:rsid w:val="002E5185"/>
    <w:rsid w:val="002E6F92"/>
    <w:rsid w:val="002F03C3"/>
    <w:rsid w:val="002F2FB5"/>
    <w:rsid w:val="002F5BD1"/>
    <w:rsid w:val="00303237"/>
    <w:rsid w:val="00303648"/>
    <w:rsid w:val="0030380E"/>
    <w:rsid w:val="0030521B"/>
    <w:rsid w:val="0031308B"/>
    <w:rsid w:val="003151D5"/>
    <w:rsid w:val="00324533"/>
    <w:rsid w:val="00324DF4"/>
    <w:rsid w:val="00325366"/>
    <w:rsid w:val="0033037E"/>
    <w:rsid w:val="00330F8D"/>
    <w:rsid w:val="00333465"/>
    <w:rsid w:val="00334553"/>
    <w:rsid w:val="00334CD0"/>
    <w:rsid w:val="0033747D"/>
    <w:rsid w:val="003379E8"/>
    <w:rsid w:val="00344CAE"/>
    <w:rsid w:val="003464B4"/>
    <w:rsid w:val="003517FB"/>
    <w:rsid w:val="00356A9C"/>
    <w:rsid w:val="003650FA"/>
    <w:rsid w:val="00365262"/>
    <w:rsid w:val="00370CEF"/>
    <w:rsid w:val="003803F0"/>
    <w:rsid w:val="00382308"/>
    <w:rsid w:val="00384091"/>
    <w:rsid w:val="0038695F"/>
    <w:rsid w:val="00386FB6"/>
    <w:rsid w:val="00390714"/>
    <w:rsid w:val="00391A38"/>
    <w:rsid w:val="003949FC"/>
    <w:rsid w:val="00395718"/>
    <w:rsid w:val="003A03D0"/>
    <w:rsid w:val="003A2075"/>
    <w:rsid w:val="003A5777"/>
    <w:rsid w:val="003B4C79"/>
    <w:rsid w:val="003C0883"/>
    <w:rsid w:val="003C3005"/>
    <w:rsid w:val="003C310F"/>
    <w:rsid w:val="003C42CA"/>
    <w:rsid w:val="003C5101"/>
    <w:rsid w:val="003C6192"/>
    <w:rsid w:val="003C6F42"/>
    <w:rsid w:val="003C766B"/>
    <w:rsid w:val="003C7C3B"/>
    <w:rsid w:val="003C7F1F"/>
    <w:rsid w:val="003D184E"/>
    <w:rsid w:val="003D1C24"/>
    <w:rsid w:val="003D27B2"/>
    <w:rsid w:val="003D535E"/>
    <w:rsid w:val="003E5D2F"/>
    <w:rsid w:val="003E74EB"/>
    <w:rsid w:val="003F2FCA"/>
    <w:rsid w:val="003F3353"/>
    <w:rsid w:val="003F6370"/>
    <w:rsid w:val="003F7CF9"/>
    <w:rsid w:val="003F7DB6"/>
    <w:rsid w:val="00400BB6"/>
    <w:rsid w:val="00401214"/>
    <w:rsid w:val="00401556"/>
    <w:rsid w:val="004021AF"/>
    <w:rsid w:val="0040339A"/>
    <w:rsid w:val="004079E2"/>
    <w:rsid w:val="00407B1F"/>
    <w:rsid w:val="00411C0F"/>
    <w:rsid w:val="004126E3"/>
    <w:rsid w:val="004144D1"/>
    <w:rsid w:val="00414589"/>
    <w:rsid w:val="00422835"/>
    <w:rsid w:val="00422FB2"/>
    <w:rsid w:val="00426343"/>
    <w:rsid w:val="00426BE7"/>
    <w:rsid w:val="00431600"/>
    <w:rsid w:val="0043547B"/>
    <w:rsid w:val="00435EA8"/>
    <w:rsid w:val="00440BAD"/>
    <w:rsid w:val="00441755"/>
    <w:rsid w:val="004427B5"/>
    <w:rsid w:val="0045176B"/>
    <w:rsid w:val="00453E80"/>
    <w:rsid w:val="00457317"/>
    <w:rsid w:val="00457893"/>
    <w:rsid w:val="004601AB"/>
    <w:rsid w:val="0046109B"/>
    <w:rsid w:val="0046364E"/>
    <w:rsid w:val="004660E1"/>
    <w:rsid w:val="0046676D"/>
    <w:rsid w:val="0046699A"/>
    <w:rsid w:val="004800B2"/>
    <w:rsid w:val="00482849"/>
    <w:rsid w:val="00483242"/>
    <w:rsid w:val="00485D9C"/>
    <w:rsid w:val="004A67CA"/>
    <w:rsid w:val="004A706B"/>
    <w:rsid w:val="004B1304"/>
    <w:rsid w:val="004B1ECE"/>
    <w:rsid w:val="004B213F"/>
    <w:rsid w:val="004B3981"/>
    <w:rsid w:val="004B581A"/>
    <w:rsid w:val="004B7992"/>
    <w:rsid w:val="004B79C0"/>
    <w:rsid w:val="004C0F76"/>
    <w:rsid w:val="004C1215"/>
    <w:rsid w:val="004C4FA2"/>
    <w:rsid w:val="004C5DCA"/>
    <w:rsid w:val="004D0589"/>
    <w:rsid w:val="004D60CB"/>
    <w:rsid w:val="004D67E0"/>
    <w:rsid w:val="004E1E09"/>
    <w:rsid w:val="004E2225"/>
    <w:rsid w:val="004E24F3"/>
    <w:rsid w:val="004E34EE"/>
    <w:rsid w:val="004E4F02"/>
    <w:rsid w:val="004E6CD9"/>
    <w:rsid w:val="004E6DF5"/>
    <w:rsid w:val="004F0846"/>
    <w:rsid w:val="00501E3E"/>
    <w:rsid w:val="00502C71"/>
    <w:rsid w:val="00507D4A"/>
    <w:rsid w:val="00511EC4"/>
    <w:rsid w:val="0051585F"/>
    <w:rsid w:val="00517F21"/>
    <w:rsid w:val="00521921"/>
    <w:rsid w:val="00521D85"/>
    <w:rsid w:val="0052732F"/>
    <w:rsid w:val="00531E46"/>
    <w:rsid w:val="00531EE7"/>
    <w:rsid w:val="005326F7"/>
    <w:rsid w:val="00532A38"/>
    <w:rsid w:val="00537769"/>
    <w:rsid w:val="00540AC6"/>
    <w:rsid w:val="005438AF"/>
    <w:rsid w:val="00545932"/>
    <w:rsid w:val="0054754F"/>
    <w:rsid w:val="005523A2"/>
    <w:rsid w:val="0055744B"/>
    <w:rsid w:val="00557502"/>
    <w:rsid w:val="00557EFA"/>
    <w:rsid w:val="00560DF5"/>
    <w:rsid w:val="00561E2F"/>
    <w:rsid w:val="00570465"/>
    <w:rsid w:val="00574A13"/>
    <w:rsid w:val="00584F95"/>
    <w:rsid w:val="005862E3"/>
    <w:rsid w:val="0059113D"/>
    <w:rsid w:val="005947A2"/>
    <w:rsid w:val="0059624F"/>
    <w:rsid w:val="00597317"/>
    <w:rsid w:val="0059756A"/>
    <w:rsid w:val="005A019C"/>
    <w:rsid w:val="005A05BB"/>
    <w:rsid w:val="005A4036"/>
    <w:rsid w:val="005A451F"/>
    <w:rsid w:val="005A7182"/>
    <w:rsid w:val="005A7AF8"/>
    <w:rsid w:val="005C4351"/>
    <w:rsid w:val="005C791B"/>
    <w:rsid w:val="005D1DE0"/>
    <w:rsid w:val="005D2DB7"/>
    <w:rsid w:val="005D631C"/>
    <w:rsid w:val="005E1C43"/>
    <w:rsid w:val="005E4583"/>
    <w:rsid w:val="005E6C20"/>
    <w:rsid w:val="005E76E4"/>
    <w:rsid w:val="005F4926"/>
    <w:rsid w:val="005F6C0E"/>
    <w:rsid w:val="005F7811"/>
    <w:rsid w:val="005F7E72"/>
    <w:rsid w:val="00605773"/>
    <w:rsid w:val="00606A53"/>
    <w:rsid w:val="00611CEF"/>
    <w:rsid w:val="006123E5"/>
    <w:rsid w:val="00614292"/>
    <w:rsid w:val="0061527C"/>
    <w:rsid w:val="00620C00"/>
    <w:rsid w:val="00622FB3"/>
    <w:rsid w:val="00626078"/>
    <w:rsid w:val="006279DB"/>
    <w:rsid w:val="00627E09"/>
    <w:rsid w:val="0063539C"/>
    <w:rsid w:val="006361BB"/>
    <w:rsid w:val="00636FA2"/>
    <w:rsid w:val="00642C1B"/>
    <w:rsid w:val="00643286"/>
    <w:rsid w:val="00645759"/>
    <w:rsid w:val="00646D87"/>
    <w:rsid w:val="00650E95"/>
    <w:rsid w:val="0065175D"/>
    <w:rsid w:val="00653211"/>
    <w:rsid w:val="00655134"/>
    <w:rsid w:val="00660E41"/>
    <w:rsid w:val="00661EC8"/>
    <w:rsid w:val="006623E4"/>
    <w:rsid w:val="0066527B"/>
    <w:rsid w:val="00666F35"/>
    <w:rsid w:val="00667701"/>
    <w:rsid w:val="00667AB6"/>
    <w:rsid w:val="00672D0D"/>
    <w:rsid w:val="0067456C"/>
    <w:rsid w:val="00674798"/>
    <w:rsid w:val="00676065"/>
    <w:rsid w:val="00684530"/>
    <w:rsid w:val="0068458A"/>
    <w:rsid w:val="0068589B"/>
    <w:rsid w:val="00693037"/>
    <w:rsid w:val="006935C0"/>
    <w:rsid w:val="00697484"/>
    <w:rsid w:val="006A2CF7"/>
    <w:rsid w:val="006A3182"/>
    <w:rsid w:val="006A4173"/>
    <w:rsid w:val="006A7B72"/>
    <w:rsid w:val="006B03C0"/>
    <w:rsid w:val="006B474D"/>
    <w:rsid w:val="006B47C2"/>
    <w:rsid w:val="006B51EE"/>
    <w:rsid w:val="006B5BEA"/>
    <w:rsid w:val="006C46F1"/>
    <w:rsid w:val="006C794E"/>
    <w:rsid w:val="006C7A91"/>
    <w:rsid w:val="006D0CA9"/>
    <w:rsid w:val="006D3F82"/>
    <w:rsid w:val="006D4C6E"/>
    <w:rsid w:val="006D7C16"/>
    <w:rsid w:val="006E123B"/>
    <w:rsid w:val="006E2B2E"/>
    <w:rsid w:val="006E4B78"/>
    <w:rsid w:val="006E60A2"/>
    <w:rsid w:val="006E73DB"/>
    <w:rsid w:val="006F031D"/>
    <w:rsid w:val="006F522D"/>
    <w:rsid w:val="006F5B45"/>
    <w:rsid w:val="006F6214"/>
    <w:rsid w:val="007000E0"/>
    <w:rsid w:val="00701870"/>
    <w:rsid w:val="00701B07"/>
    <w:rsid w:val="00702A43"/>
    <w:rsid w:val="007036A0"/>
    <w:rsid w:val="00704CE2"/>
    <w:rsid w:val="00707182"/>
    <w:rsid w:val="0071233D"/>
    <w:rsid w:val="00712B5C"/>
    <w:rsid w:val="00712BB8"/>
    <w:rsid w:val="00720C1A"/>
    <w:rsid w:val="007215B5"/>
    <w:rsid w:val="00721F52"/>
    <w:rsid w:val="00725D6D"/>
    <w:rsid w:val="00726B26"/>
    <w:rsid w:val="0073183F"/>
    <w:rsid w:val="00731E0D"/>
    <w:rsid w:val="007340F2"/>
    <w:rsid w:val="007421C0"/>
    <w:rsid w:val="0074220B"/>
    <w:rsid w:val="007422FB"/>
    <w:rsid w:val="007431E5"/>
    <w:rsid w:val="00744E28"/>
    <w:rsid w:val="00745B5C"/>
    <w:rsid w:val="00745BB4"/>
    <w:rsid w:val="00752476"/>
    <w:rsid w:val="00753C69"/>
    <w:rsid w:val="00754641"/>
    <w:rsid w:val="007546CC"/>
    <w:rsid w:val="00754C5C"/>
    <w:rsid w:val="007554E7"/>
    <w:rsid w:val="00762710"/>
    <w:rsid w:val="00762781"/>
    <w:rsid w:val="007638B3"/>
    <w:rsid w:val="0076571E"/>
    <w:rsid w:val="0076783B"/>
    <w:rsid w:val="00771ECE"/>
    <w:rsid w:val="0077352F"/>
    <w:rsid w:val="007774D3"/>
    <w:rsid w:val="0077784C"/>
    <w:rsid w:val="00780376"/>
    <w:rsid w:val="00782FD4"/>
    <w:rsid w:val="007849F6"/>
    <w:rsid w:val="00786952"/>
    <w:rsid w:val="00786A55"/>
    <w:rsid w:val="007870C0"/>
    <w:rsid w:val="00793695"/>
    <w:rsid w:val="007960D7"/>
    <w:rsid w:val="007A079F"/>
    <w:rsid w:val="007A3247"/>
    <w:rsid w:val="007B1BB1"/>
    <w:rsid w:val="007B264C"/>
    <w:rsid w:val="007B4977"/>
    <w:rsid w:val="007B6F20"/>
    <w:rsid w:val="007C0AEA"/>
    <w:rsid w:val="007C362D"/>
    <w:rsid w:val="007C5D3E"/>
    <w:rsid w:val="007D1CFE"/>
    <w:rsid w:val="007E0924"/>
    <w:rsid w:val="007E10CB"/>
    <w:rsid w:val="007E1286"/>
    <w:rsid w:val="007E207B"/>
    <w:rsid w:val="007E56F6"/>
    <w:rsid w:val="007E7B36"/>
    <w:rsid w:val="007F52B4"/>
    <w:rsid w:val="007F721A"/>
    <w:rsid w:val="00803F4D"/>
    <w:rsid w:val="0080413E"/>
    <w:rsid w:val="008077E9"/>
    <w:rsid w:val="00807E79"/>
    <w:rsid w:val="0081103F"/>
    <w:rsid w:val="00815F8C"/>
    <w:rsid w:val="008235D2"/>
    <w:rsid w:val="00824130"/>
    <w:rsid w:val="00827B64"/>
    <w:rsid w:val="00830325"/>
    <w:rsid w:val="00830895"/>
    <w:rsid w:val="0083426A"/>
    <w:rsid w:val="00845468"/>
    <w:rsid w:val="0085098E"/>
    <w:rsid w:val="0085254A"/>
    <w:rsid w:val="00855A03"/>
    <w:rsid w:val="0085670C"/>
    <w:rsid w:val="00864996"/>
    <w:rsid w:val="00865C05"/>
    <w:rsid w:val="008669FE"/>
    <w:rsid w:val="00870576"/>
    <w:rsid w:val="00870EB7"/>
    <w:rsid w:val="0087282E"/>
    <w:rsid w:val="0088407B"/>
    <w:rsid w:val="00892040"/>
    <w:rsid w:val="00897CBE"/>
    <w:rsid w:val="008A1604"/>
    <w:rsid w:val="008A24E3"/>
    <w:rsid w:val="008A2BEF"/>
    <w:rsid w:val="008A2D9E"/>
    <w:rsid w:val="008A58D3"/>
    <w:rsid w:val="008A6C2F"/>
    <w:rsid w:val="008B03FF"/>
    <w:rsid w:val="008B1923"/>
    <w:rsid w:val="008B2153"/>
    <w:rsid w:val="008B29D6"/>
    <w:rsid w:val="008B5655"/>
    <w:rsid w:val="008C3886"/>
    <w:rsid w:val="008C45BD"/>
    <w:rsid w:val="008C48D7"/>
    <w:rsid w:val="008C517A"/>
    <w:rsid w:val="008C60F5"/>
    <w:rsid w:val="008D2205"/>
    <w:rsid w:val="008D579D"/>
    <w:rsid w:val="008E31E7"/>
    <w:rsid w:val="008E489C"/>
    <w:rsid w:val="008E697E"/>
    <w:rsid w:val="008E6A05"/>
    <w:rsid w:val="008E7221"/>
    <w:rsid w:val="009011F8"/>
    <w:rsid w:val="00904784"/>
    <w:rsid w:val="00904C36"/>
    <w:rsid w:val="009073D3"/>
    <w:rsid w:val="0091028C"/>
    <w:rsid w:val="009106BB"/>
    <w:rsid w:val="00914D0C"/>
    <w:rsid w:val="00914DFF"/>
    <w:rsid w:val="00923933"/>
    <w:rsid w:val="00923B49"/>
    <w:rsid w:val="009243C6"/>
    <w:rsid w:val="00932F01"/>
    <w:rsid w:val="00933783"/>
    <w:rsid w:val="00934B32"/>
    <w:rsid w:val="009352E2"/>
    <w:rsid w:val="00937D22"/>
    <w:rsid w:val="0095099B"/>
    <w:rsid w:val="00953172"/>
    <w:rsid w:val="00956CD9"/>
    <w:rsid w:val="009628FA"/>
    <w:rsid w:val="00965FA7"/>
    <w:rsid w:val="00967478"/>
    <w:rsid w:val="009706D1"/>
    <w:rsid w:val="0097277F"/>
    <w:rsid w:val="0097384A"/>
    <w:rsid w:val="009748E3"/>
    <w:rsid w:val="0097584C"/>
    <w:rsid w:val="00976BF7"/>
    <w:rsid w:val="00980C74"/>
    <w:rsid w:val="00984F5C"/>
    <w:rsid w:val="00985A83"/>
    <w:rsid w:val="00986DB3"/>
    <w:rsid w:val="00987A54"/>
    <w:rsid w:val="0099208B"/>
    <w:rsid w:val="00996892"/>
    <w:rsid w:val="009A018D"/>
    <w:rsid w:val="009A02BC"/>
    <w:rsid w:val="009A7A53"/>
    <w:rsid w:val="009B1F4E"/>
    <w:rsid w:val="009B4C11"/>
    <w:rsid w:val="009C06BE"/>
    <w:rsid w:val="009C0C80"/>
    <w:rsid w:val="009C18FE"/>
    <w:rsid w:val="009C199D"/>
    <w:rsid w:val="009C2E56"/>
    <w:rsid w:val="009C3FD8"/>
    <w:rsid w:val="009D36A8"/>
    <w:rsid w:val="009D63DA"/>
    <w:rsid w:val="009E0091"/>
    <w:rsid w:val="009E5A41"/>
    <w:rsid w:val="009F4DF8"/>
    <w:rsid w:val="00A0090E"/>
    <w:rsid w:val="00A038FD"/>
    <w:rsid w:val="00A05A14"/>
    <w:rsid w:val="00A07868"/>
    <w:rsid w:val="00A1262F"/>
    <w:rsid w:val="00A144BE"/>
    <w:rsid w:val="00A15BDB"/>
    <w:rsid w:val="00A17A2A"/>
    <w:rsid w:val="00A20F5C"/>
    <w:rsid w:val="00A21EF9"/>
    <w:rsid w:val="00A243E6"/>
    <w:rsid w:val="00A246E0"/>
    <w:rsid w:val="00A247AA"/>
    <w:rsid w:val="00A265F0"/>
    <w:rsid w:val="00A37219"/>
    <w:rsid w:val="00A4108D"/>
    <w:rsid w:val="00A50EBC"/>
    <w:rsid w:val="00A53A40"/>
    <w:rsid w:val="00A549F3"/>
    <w:rsid w:val="00A55FB1"/>
    <w:rsid w:val="00A56A33"/>
    <w:rsid w:val="00A57759"/>
    <w:rsid w:val="00A608CA"/>
    <w:rsid w:val="00A60C67"/>
    <w:rsid w:val="00A625E0"/>
    <w:rsid w:val="00A63079"/>
    <w:rsid w:val="00A646E2"/>
    <w:rsid w:val="00A6609D"/>
    <w:rsid w:val="00A6671D"/>
    <w:rsid w:val="00A71548"/>
    <w:rsid w:val="00A73661"/>
    <w:rsid w:val="00A76FDB"/>
    <w:rsid w:val="00A81C08"/>
    <w:rsid w:val="00A830C1"/>
    <w:rsid w:val="00A8688A"/>
    <w:rsid w:val="00A86B04"/>
    <w:rsid w:val="00A87413"/>
    <w:rsid w:val="00A877F9"/>
    <w:rsid w:val="00A93D1C"/>
    <w:rsid w:val="00AA30A2"/>
    <w:rsid w:val="00AA72BE"/>
    <w:rsid w:val="00AA7DC0"/>
    <w:rsid w:val="00AB17A5"/>
    <w:rsid w:val="00AB281E"/>
    <w:rsid w:val="00AB4FCB"/>
    <w:rsid w:val="00AB715B"/>
    <w:rsid w:val="00AB7E85"/>
    <w:rsid w:val="00AC049E"/>
    <w:rsid w:val="00AC1772"/>
    <w:rsid w:val="00AC4966"/>
    <w:rsid w:val="00AC761F"/>
    <w:rsid w:val="00AE1873"/>
    <w:rsid w:val="00AE43D2"/>
    <w:rsid w:val="00AE5BC3"/>
    <w:rsid w:val="00AE77E7"/>
    <w:rsid w:val="00B01A34"/>
    <w:rsid w:val="00B025EE"/>
    <w:rsid w:val="00B03265"/>
    <w:rsid w:val="00B03BCC"/>
    <w:rsid w:val="00B04273"/>
    <w:rsid w:val="00B04E5A"/>
    <w:rsid w:val="00B05560"/>
    <w:rsid w:val="00B05988"/>
    <w:rsid w:val="00B13673"/>
    <w:rsid w:val="00B139C0"/>
    <w:rsid w:val="00B22863"/>
    <w:rsid w:val="00B23D41"/>
    <w:rsid w:val="00B24A28"/>
    <w:rsid w:val="00B27A75"/>
    <w:rsid w:val="00B27B66"/>
    <w:rsid w:val="00B30ADE"/>
    <w:rsid w:val="00B32849"/>
    <w:rsid w:val="00B42DF1"/>
    <w:rsid w:val="00B44CB9"/>
    <w:rsid w:val="00B51A24"/>
    <w:rsid w:val="00B5559F"/>
    <w:rsid w:val="00B55A23"/>
    <w:rsid w:val="00B55FAA"/>
    <w:rsid w:val="00B57C5C"/>
    <w:rsid w:val="00B57D6B"/>
    <w:rsid w:val="00B60176"/>
    <w:rsid w:val="00B6330C"/>
    <w:rsid w:val="00B66CE8"/>
    <w:rsid w:val="00B70287"/>
    <w:rsid w:val="00B71B77"/>
    <w:rsid w:val="00B73356"/>
    <w:rsid w:val="00B769AE"/>
    <w:rsid w:val="00B806A7"/>
    <w:rsid w:val="00B80796"/>
    <w:rsid w:val="00B81DC6"/>
    <w:rsid w:val="00B84836"/>
    <w:rsid w:val="00B85352"/>
    <w:rsid w:val="00B87932"/>
    <w:rsid w:val="00B87FB4"/>
    <w:rsid w:val="00B91EC4"/>
    <w:rsid w:val="00B946B7"/>
    <w:rsid w:val="00BA412D"/>
    <w:rsid w:val="00BA7051"/>
    <w:rsid w:val="00BB25C1"/>
    <w:rsid w:val="00BB39DA"/>
    <w:rsid w:val="00BB55C3"/>
    <w:rsid w:val="00BC3C6C"/>
    <w:rsid w:val="00BC7BA2"/>
    <w:rsid w:val="00BD1676"/>
    <w:rsid w:val="00BD2FA3"/>
    <w:rsid w:val="00BD3AAA"/>
    <w:rsid w:val="00BD79DF"/>
    <w:rsid w:val="00BE1849"/>
    <w:rsid w:val="00BE35A2"/>
    <w:rsid w:val="00BE4100"/>
    <w:rsid w:val="00BF12F4"/>
    <w:rsid w:val="00BF26B7"/>
    <w:rsid w:val="00BF3FAE"/>
    <w:rsid w:val="00BF74B3"/>
    <w:rsid w:val="00C10296"/>
    <w:rsid w:val="00C1058F"/>
    <w:rsid w:val="00C11993"/>
    <w:rsid w:val="00C12CA5"/>
    <w:rsid w:val="00C21CBA"/>
    <w:rsid w:val="00C317A6"/>
    <w:rsid w:val="00C31AF2"/>
    <w:rsid w:val="00C334A8"/>
    <w:rsid w:val="00C347E4"/>
    <w:rsid w:val="00C42119"/>
    <w:rsid w:val="00C42335"/>
    <w:rsid w:val="00C42A4F"/>
    <w:rsid w:val="00C51453"/>
    <w:rsid w:val="00C51A75"/>
    <w:rsid w:val="00C704EE"/>
    <w:rsid w:val="00C7052F"/>
    <w:rsid w:val="00C70A62"/>
    <w:rsid w:val="00C72A7D"/>
    <w:rsid w:val="00C72EBD"/>
    <w:rsid w:val="00C73EF1"/>
    <w:rsid w:val="00C745FA"/>
    <w:rsid w:val="00C7478A"/>
    <w:rsid w:val="00C81CF0"/>
    <w:rsid w:val="00C83C15"/>
    <w:rsid w:val="00C84307"/>
    <w:rsid w:val="00C858BC"/>
    <w:rsid w:val="00C879C8"/>
    <w:rsid w:val="00C90558"/>
    <w:rsid w:val="00C92A3F"/>
    <w:rsid w:val="00C94122"/>
    <w:rsid w:val="00C94A0E"/>
    <w:rsid w:val="00C96AFB"/>
    <w:rsid w:val="00C97955"/>
    <w:rsid w:val="00CA13A9"/>
    <w:rsid w:val="00CA16BD"/>
    <w:rsid w:val="00CA39AA"/>
    <w:rsid w:val="00CA45C7"/>
    <w:rsid w:val="00CA5452"/>
    <w:rsid w:val="00CA62EC"/>
    <w:rsid w:val="00CA645A"/>
    <w:rsid w:val="00CB2FB8"/>
    <w:rsid w:val="00CB538F"/>
    <w:rsid w:val="00CB5632"/>
    <w:rsid w:val="00CC059F"/>
    <w:rsid w:val="00CC0BEE"/>
    <w:rsid w:val="00CC3F70"/>
    <w:rsid w:val="00CD273B"/>
    <w:rsid w:val="00CD6BE5"/>
    <w:rsid w:val="00CE206D"/>
    <w:rsid w:val="00CF0B7F"/>
    <w:rsid w:val="00CF3E56"/>
    <w:rsid w:val="00CF5E58"/>
    <w:rsid w:val="00CF71F1"/>
    <w:rsid w:val="00D05353"/>
    <w:rsid w:val="00D05FDB"/>
    <w:rsid w:val="00D100CA"/>
    <w:rsid w:val="00D1180C"/>
    <w:rsid w:val="00D136A5"/>
    <w:rsid w:val="00D16ACF"/>
    <w:rsid w:val="00D20682"/>
    <w:rsid w:val="00D23227"/>
    <w:rsid w:val="00D23E8D"/>
    <w:rsid w:val="00D26A26"/>
    <w:rsid w:val="00D27E30"/>
    <w:rsid w:val="00D30814"/>
    <w:rsid w:val="00D3144C"/>
    <w:rsid w:val="00D413B3"/>
    <w:rsid w:val="00D449CA"/>
    <w:rsid w:val="00D46FB2"/>
    <w:rsid w:val="00D50EB9"/>
    <w:rsid w:val="00D51025"/>
    <w:rsid w:val="00D51F29"/>
    <w:rsid w:val="00D54957"/>
    <w:rsid w:val="00D60FDC"/>
    <w:rsid w:val="00D619D9"/>
    <w:rsid w:val="00D61AA4"/>
    <w:rsid w:val="00D653F7"/>
    <w:rsid w:val="00D66BB9"/>
    <w:rsid w:val="00D713B3"/>
    <w:rsid w:val="00D717DD"/>
    <w:rsid w:val="00D738CC"/>
    <w:rsid w:val="00D74854"/>
    <w:rsid w:val="00D807D7"/>
    <w:rsid w:val="00D8563A"/>
    <w:rsid w:val="00D86B22"/>
    <w:rsid w:val="00D87959"/>
    <w:rsid w:val="00D95101"/>
    <w:rsid w:val="00D95BB0"/>
    <w:rsid w:val="00D9663D"/>
    <w:rsid w:val="00D97224"/>
    <w:rsid w:val="00D97681"/>
    <w:rsid w:val="00DA14E7"/>
    <w:rsid w:val="00DA1763"/>
    <w:rsid w:val="00DA2F2B"/>
    <w:rsid w:val="00DA6A35"/>
    <w:rsid w:val="00DB1ED9"/>
    <w:rsid w:val="00DB21DA"/>
    <w:rsid w:val="00DC1CFD"/>
    <w:rsid w:val="00DC2317"/>
    <w:rsid w:val="00DC3CCB"/>
    <w:rsid w:val="00DC5B7D"/>
    <w:rsid w:val="00DD1B10"/>
    <w:rsid w:val="00DD1F31"/>
    <w:rsid w:val="00DD23F5"/>
    <w:rsid w:val="00DD277A"/>
    <w:rsid w:val="00DD36DD"/>
    <w:rsid w:val="00DD4238"/>
    <w:rsid w:val="00DD548D"/>
    <w:rsid w:val="00DE0E81"/>
    <w:rsid w:val="00DE109C"/>
    <w:rsid w:val="00DF5791"/>
    <w:rsid w:val="00E00521"/>
    <w:rsid w:val="00E037B2"/>
    <w:rsid w:val="00E0599A"/>
    <w:rsid w:val="00E10D89"/>
    <w:rsid w:val="00E13B9C"/>
    <w:rsid w:val="00E15E9B"/>
    <w:rsid w:val="00E17644"/>
    <w:rsid w:val="00E224F4"/>
    <w:rsid w:val="00E3276D"/>
    <w:rsid w:val="00E430A1"/>
    <w:rsid w:val="00E4472E"/>
    <w:rsid w:val="00E50396"/>
    <w:rsid w:val="00E511B0"/>
    <w:rsid w:val="00E53240"/>
    <w:rsid w:val="00E533E3"/>
    <w:rsid w:val="00E557B6"/>
    <w:rsid w:val="00E55E43"/>
    <w:rsid w:val="00E605B2"/>
    <w:rsid w:val="00E62881"/>
    <w:rsid w:val="00E62BFD"/>
    <w:rsid w:val="00E63D8D"/>
    <w:rsid w:val="00E65F00"/>
    <w:rsid w:val="00E67985"/>
    <w:rsid w:val="00E75748"/>
    <w:rsid w:val="00E76DC9"/>
    <w:rsid w:val="00E77490"/>
    <w:rsid w:val="00E841E7"/>
    <w:rsid w:val="00E84D9B"/>
    <w:rsid w:val="00E86C76"/>
    <w:rsid w:val="00E91A78"/>
    <w:rsid w:val="00E91FD2"/>
    <w:rsid w:val="00E93104"/>
    <w:rsid w:val="00EA08B4"/>
    <w:rsid w:val="00EA17F0"/>
    <w:rsid w:val="00EA30A6"/>
    <w:rsid w:val="00EA7F6B"/>
    <w:rsid w:val="00EB1CBD"/>
    <w:rsid w:val="00EB2439"/>
    <w:rsid w:val="00EB7676"/>
    <w:rsid w:val="00EC6297"/>
    <w:rsid w:val="00EC64B9"/>
    <w:rsid w:val="00EC77B3"/>
    <w:rsid w:val="00ED0454"/>
    <w:rsid w:val="00ED269C"/>
    <w:rsid w:val="00ED32B4"/>
    <w:rsid w:val="00ED7928"/>
    <w:rsid w:val="00EE1BE5"/>
    <w:rsid w:val="00EE7463"/>
    <w:rsid w:val="00F027AE"/>
    <w:rsid w:val="00F04122"/>
    <w:rsid w:val="00F0568D"/>
    <w:rsid w:val="00F05C7F"/>
    <w:rsid w:val="00F0733B"/>
    <w:rsid w:val="00F10B85"/>
    <w:rsid w:val="00F12CEE"/>
    <w:rsid w:val="00F14A7E"/>
    <w:rsid w:val="00F165A0"/>
    <w:rsid w:val="00F17AD5"/>
    <w:rsid w:val="00F21D7D"/>
    <w:rsid w:val="00F2620C"/>
    <w:rsid w:val="00F3117E"/>
    <w:rsid w:val="00F31C59"/>
    <w:rsid w:val="00F347A9"/>
    <w:rsid w:val="00F37258"/>
    <w:rsid w:val="00F376B2"/>
    <w:rsid w:val="00F4143B"/>
    <w:rsid w:val="00F4475E"/>
    <w:rsid w:val="00F459EB"/>
    <w:rsid w:val="00F52063"/>
    <w:rsid w:val="00F54D1C"/>
    <w:rsid w:val="00F55AEB"/>
    <w:rsid w:val="00F55D24"/>
    <w:rsid w:val="00F577C0"/>
    <w:rsid w:val="00F61022"/>
    <w:rsid w:val="00F6156E"/>
    <w:rsid w:val="00F731B7"/>
    <w:rsid w:val="00F74031"/>
    <w:rsid w:val="00F75A94"/>
    <w:rsid w:val="00F77DB4"/>
    <w:rsid w:val="00F80FCF"/>
    <w:rsid w:val="00F818DF"/>
    <w:rsid w:val="00F8481F"/>
    <w:rsid w:val="00F926B6"/>
    <w:rsid w:val="00F92F0A"/>
    <w:rsid w:val="00F94463"/>
    <w:rsid w:val="00F95DAF"/>
    <w:rsid w:val="00F97BC7"/>
    <w:rsid w:val="00FA3918"/>
    <w:rsid w:val="00FB0151"/>
    <w:rsid w:val="00FB01E4"/>
    <w:rsid w:val="00FB065B"/>
    <w:rsid w:val="00FC163C"/>
    <w:rsid w:val="00FC21B7"/>
    <w:rsid w:val="00FC3AE4"/>
    <w:rsid w:val="00FC6AF7"/>
    <w:rsid w:val="00FD145D"/>
    <w:rsid w:val="00FD189C"/>
    <w:rsid w:val="00FD1E77"/>
    <w:rsid w:val="00FD336C"/>
    <w:rsid w:val="00FD343B"/>
    <w:rsid w:val="00FD5CC0"/>
    <w:rsid w:val="00FD7B20"/>
    <w:rsid w:val="00FE4966"/>
    <w:rsid w:val="00FE6895"/>
    <w:rsid w:val="00FF17AA"/>
    <w:rsid w:val="00FF4505"/>
    <w:rsid w:val="00FF45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2441"/>
  <w15:docId w15:val="{ED11A667-088F-4631-B2F4-16F04E7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FF"/>
  </w:style>
  <w:style w:type="paragraph" w:styleId="Titre1">
    <w:name w:val="heading 1"/>
    <w:basedOn w:val="Normal"/>
    <w:next w:val="Normal"/>
    <w:link w:val="Titre1Car"/>
    <w:uiPriority w:val="9"/>
    <w:qFormat/>
    <w:rsid w:val="00064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41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4108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4108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803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6D1"/>
    <w:pPr>
      <w:ind w:left="720"/>
      <w:contextualSpacing/>
    </w:pPr>
  </w:style>
  <w:style w:type="paragraph" w:styleId="Textedebulles">
    <w:name w:val="Balloon Text"/>
    <w:basedOn w:val="Normal"/>
    <w:link w:val="TextedebullesCar"/>
    <w:uiPriority w:val="99"/>
    <w:semiHidden/>
    <w:unhideWhenUsed/>
    <w:rsid w:val="000641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1B7"/>
    <w:rPr>
      <w:rFonts w:ascii="Tahoma" w:hAnsi="Tahoma" w:cs="Tahoma"/>
      <w:sz w:val="16"/>
      <w:szCs w:val="16"/>
    </w:rPr>
  </w:style>
  <w:style w:type="paragraph" w:styleId="En-tte">
    <w:name w:val="header"/>
    <w:basedOn w:val="Normal"/>
    <w:link w:val="En-tteCar"/>
    <w:uiPriority w:val="99"/>
    <w:unhideWhenUsed/>
    <w:rsid w:val="000641B7"/>
    <w:pPr>
      <w:tabs>
        <w:tab w:val="center" w:pos="4320"/>
        <w:tab w:val="right" w:pos="8640"/>
      </w:tabs>
      <w:spacing w:after="0" w:line="240" w:lineRule="auto"/>
    </w:pPr>
  </w:style>
  <w:style w:type="character" w:customStyle="1" w:styleId="En-tteCar">
    <w:name w:val="En-tête Car"/>
    <w:basedOn w:val="Policepardfaut"/>
    <w:link w:val="En-tte"/>
    <w:uiPriority w:val="99"/>
    <w:rsid w:val="000641B7"/>
  </w:style>
  <w:style w:type="paragraph" w:styleId="Pieddepage">
    <w:name w:val="footer"/>
    <w:basedOn w:val="Normal"/>
    <w:link w:val="PieddepageCar"/>
    <w:uiPriority w:val="99"/>
    <w:unhideWhenUsed/>
    <w:rsid w:val="000641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41B7"/>
  </w:style>
  <w:style w:type="character" w:customStyle="1" w:styleId="Titre1Car">
    <w:name w:val="Titre 1 Car"/>
    <w:basedOn w:val="Policepardfaut"/>
    <w:link w:val="Titre1"/>
    <w:uiPriority w:val="9"/>
    <w:rsid w:val="000641B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641B7"/>
    <w:pPr>
      <w:outlineLvl w:val="9"/>
    </w:pPr>
    <w:rPr>
      <w:lang w:val="fr-FR"/>
    </w:rPr>
  </w:style>
  <w:style w:type="paragraph" w:styleId="TM1">
    <w:name w:val="toc 1"/>
    <w:basedOn w:val="Normal"/>
    <w:next w:val="Normal"/>
    <w:autoRedefine/>
    <w:uiPriority w:val="39"/>
    <w:unhideWhenUsed/>
    <w:rsid w:val="000641B7"/>
    <w:pPr>
      <w:spacing w:after="100"/>
    </w:pPr>
  </w:style>
  <w:style w:type="character" w:styleId="Lienhypertexte">
    <w:name w:val="Hyperlink"/>
    <w:basedOn w:val="Policepardfaut"/>
    <w:uiPriority w:val="99"/>
    <w:unhideWhenUsed/>
    <w:rsid w:val="000641B7"/>
    <w:rPr>
      <w:color w:val="0000FF" w:themeColor="hyperlink"/>
      <w:u w:val="single"/>
    </w:rPr>
  </w:style>
  <w:style w:type="character" w:customStyle="1" w:styleId="Titre2Car">
    <w:name w:val="Titre 2 Car"/>
    <w:basedOn w:val="Policepardfaut"/>
    <w:link w:val="Titre2"/>
    <w:uiPriority w:val="9"/>
    <w:rsid w:val="00A410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410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4108D"/>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rsid w:val="00A4108D"/>
    <w:pPr>
      <w:spacing w:after="0" w:line="240" w:lineRule="auto"/>
    </w:pPr>
    <w:rPr>
      <w:rFonts w:ascii="Arial" w:eastAsia="Times New Roman" w:hAnsi="Arial" w:cs="Times New Roman"/>
      <w:color w:val="000000"/>
      <w:sz w:val="20"/>
      <w:szCs w:val="20"/>
    </w:rPr>
  </w:style>
  <w:style w:type="character" w:customStyle="1" w:styleId="NotedebasdepageCar">
    <w:name w:val="Note de bas de page Car"/>
    <w:basedOn w:val="Policepardfaut"/>
    <w:link w:val="Notedebasdepage"/>
    <w:uiPriority w:val="99"/>
    <w:semiHidden/>
    <w:rsid w:val="00A4108D"/>
    <w:rPr>
      <w:rFonts w:ascii="Arial" w:eastAsia="Times New Roman" w:hAnsi="Arial" w:cs="Times New Roman"/>
      <w:color w:val="000000"/>
      <w:sz w:val="20"/>
      <w:szCs w:val="20"/>
      <w:lang w:eastAsia="fr-CA"/>
    </w:rPr>
  </w:style>
  <w:style w:type="character" w:styleId="Appelnotedebasdep">
    <w:name w:val="footnote reference"/>
    <w:uiPriority w:val="99"/>
    <w:rsid w:val="00A4108D"/>
    <w:rPr>
      <w:rFonts w:cs="Times New Roman"/>
      <w:vertAlign w:val="superscript"/>
    </w:rPr>
  </w:style>
  <w:style w:type="paragraph" w:styleId="Listepuces">
    <w:name w:val="List Bullet"/>
    <w:basedOn w:val="Normal"/>
    <w:uiPriority w:val="99"/>
    <w:rsid w:val="00A4108D"/>
    <w:pPr>
      <w:numPr>
        <w:numId w:val="8"/>
      </w:numPr>
      <w:tabs>
        <w:tab w:val="num" w:pos="360"/>
      </w:tabs>
      <w:spacing w:after="0" w:line="240" w:lineRule="auto"/>
      <w:ind w:left="360"/>
      <w:contextualSpacing/>
    </w:pPr>
    <w:rPr>
      <w:rFonts w:ascii="Arial" w:eastAsia="Calibri" w:hAnsi="Arial" w:cs="Times New Roman"/>
      <w:color w:val="000000"/>
      <w:sz w:val="24"/>
      <w:szCs w:val="24"/>
    </w:rPr>
  </w:style>
  <w:style w:type="paragraph" w:styleId="TM2">
    <w:name w:val="toc 2"/>
    <w:basedOn w:val="Normal"/>
    <w:next w:val="Normal"/>
    <w:autoRedefine/>
    <w:uiPriority w:val="39"/>
    <w:unhideWhenUsed/>
    <w:rsid w:val="0083426A"/>
    <w:pPr>
      <w:spacing w:after="100"/>
      <w:ind w:left="220"/>
    </w:pPr>
  </w:style>
  <w:style w:type="paragraph" w:styleId="TM3">
    <w:name w:val="toc 3"/>
    <w:basedOn w:val="Normal"/>
    <w:next w:val="Normal"/>
    <w:autoRedefine/>
    <w:uiPriority w:val="39"/>
    <w:unhideWhenUsed/>
    <w:rsid w:val="0083426A"/>
    <w:pPr>
      <w:spacing w:after="100"/>
      <w:ind w:left="440"/>
    </w:pPr>
  </w:style>
  <w:style w:type="paragraph" w:styleId="TM4">
    <w:name w:val="toc 4"/>
    <w:basedOn w:val="Normal"/>
    <w:next w:val="Normal"/>
    <w:autoRedefine/>
    <w:uiPriority w:val="39"/>
    <w:semiHidden/>
    <w:unhideWhenUsed/>
    <w:rsid w:val="0083426A"/>
    <w:pPr>
      <w:spacing w:after="100"/>
      <w:ind w:left="660"/>
    </w:pPr>
  </w:style>
  <w:style w:type="paragraph" w:styleId="Normalcentr">
    <w:name w:val="Block Text"/>
    <w:basedOn w:val="Normal"/>
    <w:uiPriority w:val="99"/>
    <w:semiHidden/>
    <w:rsid w:val="0083426A"/>
    <w:pPr>
      <w:spacing w:after="0" w:line="240" w:lineRule="auto"/>
      <w:ind w:left="1440" w:right="1440" w:firstLine="706"/>
      <w:jc w:val="both"/>
    </w:pPr>
    <w:rPr>
      <w:rFonts w:ascii="Arial" w:eastAsia="Times New Roman" w:hAnsi="Arial" w:cs="Times New Roman"/>
      <w:sz w:val="24"/>
      <w:szCs w:val="24"/>
      <w:lang w:eastAsia="fr-FR"/>
    </w:rPr>
  </w:style>
  <w:style w:type="paragraph" w:styleId="Sansinterligne">
    <w:name w:val="No Spacing"/>
    <w:uiPriority w:val="1"/>
    <w:qFormat/>
    <w:rsid w:val="0083426A"/>
    <w:pPr>
      <w:spacing w:after="0" w:line="240" w:lineRule="auto"/>
    </w:pPr>
    <w:rPr>
      <w:rFonts w:ascii="Calibri" w:eastAsia="Calibri" w:hAnsi="Calibri" w:cs="Times New Roman"/>
    </w:rPr>
  </w:style>
  <w:style w:type="character" w:styleId="Accentuation">
    <w:name w:val="Emphasis"/>
    <w:uiPriority w:val="20"/>
    <w:qFormat/>
    <w:rsid w:val="0083426A"/>
    <w:rPr>
      <w:i/>
      <w:iCs/>
    </w:rPr>
  </w:style>
  <w:style w:type="paragraph" w:styleId="Sous-titre">
    <w:name w:val="Subtitle"/>
    <w:basedOn w:val="Normal"/>
    <w:next w:val="Normal"/>
    <w:link w:val="Sous-titreCar"/>
    <w:uiPriority w:val="11"/>
    <w:qFormat/>
    <w:rsid w:val="00660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60E41"/>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uiPriority w:val="99"/>
    <w:semiHidden/>
    <w:unhideWhenUsed/>
    <w:rsid w:val="00803F4D"/>
    <w:rPr>
      <w:color w:val="800080" w:themeColor="followedHyperlink"/>
      <w:u w:val="single"/>
    </w:rPr>
  </w:style>
  <w:style w:type="character" w:styleId="Marquedecommentaire">
    <w:name w:val="annotation reference"/>
    <w:basedOn w:val="Policepardfaut"/>
    <w:uiPriority w:val="99"/>
    <w:semiHidden/>
    <w:unhideWhenUsed/>
    <w:rsid w:val="000821B4"/>
    <w:rPr>
      <w:sz w:val="16"/>
      <w:szCs w:val="16"/>
    </w:rPr>
  </w:style>
  <w:style w:type="paragraph" w:styleId="Commentaire">
    <w:name w:val="annotation text"/>
    <w:basedOn w:val="Normal"/>
    <w:link w:val="CommentaireCar"/>
    <w:uiPriority w:val="99"/>
    <w:semiHidden/>
    <w:unhideWhenUsed/>
    <w:rsid w:val="000821B4"/>
    <w:pPr>
      <w:spacing w:line="240" w:lineRule="auto"/>
    </w:pPr>
    <w:rPr>
      <w:sz w:val="20"/>
      <w:szCs w:val="20"/>
    </w:rPr>
  </w:style>
  <w:style w:type="character" w:customStyle="1" w:styleId="CommentaireCar">
    <w:name w:val="Commentaire Car"/>
    <w:basedOn w:val="Policepardfaut"/>
    <w:link w:val="Commentaire"/>
    <w:uiPriority w:val="99"/>
    <w:semiHidden/>
    <w:rsid w:val="000821B4"/>
    <w:rPr>
      <w:sz w:val="20"/>
      <w:szCs w:val="20"/>
    </w:rPr>
  </w:style>
  <w:style w:type="paragraph" w:styleId="Objetducommentaire">
    <w:name w:val="annotation subject"/>
    <w:basedOn w:val="Commentaire"/>
    <w:next w:val="Commentaire"/>
    <w:link w:val="ObjetducommentaireCar"/>
    <w:uiPriority w:val="99"/>
    <w:semiHidden/>
    <w:unhideWhenUsed/>
    <w:rsid w:val="000821B4"/>
    <w:rPr>
      <w:b/>
      <w:bCs/>
    </w:rPr>
  </w:style>
  <w:style w:type="character" w:customStyle="1" w:styleId="ObjetducommentaireCar">
    <w:name w:val="Objet du commentaire Car"/>
    <w:basedOn w:val="CommentaireCar"/>
    <w:link w:val="Objetducommentaire"/>
    <w:uiPriority w:val="99"/>
    <w:semiHidden/>
    <w:rsid w:val="000821B4"/>
    <w:rPr>
      <w:b/>
      <w:bCs/>
      <w:sz w:val="20"/>
      <w:szCs w:val="20"/>
    </w:rPr>
  </w:style>
  <w:style w:type="character" w:customStyle="1" w:styleId="Titre5Car">
    <w:name w:val="Titre 5 Car"/>
    <w:basedOn w:val="Policepardfaut"/>
    <w:link w:val="Titre5"/>
    <w:uiPriority w:val="9"/>
    <w:semiHidden/>
    <w:rsid w:val="00780376"/>
    <w:rPr>
      <w:rFonts w:asciiTheme="majorHAnsi" w:eastAsiaTheme="majorEastAsia" w:hAnsiTheme="majorHAnsi" w:cstheme="majorBidi"/>
      <w:color w:val="365F91" w:themeColor="accent1" w:themeShade="BF"/>
    </w:rPr>
  </w:style>
  <w:style w:type="character" w:customStyle="1" w:styleId="UnresolvedMention">
    <w:name w:val="Unresolved Mention"/>
    <w:basedOn w:val="Policepardfaut"/>
    <w:uiPriority w:val="99"/>
    <w:semiHidden/>
    <w:unhideWhenUsed/>
    <w:rsid w:val="00780376"/>
    <w:rPr>
      <w:color w:val="605E5C"/>
      <w:shd w:val="clear" w:color="auto" w:fill="E1DFDD"/>
    </w:rPr>
  </w:style>
  <w:style w:type="paragraph" w:styleId="NormalWeb">
    <w:name w:val="Normal (Web)"/>
    <w:basedOn w:val="Normal"/>
    <w:uiPriority w:val="99"/>
    <w:unhideWhenUsed/>
    <w:rsid w:val="008E7221"/>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77784C"/>
    <w:pPr>
      <w:spacing w:after="0" w:line="240" w:lineRule="auto"/>
    </w:pPr>
    <w:rPr>
      <w:sz w:val="20"/>
      <w:szCs w:val="20"/>
    </w:rPr>
  </w:style>
  <w:style w:type="character" w:customStyle="1" w:styleId="NotedefinCar">
    <w:name w:val="Note de fin Car"/>
    <w:basedOn w:val="Policepardfaut"/>
    <w:link w:val="Notedefin"/>
    <w:uiPriority w:val="99"/>
    <w:semiHidden/>
    <w:rsid w:val="0077784C"/>
    <w:rPr>
      <w:sz w:val="20"/>
      <w:szCs w:val="20"/>
    </w:rPr>
  </w:style>
  <w:style w:type="character" w:styleId="Appeldenotedefin">
    <w:name w:val="endnote reference"/>
    <w:basedOn w:val="Policepardfaut"/>
    <w:uiPriority w:val="99"/>
    <w:semiHidden/>
    <w:unhideWhenUsed/>
    <w:rsid w:val="0077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0886">
      <w:bodyDiv w:val="1"/>
      <w:marLeft w:val="0"/>
      <w:marRight w:val="0"/>
      <w:marTop w:val="0"/>
      <w:marBottom w:val="0"/>
      <w:divBdr>
        <w:top w:val="none" w:sz="0" w:space="0" w:color="auto"/>
        <w:left w:val="none" w:sz="0" w:space="0" w:color="auto"/>
        <w:bottom w:val="none" w:sz="0" w:space="0" w:color="auto"/>
        <w:right w:val="none" w:sz="0" w:space="0" w:color="auto"/>
      </w:divBdr>
    </w:div>
    <w:div w:id="375083750">
      <w:bodyDiv w:val="1"/>
      <w:marLeft w:val="0"/>
      <w:marRight w:val="0"/>
      <w:marTop w:val="0"/>
      <w:marBottom w:val="0"/>
      <w:divBdr>
        <w:top w:val="none" w:sz="0" w:space="0" w:color="auto"/>
        <w:left w:val="none" w:sz="0" w:space="0" w:color="auto"/>
        <w:bottom w:val="none" w:sz="0" w:space="0" w:color="auto"/>
        <w:right w:val="none" w:sz="0" w:space="0" w:color="auto"/>
      </w:divBdr>
    </w:div>
    <w:div w:id="380401881">
      <w:bodyDiv w:val="1"/>
      <w:marLeft w:val="0"/>
      <w:marRight w:val="0"/>
      <w:marTop w:val="0"/>
      <w:marBottom w:val="0"/>
      <w:divBdr>
        <w:top w:val="none" w:sz="0" w:space="0" w:color="auto"/>
        <w:left w:val="none" w:sz="0" w:space="0" w:color="auto"/>
        <w:bottom w:val="none" w:sz="0" w:space="0" w:color="auto"/>
        <w:right w:val="none" w:sz="0" w:space="0" w:color="auto"/>
      </w:divBdr>
    </w:div>
    <w:div w:id="470252034">
      <w:bodyDiv w:val="1"/>
      <w:marLeft w:val="0"/>
      <w:marRight w:val="0"/>
      <w:marTop w:val="0"/>
      <w:marBottom w:val="0"/>
      <w:divBdr>
        <w:top w:val="none" w:sz="0" w:space="0" w:color="auto"/>
        <w:left w:val="none" w:sz="0" w:space="0" w:color="auto"/>
        <w:bottom w:val="none" w:sz="0" w:space="0" w:color="auto"/>
        <w:right w:val="none" w:sz="0" w:space="0" w:color="auto"/>
      </w:divBdr>
    </w:div>
    <w:div w:id="489565005">
      <w:bodyDiv w:val="1"/>
      <w:marLeft w:val="0"/>
      <w:marRight w:val="0"/>
      <w:marTop w:val="0"/>
      <w:marBottom w:val="0"/>
      <w:divBdr>
        <w:top w:val="none" w:sz="0" w:space="0" w:color="auto"/>
        <w:left w:val="none" w:sz="0" w:space="0" w:color="auto"/>
        <w:bottom w:val="none" w:sz="0" w:space="0" w:color="auto"/>
        <w:right w:val="none" w:sz="0" w:space="0" w:color="auto"/>
      </w:divBdr>
    </w:div>
    <w:div w:id="740640808">
      <w:bodyDiv w:val="1"/>
      <w:marLeft w:val="0"/>
      <w:marRight w:val="0"/>
      <w:marTop w:val="0"/>
      <w:marBottom w:val="0"/>
      <w:divBdr>
        <w:top w:val="none" w:sz="0" w:space="0" w:color="auto"/>
        <w:left w:val="none" w:sz="0" w:space="0" w:color="auto"/>
        <w:bottom w:val="none" w:sz="0" w:space="0" w:color="auto"/>
        <w:right w:val="none" w:sz="0" w:space="0" w:color="auto"/>
      </w:divBdr>
    </w:div>
    <w:div w:id="786510132">
      <w:bodyDiv w:val="1"/>
      <w:marLeft w:val="0"/>
      <w:marRight w:val="0"/>
      <w:marTop w:val="0"/>
      <w:marBottom w:val="0"/>
      <w:divBdr>
        <w:top w:val="none" w:sz="0" w:space="0" w:color="auto"/>
        <w:left w:val="none" w:sz="0" w:space="0" w:color="auto"/>
        <w:bottom w:val="none" w:sz="0" w:space="0" w:color="auto"/>
        <w:right w:val="none" w:sz="0" w:space="0" w:color="auto"/>
      </w:divBdr>
    </w:div>
    <w:div w:id="953362934">
      <w:bodyDiv w:val="1"/>
      <w:marLeft w:val="0"/>
      <w:marRight w:val="0"/>
      <w:marTop w:val="0"/>
      <w:marBottom w:val="0"/>
      <w:divBdr>
        <w:top w:val="none" w:sz="0" w:space="0" w:color="auto"/>
        <w:left w:val="none" w:sz="0" w:space="0" w:color="auto"/>
        <w:bottom w:val="none" w:sz="0" w:space="0" w:color="auto"/>
        <w:right w:val="none" w:sz="0" w:space="0" w:color="auto"/>
      </w:divBdr>
    </w:div>
    <w:div w:id="976450182">
      <w:bodyDiv w:val="1"/>
      <w:marLeft w:val="0"/>
      <w:marRight w:val="0"/>
      <w:marTop w:val="0"/>
      <w:marBottom w:val="0"/>
      <w:divBdr>
        <w:top w:val="none" w:sz="0" w:space="0" w:color="auto"/>
        <w:left w:val="none" w:sz="0" w:space="0" w:color="auto"/>
        <w:bottom w:val="none" w:sz="0" w:space="0" w:color="auto"/>
        <w:right w:val="none" w:sz="0" w:space="0" w:color="auto"/>
      </w:divBdr>
    </w:div>
    <w:div w:id="1137524813">
      <w:bodyDiv w:val="1"/>
      <w:marLeft w:val="0"/>
      <w:marRight w:val="0"/>
      <w:marTop w:val="0"/>
      <w:marBottom w:val="0"/>
      <w:divBdr>
        <w:top w:val="none" w:sz="0" w:space="0" w:color="auto"/>
        <w:left w:val="none" w:sz="0" w:space="0" w:color="auto"/>
        <w:bottom w:val="none" w:sz="0" w:space="0" w:color="auto"/>
        <w:right w:val="none" w:sz="0" w:space="0" w:color="auto"/>
      </w:divBdr>
    </w:div>
    <w:div w:id="1733701021">
      <w:bodyDiv w:val="1"/>
      <w:marLeft w:val="0"/>
      <w:marRight w:val="0"/>
      <w:marTop w:val="0"/>
      <w:marBottom w:val="0"/>
      <w:divBdr>
        <w:top w:val="none" w:sz="0" w:space="0" w:color="auto"/>
        <w:left w:val="none" w:sz="0" w:space="0" w:color="auto"/>
        <w:bottom w:val="none" w:sz="0" w:space="0" w:color="auto"/>
        <w:right w:val="none" w:sz="0" w:space="0" w:color="auto"/>
      </w:divBdr>
      <w:divsChild>
        <w:div w:id="1875195180">
          <w:marLeft w:val="0"/>
          <w:marRight w:val="0"/>
          <w:marTop w:val="0"/>
          <w:marBottom w:val="0"/>
          <w:divBdr>
            <w:top w:val="none" w:sz="0" w:space="0" w:color="auto"/>
            <w:left w:val="none" w:sz="0" w:space="0" w:color="auto"/>
            <w:bottom w:val="none" w:sz="0" w:space="0" w:color="auto"/>
            <w:right w:val="none" w:sz="0" w:space="0" w:color="auto"/>
          </w:divBdr>
        </w:div>
      </w:divsChild>
    </w:div>
    <w:div w:id="2023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cophan.org/wp-content/uploads/2017/02/M%C3%A9moire-COPHAN-Cadre-de-r%C3%A9f%C3%A9rence-gouvernemental-participation-publiqu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ris-recherche.s3.amazonaws.com/uploads/publication/file/RQ-ACA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phan.org/wp-content/uploads/2016/02/2016-Avis_COPHAN-PL56_CLQ.pd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gagezvousaca.org/accueil/les-revendications/" TargetMode="External"/><Relationship Id="rId1" Type="http://schemas.openxmlformats.org/officeDocument/2006/relationships/hyperlink" Target="http://iris-recherche.s3.amazonaws.com/uploads/publication/file/RQ-ACA_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B9DF-0A87-4A72-A8BE-3F01B63D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4674</Words>
  <Characters>25708</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Desforges</dc:creator>
  <cp:lastModifiedBy>Camille Desforges</cp:lastModifiedBy>
  <cp:revision>61</cp:revision>
  <cp:lastPrinted>2017-08-11T16:03:00Z</cp:lastPrinted>
  <dcterms:created xsi:type="dcterms:W3CDTF">2019-12-06T13:04:00Z</dcterms:created>
  <dcterms:modified xsi:type="dcterms:W3CDTF">2019-12-06T14:35:00Z</dcterms:modified>
</cp:coreProperties>
</file>