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7E" w:rsidRDefault="00CC607E">
      <w:bookmarkStart w:id="0" w:name="_GoBack"/>
      <w:r>
        <w:rPr>
          <w:noProof/>
          <w:lang w:eastAsia="fr-CA"/>
        </w:rPr>
        <w:drawing>
          <wp:anchor distT="0" distB="0" distL="114300" distR="114300" simplePos="0" relativeHeight="251658240" behindDoc="1" locked="0" layoutInCell="1" allowOverlap="1">
            <wp:simplePos x="0" y="0"/>
            <wp:positionH relativeFrom="column">
              <wp:posOffset>-428625</wp:posOffset>
            </wp:positionH>
            <wp:positionV relativeFrom="paragraph">
              <wp:posOffset>-152400</wp:posOffset>
            </wp:positionV>
            <wp:extent cx="5076820" cy="1450522"/>
            <wp:effectExtent l="0" t="0" r="0" b="0"/>
            <wp:wrapNone/>
            <wp:docPr id="2"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H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6820" cy="1450522"/>
                    </a:xfrm>
                    <a:prstGeom prst="rect">
                      <a:avLst/>
                    </a:prstGeom>
                  </pic:spPr>
                </pic:pic>
              </a:graphicData>
            </a:graphic>
            <wp14:sizeRelH relativeFrom="page">
              <wp14:pctWidth>0</wp14:pctWidth>
            </wp14:sizeRelH>
            <wp14:sizeRelV relativeFrom="page">
              <wp14:pctHeight>0</wp14:pctHeight>
            </wp14:sizeRelV>
          </wp:anchor>
        </w:drawing>
      </w:r>
      <w:bookmarkEnd w:id="0"/>
    </w:p>
    <w:p w:rsidR="00CC607E" w:rsidRDefault="00CC607E"/>
    <w:p w:rsidR="00CC607E" w:rsidRDefault="00CC607E"/>
    <w:p w:rsidR="00A15832" w:rsidRDefault="00A15832" w:rsidP="00C14350">
      <w:pPr>
        <w:pStyle w:val="Titre"/>
        <w:pBdr>
          <w:bottom w:val="single" w:sz="8" w:space="1" w:color="4F81BD" w:themeColor="accent1"/>
        </w:pBdr>
      </w:pPr>
    </w:p>
    <w:p w:rsidR="00A15832" w:rsidRDefault="00A15832" w:rsidP="00C14350">
      <w:pPr>
        <w:pStyle w:val="Titre"/>
        <w:pBdr>
          <w:bottom w:val="single" w:sz="8" w:space="1" w:color="4F81BD" w:themeColor="accent1"/>
        </w:pBdr>
      </w:pPr>
    </w:p>
    <w:p w:rsidR="00A15832" w:rsidRDefault="00A15832" w:rsidP="00C14350">
      <w:pPr>
        <w:pStyle w:val="Titre"/>
        <w:pBdr>
          <w:bottom w:val="single" w:sz="8" w:space="1" w:color="4F81BD" w:themeColor="accent1"/>
        </w:pBdr>
      </w:pPr>
    </w:p>
    <w:p w:rsidR="00A15832" w:rsidRDefault="00A15832" w:rsidP="00C14350">
      <w:pPr>
        <w:pStyle w:val="Titre"/>
        <w:pBdr>
          <w:bottom w:val="single" w:sz="8" w:space="1" w:color="4F81BD" w:themeColor="accent1"/>
        </w:pBdr>
      </w:pPr>
    </w:p>
    <w:p w:rsidR="00A15832" w:rsidRDefault="00A15832" w:rsidP="00C14350">
      <w:pPr>
        <w:pStyle w:val="Titre"/>
        <w:pBdr>
          <w:bottom w:val="single" w:sz="8" w:space="1" w:color="4F81BD" w:themeColor="accent1"/>
        </w:pBdr>
      </w:pPr>
    </w:p>
    <w:p w:rsidR="00A15832" w:rsidRDefault="00A15832" w:rsidP="00C14350">
      <w:pPr>
        <w:pStyle w:val="Titre"/>
        <w:pBdr>
          <w:bottom w:val="single" w:sz="8" w:space="1" w:color="4F81BD" w:themeColor="accent1"/>
        </w:pBdr>
      </w:pPr>
    </w:p>
    <w:p w:rsidR="00CC607E" w:rsidRPr="001D1973" w:rsidRDefault="00CC607E" w:rsidP="00C14350">
      <w:pPr>
        <w:pStyle w:val="Titre"/>
        <w:pBdr>
          <w:bottom w:val="single" w:sz="8" w:space="1" w:color="4F81BD" w:themeColor="accent1"/>
        </w:pBdr>
      </w:pPr>
      <w:r w:rsidRPr="00CC607E">
        <w:t>Commentaires de la COPHAN</w:t>
      </w:r>
      <w:r w:rsidR="00C14350">
        <w:t xml:space="preserve"> concernant l’a</w:t>
      </w:r>
      <w:r w:rsidRPr="001D1973">
        <w:t>rticle</w:t>
      </w:r>
      <w:r w:rsidR="00C14350">
        <w:t> </w:t>
      </w:r>
      <w:r w:rsidRPr="001D1973">
        <w:t>61.3</w:t>
      </w:r>
      <w:r>
        <w:t xml:space="preserve"> de la Loi assurant l’exercice des droits des personnes handicapées en vue de leur intégration scolaire, professionnelle et sociale</w:t>
      </w:r>
    </w:p>
    <w:p w:rsidR="00CC607E" w:rsidRDefault="00C14350">
      <w:pPr>
        <w:rPr>
          <w:rFonts w:cs="Arial"/>
          <w:sz w:val="32"/>
          <w:szCs w:val="32"/>
        </w:rPr>
      </w:pPr>
      <w:r w:rsidRPr="00C14350">
        <w:rPr>
          <w:rFonts w:cs="Arial"/>
          <w:sz w:val="32"/>
          <w:szCs w:val="32"/>
        </w:rPr>
        <w:t>Remis à l’OPHQ dans le cadre de consultations portant sur le projet de guide sur les approvisionnements accessibles</w:t>
      </w:r>
    </w:p>
    <w:p w:rsidR="00C14350" w:rsidRDefault="00C14350">
      <w:pPr>
        <w:rPr>
          <w:rFonts w:cs="Arial"/>
          <w:sz w:val="32"/>
          <w:szCs w:val="32"/>
        </w:rPr>
      </w:pPr>
    </w:p>
    <w:p w:rsidR="00C14350" w:rsidRDefault="00C14350">
      <w:pPr>
        <w:rPr>
          <w:rFonts w:cs="Arial"/>
          <w:sz w:val="32"/>
          <w:szCs w:val="32"/>
        </w:rPr>
      </w:pPr>
    </w:p>
    <w:p w:rsidR="00C14350" w:rsidRDefault="00C14350">
      <w:pPr>
        <w:rPr>
          <w:rFonts w:cs="Arial"/>
          <w:sz w:val="32"/>
          <w:szCs w:val="32"/>
        </w:rPr>
      </w:pPr>
    </w:p>
    <w:p w:rsidR="00C14350" w:rsidRDefault="00C14350">
      <w:pPr>
        <w:rPr>
          <w:rFonts w:cs="Arial"/>
          <w:sz w:val="32"/>
          <w:szCs w:val="32"/>
        </w:rPr>
      </w:pPr>
    </w:p>
    <w:p w:rsidR="00C14350" w:rsidRDefault="00C14350">
      <w:pPr>
        <w:rPr>
          <w:rFonts w:cs="Arial"/>
          <w:sz w:val="32"/>
          <w:szCs w:val="32"/>
        </w:rPr>
      </w:pPr>
    </w:p>
    <w:p w:rsidR="00C14350" w:rsidRDefault="00C14350">
      <w:pPr>
        <w:rPr>
          <w:rFonts w:cs="Arial"/>
          <w:sz w:val="32"/>
          <w:szCs w:val="32"/>
        </w:rPr>
      </w:pPr>
    </w:p>
    <w:p w:rsidR="00C14350" w:rsidRDefault="00C14350">
      <w:pPr>
        <w:rPr>
          <w:rFonts w:cs="Arial"/>
          <w:sz w:val="32"/>
          <w:szCs w:val="32"/>
        </w:rPr>
      </w:pPr>
    </w:p>
    <w:p w:rsidR="00CC607E" w:rsidRPr="00C14350" w:rsidRDefault="00C14350">
      <w:pPr>
        <w:rPr>
          <w:rFonts w:cs="Arial"/>
          <w:sz w:val="32"/>
          <w:szCs w:val="32"/>
        </w:rPr>
      </w:pPr>
      <w:r>
        <w:rPr>
          <w:rFonts w:cs="Arial"/>
          <w:sz w:val="32"/>
          <w:szCs w:val="32"/>
        </w:rPr>
        <w:t>Novembre 2013</w:t>
      </w:r>
      <w:r w:rsidR="00CC607E">
        <w:br w:type="page"/>
      </w:r>
    </w:p>
    <w:p w:rsidR="00C14350" w:rsidRPr="00C14350" w:rsidRDefault="00C14350" w:rsidP="00C14350">
      <w:pPr>
        <w:rPr>
          <w:rFonts w:cs="Arial"/>
          <w:b/>
          <w:sz w:val="36"/>
          <w:szCs w:val="36"/>
        </w:rPr>
      </w:pPr>
      <w:r w:rsidRPr="00C14350">
        <w:rPr>
          <w:rFonts w:cs="Arial"/>
          <w:b/>
          <w:sz w:val="36"/>
          <w:szCs w:val="36"/>
        </w:rPr>
        <w:lastRenderedPageBreak/>
        <w:t>SOMMAIRE</w:t>
      </w:r>
    </w:p>
    <w:p w:rsidR="00C14350" w:rsidRPr="00C14350" w:rsidRDefault="00C14350" w:rsidP="00C14350"/>
    <w:p w:rsidR="00C14350" w:rsidRPr="00C14350" w:rsidRDefault="00C14350" w:rsidP="00C14350"/>
    <w:p w:rsidR="00E17821" w:rsidRDefault="00CA0D0A">
      <w:pPr>
        <w:pStyle w:val="TM1"/>
        <w:rPr>
          <w:rFonts w:asciiTheme="minorHAnsi" w:eastAsiaTheme="minorEastAsia" w:hAnsiTheme="minorHAnsi" w:cstheme="minorBidi"/>
          <w:noProof/>
          <w:sz w:val="22"/>
          <w:szCs w:val="22"/>
          <w:lang w:eastAsia="fr-CA"/>
        </w:rPr>
      </w:pPr>
      <w:r>
        <w:fldChar w:fldCharType="begin"/>
      </w:r>
      <w:r>
        <w:instrText xml:space="preserve"> TOC \o "1-3" \h \z \u </w:instrText>
      </w:r>
      <w:r>
        <w:fldChar w:fldCharType="separate"/>
      </w:r>
      <w:hyperlink w:anchor="_Toc372718220" w:history="1">
        <w:r w:rsidR="00E17821" w:rsidRPr="000F2963">
          <w:rPr>
            <w:rStyle w:val="Lienhypertexte"/>
            <w:noProof/>
          </w:rPr>
          <w:t>Avant-propos</w:t>
        </w:r>
        <w:r w:rsidR="00E17821">
          <w:rPr>
            <w:noProof/>
            <w:webHidden/>
          </w:rPr>
          <w:tab/>
        </w:r>
        <w:r w:rsidR="00E17821">
          <w:rPr>
            <w:noProof/>
            <w:webHidden/>
          </w:rPr>
          <w:fldChar w:fldCharType="begin"/>
        </w:r>
        <w:r w:rsidR="00E17821">
          <w:rPr>
            <w:noProof/>
            <w:webHidden/>
          </w:rPr>
          <w:instrText xml:space="preserve"> PAGEREF _Toc372718220 \h </w:instrText>
        </w:r>
        <w:r w:rsidR="00E17821">
          <w:rPr>
            <w:noProof/>
            <w:webHidden/>
          </w:rPr>
        </w:r>
        <w:r w:rsidR="00E17821">
          <w:rPr>
            <w:noProof/>
            <w:webHidden/>
          </w:rPr>
          <w:fldChar w:fldCharType="separate"/>
        </w:r>
        <w:r w:rsidR="00E17821">
          <w:rPr>
            <w:noProof/>
            <w:webHidden/>
          </w:rPr>
          <w:t>3</w:t>
        </w:r>
        <w:r w:rsidR="00E17821">
          <w:rPr>
            <w:noProof/>
            <w:webHidden/>
          </w:rPr>
          <w:fldChar w:fldCharType="end"/>
        </w:r>
      </w:hyperlink>
    </w:p>
    <w:p w:rsidR="00E17821" w:rsidRDefault="00B10A2A">
      <w:pPr>
        <w:pStyle w:val="TM1"/>
        <w:rPr>
          <w:rFonts w:asciiTheme="minorHAnsi" w:eastAsiaTheme="minorEastAsia" w:hAnsiTheme="minorHAnsi" w:cstheme="minorBidi"/>
          <w:noProof/>
          <w:sz w:val="22"/>
          <w:szCs w:val="22"/>
          <w:lang w:eastAsia="fr-CA"/>
        </w:rPr>
      </w:pPr>
      <w:hyperlink w:anchor="_Toc372718221" w:history="1">
        <w:r w:rsidR="00E17821" w:rsidRPr="000F2963">
          <w:rPr>
            <w:rStyle w:val="Lienhypertexte"/>
            <w:noProof/>
          </w:rPr>
          <w:t>Introduction</w:t>
        </w:r>
        <w:r w:rsidR="00E17821">
          <w:rPr>
            <w:noProof/>
            <w:webHidden/>
          </w:rPr>
          <w:tab/>
        </w:r>
        <w:r w:rsidR="00E17821">
          <w:rPr>
            <w:noProof/>
            <w:webHidden/>
          </w:rPr>
          <w:fldChar w:fldCharType="begin"/>
        </w:r>
        <w:r w:rsidR="00E17821">
          <w:rPr>
            <w:noProof/>
            <w:webHidden/>
          </w:rPr>
          <w:instrText xml:space="preserve"> PAGEREF _Toc372718221 \h </w:instrText>
        </w:r>
        <w:r w:rsidR="00E17821">
          <w:rPr>
            <w:noProof/>
            <w:webHidden/>
          </w:rPr>
        </w:r>
        <w:r w:rsidR="00E17821">
          <w:rPr>
            <w:noProof/>
            <w:webHidden/>
          </w:rPr>
          <w:fldChar w:fldCharType="separate"/>
        </w:r>
        <w:r w:rsidR="00E17821">
          <w:rPr>
            <w:noProof/>
            <w:webHidden/>
          </w:rPr>
          <w:t>4</w:t>
        </w:r>
        <w:r w:rsidR="00E17821">
          <w:rPr>
            <w:noProof/>
            <w:webHidden/>
          </w:rPr>
          <w:fldChar w:fldCharType="end"/>
        </w:r>
      </w:hyperlink>
    </w:p>
    <w:p w:rsidR="00E17821" w:rsidRDefault="00B10A2A">
      <w:pPr>
        <w:pStyle w:val="TM1"/>
        <w:rPr>
          <w:rFonts w:asciiTheme="minorHAnsi" w:eastAsiaTheme="minorEastAsia" w:hAnsiTheme="minorHAnsi" w:cstheme="minorBidi"/>
          <w:noProof/>
          <w:sz w:val="22"/>
          <w:szCs w:val="22"/>
          <w:lang w:eastAsia="fr-CA"/>
        </w:rPr>
      </w:pPr>
      <w:hyperlink w:anchor="_Toc372718222" w:history="1">
        <w:r w:rsidR="00E17821" w:rsidRPr="000F2963">
          <w:rPr>
            <w:rStyle w:val="Lienhypertexte"/>
            <w:noProof/>
          </w:rPr>
          <w:t>Une démarche cohérente aux changements sociaux</w:t>
        </w:r>
        <w:r w:rsidR="00E17821">
          <w:rPr>
            <w:noProof/>
            <w:webHidden/>
          </w:rPr>
          <w:tab/>
        </w:r>
        <w:r w:rsidR="00E17821">
          <w:rPr>
            <w:noProof/>
            <w:webHidden/>
          </w:rPr>
          <w:fldChar w:fldCharType="begin"/>
        </w:r>
        <w:r w:rsidR="00E17821">
          <w:rPr>
            <w:noProof/>
            <w:webHidden/>
          </w:rPr>
          <w:instrText xml:space="preserve"> PAGEREF _Toc372718222 \h </w:instrText>
        </w:r>
        <w:r w:rsidR="00E17821">
          <w:rPr>
            <w:noProof/>
            <w:webHidden/>
          </w:rPr>
        </w:r>
        <w:r w:rsidR="00E17821">
          <w:rPr>
            <w:noProof/>
            <w:webHidden/>
          </w:rPr>
          <w:fldChar w:fldCharType="separate"/>
        </w:r>
        <w:r w:rsidR="00E17821">
          <w:rPr>
            <w:noProof/>
            <w:webHidden/>
          </w:rPr>
          <w:t>5</w:t>
        </w:r>
        <w:r w:rsidR="00E17821">
          <w:rPr>
            <w:noProof/>
            <w:webHidden/>
          </w:rPr>
          <w:fldChar w:fldCharType="end"/>
        </w:r>
      </w:hyperlink>
    </w:p>
    <w:p w:rsidR="00E17821" w:rsidRDefault="00B10A2A">
      <w:pPr>
        <w:pStyle w:val="TM1"/>
        <w:rPr>
          <w:rFonts w:asciiTheme="minorHAnsi" w:eastAsiaTheme="minorEastAsia" w:hAnsiTheme="minorHAnsi" w:cstheme="minorBidi"/>
          <w:noProof/>
          <w:sz w:val="22"/>
          <w:szCs w:val="22"/>
          <w:lang w:eastAsia="fr-CA"/>
        </w:rPr>
      </w:pPr>
      <w:hyperlink w:anchor="_Toc372718223" w:history="1">
        <w:r w:rsidR="00E17821" w:rsidRPr="000F2963">
          <w:rPr>
            <w:rStyle w:val="Lienhypertexte"/>
            <w:noProof/>
          </w:rPr>
          <w:t>La vision de la COPHAN pour ce guide</w:t>
        </w:r>
        <w:r w:rsidR="00E17821">
          <w:rPr>
            <w:noProof/>
            <w:webHidden/>
          </w:rPr>
          <w:tab/>
        </w:r>
        <w:r w:rsidR="00E17821">
          <w:rPr>
            <w:noProof/>
            <w:webHidden/>
          </w:rPr>
          <w:fldChar w:fldCharType="begin"/>
        </w:r>
        <w:r w:rsidR="00E17821">
          <w:rPr>
            <w:noProof/>
            <w:webHidden/>
          </w:rPr>
          <w:instrText xml:space="preserve"> PAGEREF _Toc372718223 \h </w:instrText>
        </w:r>
        <w:r w:rsidR="00E17821">
          <w:rPr>
            <w:noProof/>
            <w:webHidden/>
          </w:rPr>
        </w:r>
        <w:r w:rsidR="00E17821">
          <w:rPr>
            <w:noProof/>
            <w:webHidden/>
          </w:rPr>
          <w:fldChar w:fldCharType="separate"/>
        </w:r>
        <w:r w:rsidR="00E17821">
          <w:rPr>
            <w:noProof/>
            <w:webHidden/>
          </w:rPr>
          <w:t>7</w:t>
        </w:r>
        <w:r w:rsidR="00E17821">
          <w:rPr>
            <w:noProof/>
            <w:webHidden/>
          </w:rPr>
          <w:fldChar w:fldCharType="end"/>
        </w:r>
      </w:hyperlink>
    </w:p>
    <w:p w:rsidR="00E17821" w:rsidRDefault="00B10A2A">
      <w:pPr>
        <w:pStyle w:val="TM1"/>
        <w:rPr>
          <w:rFonts w:asciiTheme="minorHAnsi" w:eastAsiaTheme="minorEastAsia" w:hAnsiTheme="minorHAnsi" w:cstheme="minorBidi"/>
          <w:noProof/>
          <w:sz w:val="22"/>
          <w:szCs w:val="22"/>
          <w:lang w:eastAsia="fr-CA"/>
        </w:rPr>
      </w:pPr>
      <w:hyperlink w:anchor="_Toc372718224" w:history="1">
        <w:r w:rsidR="00E17821" w:rsidRPr="000F2963">
          <w:rPr>
            <w:rStyle w:val="Lienhypertexte"/>
            <w:noProof/>
          </w:rPr>
          <w:t>Commentaires généraux sur le guide</w:t>
        </w:r>
        <w:r w:rsidR="00E17821">
          <w:rPr>
            <w:noProof/>
            <w:webHidden/>
          </w:rPr>
          <w:tab/>
        </w:r>
        <w:r w:rsidR="00E17821">
          <w:rPr>
            <w:noProof/>
            <w:webHidden/>
          </w:rPr>
          <w:fldChar w:fldCharType="begin"/>
        </w:r>
        <w:r w:rsidR="00E17821">
          <w:rPr>
            <w:noProof/>
            <w:webHidden/>
          </w:rPr>
          <w:instrText xml:space="preserve"> PAGEREF _Toc372718224 \h </w:instrText>
        </w:r>
        <w:r w:rsidR="00E17821">
          <w:rPr>
            <w:noProof/>
            <w:webHidden/>
          </w:rPr>
        </w:r>
        <w:r w:rsidR="00E17821">
          <w:rPr>
            <w:noProof/>
            <w:webHidden/>
          </w:rPr>
          <w:fldChar w:fldCharType="separate"/>
        </w:r>
        <w:r w:rsidR="00E17821">
          <w:rPr>
            <w:noProof/>
            <w:webHidden/>
          </w:rPr>
          <w:t>9</w:t>
        </w:r>
        <w:r w:rsidR="00E17821">
          <w:rPr>
            <w:noProof/>
            <w:webHidden/>
          </w:rPr>
          <w:fldChar w:fldCharType="end"/>
        </w:r>
      </w:hyperlink>
    </w:p>
    <w:p w:rsidR="00E17821" w:rsidRDefault="00B10A2A">
      <w:pPr>
        <w:pStyle w:val="TM1"/>
        <w:rPr>
          <w:rFonts w:asciiTheme="minorHAnsi" w:eastAsiaTheme="minorEastAsia" w:hAnsiTheme="minorHAnsi" w:cstheme="minorBidi"/>
          <w:noProof/>
          <w:sz w:val="22"/>
          <w:szCs w:val="22"/>
          <w:lang w:eastAsia="fr-CA"/>
        </w:rPr>
      </w:pPr>
      <w:hyperlink w:anchor="_Toc372718225" w:history="1">
        <w:r w:rsidR="00E17821" w:rsidRPr="000F2963">
          <w:rPr>
            <w:rStyle w:val="Lienhypertexte"/>
            <w:noProof/>
          </w:rPr>
          <w:t>Commentaires spécifiques sur le guide</w:t>
        </w:r>
        <w:r w:rsidR="00E17821">
          <w:rPr>
            <w:noProof/>
            <w:webHidden/>
          </w:rPr>
          <w:tab/>
        </w:r>
        <w:r w:rsidR="00E17821">
          <w:rPr>
            <w:noProof/>
            <w:webHidden/>
          </w:rPr>
          <w:fldChar w:fldCharType="begin"/>
        </w:r>
        <w:r w:rsidR="00E17821">
          <w:rPr>
            <w:noProof/>
            <w:webHidden/>
          </w:rPr>
          <w:instrText xml:space="preserve"> PAGEREF _Toc372718225 \h </w:instrText>
        </w:r>
        <w:r w:rsidR="00E17821">
          <w:rPr>
            <w:noProof/>
            <w:webHidden/>
          </w:rPr>
        </w:r>
        <w:r w:rsidR="00E17821">
          <w:rPr>
            <w:noProof/>
            <w:webHidden/>
          </w:rPr>
          <w:fldChar w:fldCharType="separate"/>
        </w:r>
        <w:r w:rsidR="00E17821">
          <w:rPr>
            <w:noProof/>
            <w:webHidden/>
          </w:rPr>
          <w:t>12</w:t>
        </w:r>
        <w:r w:rsidR="00E17821">
          <w:rPr>
            <w:noProof/>
            <w:webHidden/>
          </w:rPr>
          <w:fldChar w:fldCharType="end"/>
        </w:r>
      </w:hyperlink>
    </w:p>
    <w:p w:rsidR="00E17821" w:rsidRDefault="00B10A2A">
      <w:pPr>
        <w:pStyle w:val="TM1"/>
        <w:rPr>
          <w:rFonts w:asciiTheme="minorHAnsi" w:eastAsiaTheme="minorEastAsia" w:hAnsiTheme="minorHAnsi" w:cstheme="minorBidi"/>
          <w:noProof/>
          <w:sz w:val="22"/>
          <w:szCs w:val="22"/>
          <w:lang w:eastAsia="fr-CA"/>
        </w:rPr>
      </w:pPr>
      <w:hyperlink w:anchor="_Toc372718226" w:history="1">
        <w:r w:rsidR="00E17821" w:rsidRPr="000F2963">
          <w:rPr>
            <w:rStyle w:val="Lienhypertexte"/>
            <w:noProof/>
          </w:rPr>
          <w:t>Conclusion</w:t>
        </w:r>
        <w:r w:rsidR="00E17821">
          <w:rPr>
            <w:noProof/>
            <w:webHidden/>
          </w:rPr>
          <w:tab/>
        </w:r>
        <w:r w:rsidR="00E17821">
          <w:rPr>
            <w:noProof/>
            <w:webHidden/>
          </w:rPr>
          <w:fldChar w:fldCharType="begin"/>
        </w:r>
        <w:r w:rsidR="00E17821">
          <w:rPr>
            <w:noProof/>
            <w:webHidden/>
          </w:rPr>
          <w:instrText xml:space="preserve"> PAGEREF _Toc372718226 \h </w:instrText>
        </w:r>
        <w:r w:rsidR="00E17821">
          <w:rPr>
            <w:noProof/>
            <w:webHidden/>
          </w:rPr>
        </w:r>
        <w:r w:rsidR="00E17821">
          <w:rPr>
            <w:noProof/>
            <w:webHidden/>
          </w:rPr>
          <w:fldChar w:fldCharType="separate"/>
        </w:r>
        <w:r w:rsidR="00E17821">
          <w:rPr>
            <w:noProof/>
            <w:webHidden/>
          </w:rPr>
          <w:t>13</w:t>
        </w:r>
        <w:r w:rsidR="00E17821">
          <w:rPr>
            <w:noProof/>
            <w:webHidden/>
          </w:rPr>
          <w:fldChar w:fldCharType="end"/>
        </w:r>
      </w:hyperlink>
    </w:p>
    <w:p w:rsidR="00CA0D0A" w:rsidRDefault="00CA0D0A">
      <w:pPr>
        <w:sectPr w:rsidR="00CA0D0A">
          <w:footerReference w:type="default" r:id="rId9"/>
          <w:pgSz w:w="12240" w:h="15840"/>
          <w:pgMar w:top="1440" w:right="1800" w:bottom="1440" w:left="1800" w:header="708" w:footer="708" w:gutter="0"/>
          <w:cols w:space="708"/>
          <w:docGrid w:linePitch="360"/>
        </w:sectPr>
      </w:pPr>
      <w:r>
        <w:fldChar w:fldCharType="end"/>
      </w:r>
    </w:p>
    <w:p w:rsidR="002574B0" w:rsidRDefault="002574B0" w:rsidP="00066967">
      <w:pPr>
        <w:pStyle w:val="Titre1"/>
      </w:pPr>
      <w:bookmarkStart w:id="1" w:name="_Toc372638940"/>
      <w:bookmarkStart w:id="2" w:name="_Toc372718220"/>
      <w:r>
        <w:lastRenderedPageBreak/>
        <w:t>Avant-propos</w:t>
      </w:r>
      <w:bookmarkEnd w:id="1"/>
      <w:bookmarkEnd w:id="2"/>
    </w:p>
    <w:p w:rsidR="00066967" w:rsidRPr="00066967" w:rsidRDefault="00066967" w:rsidP="00066967"/>
    <w:p w:rsidR="002F28D2" w:rsidRDefault="00E7226C" w:rsidP="002F28D2">
      <w:r>
        <w:t xml:space="preserve">La COPHAN ne </w:t>
      </w:r>
      <w:r w:rsidR="00FB35F9">
        <w:t>perç</w:t>
      </w:r>
      <w:r>
        <w:t xml:space="preserve">oit pas la stratégie </w:t>
      </w:r>
      <w:r w:rsidR="002F28D2">
        <w:t xml:space="preserve">dans laquelle s’inscrit </w:t>
      </w:r>
      <w:r>
        <w:t>l</w:t>
      </w:r>
      <w:r w:rsidR="00634EBE">
        <w:t>’</w:t>
      </w:r>
      <w:r w:rsidR="002574B0" w:rsidRPr="00B2418D">
        <w:t>outil</w:t>
      </w:r>
      <w:r>
        <w:t xml:space="preserve"> proposé</w:t>
      </w:r>
      <w:r w:rsidR="002574B0" w:rsidRPr="00637BF0">
        <w:t xml:space="preserve">, </w:t>
      </w:r>
      <w:r w:rsidR="002574B0">
        <w:t>d’autant plus qu’il n</w:t>
      </w:r>
      <w:r w:rsidR="00FB35F9">
        <w:t xml:space="preserve">e répond </w:t>
      </w:r>
      <w:r w:rsidR="002F28D2">
        <w:t xml:space="preserve">vraisemblablement </w:t>
      </w:r>
      <w:r w:rsidR="00FB35F9">
        <w:t>pas aux attentes de</w:t>
      </w:r>
      <w:r>
        <w:t xml:space="preserve"> départ. </w:t>
      </w:r>
      <w:r w:rsidR="002F28D2">
        <w:t>V</w:t>
      </w:r>
      <w:r w:rsidR="002F28D2" w:rsidRPr="001D1973">
        <w:t>o</w:t>
      </w:r>
      <w:r w:rsidR="002F28D2">
        <w:t>tre sondage a permis de révéler</w:t>
      </w:r>
      <w:r w:rsidR="002F28D2" w:rsidRPr="001D1973">
        <w:t xml:space="preserve"> une</w:t>
      </w:r>
      <w:r w:rsidR="002F28D2">
        <w:t> :</w:t>
      </w:r>
      <w:r w:rsidR="002F28D2" w:rsidRPr="001D1973">
        <w:t xml:space="preserve"> « méconnaissance sur les façons </w:t>
      </w:r>
      <w:r w:rsidR="002F28D2" w:rsidRPr="001D1973">
        <w:rPr>
          <w:u w:val="single"/>
        </w:rPr>
        <w:t>concrètes</w:t>
      </w:r>
      <w:r w:rsidR="002F28D2" w:rsidRPr="001D1973">
        <w:t xml:space="preserve"> d’appli</w:t>
      </w:r>
      <w:r w:rsidR="002F28D2">
        <w:t>quer cette obligation légale », une méconnaissance palpable depuis longtemps, tel que l’indique le plan d’action du MESS en 2009-2010 :</w:t>
      </w:r>
    </w:p>
    <w:p w:rsidR="002F28D2" w:rsidRDefault="002F28D2" w:rsidP="00066967">
      <w:pPr>
        <w:ind w:left="567"/>
      </w:pPr>
      <w:r w:rsidRPr="002574B0">
        <w:rPr>
          <w:rFonts w:ascii="FrutigerLTStd-Cn" w:hAnsi="FrutigerLTStd-Cn" w:cs="FrutigerLTStd-Cn"/>
          <w:sz w:val="20"/>
          <w:szCs w:val="20"/>
        </w:rPr>
        <w:t xml:space="preserve">Pour répondre à cette volonté, également exprimée par d’autres ministères et organismes, un représentant de l’Office des personnes handicapées du Québec (OPHQ) a présenté au Forum des gestionnaires en ressources matérielles du gouvernement du Québec les prescriptions de la Loi relatives à l’achat de biens et de services adaptés et à l’approvisionnement connexe. À l’issue de cette rencontre, il a été demandé à l’OPHQ de transmettre au Forum une liste des fournisseurs de biens et de services adaptés. </w:t>
      </w:r>
      <w:r w:rsidRPr="002574B0">
        <w:rPr>
          <w:rFonts w:ascii="FrutigerLTStd-BoldCn" w:hAnsi="FrutigerLTStd-BoldCn" w:cs="FrutigerLTStd-BoldCn"/>
          <w:b/>
          <w:bCs/>
          <w:sz w:val="20"/>
          <w:szCs w:val="20"/>
        </w:rPr>
        <w:t>Dès que le Ministère disposera d’outils permettant de dresser l’inventaire des biens et services adaptés et la liste des fournisseurs, la Direction des opérations financières et contractuelles sera en mesure de faire la promotion de ces produits et services auprès de sa clientèle lorsque des demandes d’acquisi</w:t>
      </w:r>
      <w:r>
        <w:rPr>
          <w:rFonts w:ascii="FrutigerLTStd-BoldCn" w:hAnsi="FrutigerLTStd-BoldCn" w:cs="FrutigerLTStd-BoldCn"/>
          <w:b/>
          <w:bCs/>
          <w:sz w:val="20"/>
          <w:szCs w:val="20"/>
        </w:rPr>
        <w:t>tion lui seront adressées</w:t>
      </w:r>
      <w:r w:rsidR="00D860CE">
        <w:rPr>
          <w:rFonts w:ascii="FrutigerLTStd-BoldCn" w:hAnsi="FrutigerLTStd-BoldCn" w:cs="FrutigerLTStd-BoldCn"/>
          <w:b/>
          <w:bCs/>
          <w:sz w:val="20"/>
          <w:szCs w:val="20"/>
        </w:rPr>
        <w:t>.</w:t>
      </w:r>
    </w:p>
    <w:p w:rsidR="00086311" w:rsidRPr="00086311" w:rsidRDefault="002F28D2" w:rsidP="00086311">
      <w:pPr>
        <w:rPr>
          <w:rFonts w:ascii="FrutigerLTStd-BoldCn" w:hAnsi="FrutigerLTStd-BoldCn" w:cs="FrutigerLTStd-BoldCn"/>
          <w:bCs/>
        </w:rPr>
      </w:pPr>
      <w:r>
        <w:t>Pr</w:t>
      </w:r>
      <w:r w:rsidRPr="00FF31E6">
        <w:rPr>
          <w:rFonts w:ascii="FrutigerLTStd-BoldCn" w:hAnsi="FrutigerLTStd-BoldCn" w:cs="FrutigerLTStd-BoldCn"/>
          <w:bCs/>
        </w:rPr>
        <w:t>ès de 10 ans</w:t>
      </w:r>
      <w:r>
        <w:rPr>
          <w:rFonts w:ascii="FrutigerLTStd-BoldCn" w:hAnsi="FrutigerLTStd-BoldCn" w:cs="FrutigerLTStd-BoldCn"/>
          <w:bCs/>
        </w:rPr>
        <w:t xml:space="preserve"> après l’adoption de la Loi, l’É</w:t>
      </w:r>
      <w:r w:rsidRPr="00FF31E6">
        <w:rPr>
          <w:rFonts w:ascii="FrutigerLTStd-BoldCn" w:hAnsi="FrutigerLTStd-BoldCn" w:cs="FrutigerLTStd-BoldCn"/>
          <w:bCs/>
        </w:rPr>
        <w:t xml:space="preserve">tat québécois </w:t>
      </w:r>
      <w:r>
        <w:rPr>
          <w:rFonts w:ascii="FrutigerLTStd-BoldCn" w:hAnsi="FrutigerLTStd-BoldCn" w:cs="FrutigerLTStd-BoldCn"/>
          <w:bCs/>
        </w:rPr>
        <w:t>apparait n’avoir</w:t>
      </w:r>
      <w:r w:rsidRPr="00FF31E6">
        <w:rPr>
          <w:rFonts w:ascii="FrutigerLTStd-BoldCn" w:hAnsi="FrutigerLTStd-BoldCn" w:cs="FrutigerLTStd-BoldCn"/>
          <w:bCs/>
        </w:rPr>
        <w:t xml:space="preserve"> toujours aucune vi</w:t>
      </w:r>
      <w:r>
        <w:rPr>
          <w:rFonts w:ascii="FrutigerLTStd-BoldCn" w:hAnsi="FrutigerLTStd-BoldCn" w:cs="FrutigerLTStd-BoldCn"/>
          <w:bCs/>
        </w:rPr>
        <w:t>sion stratégique sur ce dossier.</w:t>
      </w:r>
      <w:r w:rsidR="00066967">
        <w:rPr>
          <w:rFonts w:ascii="FrutigerLTStd-BoldCn" w:hAnsi="FrutigerLTStd-BoldCn" w:cs="FrutigerLTStd-BoldCn"/>
          <w:bCs/>
        </w:rPr>
        <w:t xml:space="preserve"> </w:t>
      </w:r>
      <w:r w:rsidR="00FB35F9">
        <w:t>Nous voulons éviter de</w:t>
      </w:r>
      <w:r w:rsidR="00E7226C">
        <w:t xml:space="preserve"> reproduire </w:t>
      </w:r>
      <w:r w:rsidR="00FB35F9">
        <w:t xml:space="preserve">ce que nous vivons avec la </w:t>
      </w:r>
      <w:r w:rsidR="002574B0" w:rsidRPr="006C7C94">
        <w:t>démarche entourant la Politique </w:t>
      </w:r>
      <w:r w:rsidR="002574B0" w:rsidRPr="00E7226C">
        <w:rPr>
          <w:bCs/>
          <w:i/>
        </w:rPr>
        <w:t>L’accès</w:t>
      </w:r>
      <w:r w:rsidR="002574B0" w:rsidRPr="00E7226C">
        <w:rPr>
          <w:b/>
          <w:bCs/>
          <w:i/>
          <w:color w:val="981B1E"/>
        </w:rPr>
        <w:t xml:space="preserve"> </w:t>
      </w:r>
      <w:r w:rsidR="002574B0" w:rsidRPr="00E7226C">
        <w:rPr>
          <w:i/>
          <w:color w:val="231F20"/>
        </w:rPr>
        <w:t>aux documents et aux services offerts au public pour les personnes handicapées</w:t>
      </w:r>
      <w:r w:rsidR="00066967">
        <w:t>.</w:t>
      </w:r>
    </w:p>
    <w:p w:rsidR="002F28D2" w:rsidRDefault="00086311">
      <w:r w:rsidRPr="001D1973">
        <w:t>Rappelons-nous que cet article ne faisait pas partie du projet de Loi no</w:t>
      </w:r>
      <w:r>
        <w:t> </w:t>
      </w:r>
      <w:r w:rsidR="00E7226C">
        <w:t xml:space="preserve">155, mais </w:t>
      </w:r>
      <w:r w:rsidR="009F2F5E">
        <w:t xml:space="preserve">fut </w:t>
      </w:r>
      <w:r w:rsidRPr="001D1973">
        <w:t>obtenu par le milieu dans le projet de loi no</w:t>
      </w:r>
      <w:r>
        <w:t> </w:t>
      </w:r>
      <w:r w:rsidR="00066967">
        <w:t xml:space="preserve">56 avec comme libellé </w:t>
      </w:r>
      <w:r w:rsidRPr="001D1973">
        <w:t>«</w:t>
      </w:r>
      <w:r>
        <w:t> L</w:t>
      </w:r>
      <w:r w:rsidRPr="001D1973">
        <w:t xml:space="preserve">es ministères, les organismes publics et les municipalités tiennent compte, </w:t>
      </w:r>
      <w:r w:rsidRPr="001D1973">
        <w:rPr>
          <w:u w:val="single"/>
        </w:rPr>
        <w:t>s</w:t>
      </w:r>
      <w:r>
        <w:rPr>
          <w:u w:val="single"/>
        </w:rPr>
        <w:t>’</w:t>
      </w:r>
      <w:r w:rsidRPr="001D1973">
        <w:rPr>
          <w:u w:val="single"/>
        </w:rPr>
        <w:t>il y a lieu</w:t>
      </w:r>
      <w:r w:rsidRPr="001D1973">
        <w:t>, dans leur processus d</w:t>
      </w:r>
      <w:r>
        <w:t>’</w:t>
      </w:r>
      <w:r w:rsidRPr="001D1973">
        <w:t>approvisionnement lors de l</w:t>
      </w:r>
      <w:r>
        <w:t>’</w:t>
      </w:r>
      <w:r w:rsidRPr="001D1973">
        <w:t>achat ou de la location de biens et de services, de leur accessibilité aux personnes handicapées.</w:t>
      </w:r>
      <w:r>
        <w:t> »</w:t>
      </w:r>
      <w:r w:rsidRPr="001D1973">
        <w:t xml:space="preserve"> L</w:t>
      </w:r>
      <w:r w:rsidR="00E7226C">
        <w:t>e</w:t>
      </w:r>
      <w:r w:rsidR="00700B8B">
        <w:t xml:space="preserve"> «</w:t>
      </w:r>
      <w:r w:rsidRPr="001D1973">
        <w:t> s’il y a lieu » a été enlevé</w:t>
      </w:r>
      <w:r>
        <w:t xml:space="preserve">, </w:t>
      </w:r>
      <w:r w:rsidRPr="001D1973">
        <w:t xml:space="preserve">car on a jugé pertinent de le faire pour </w:t>
      </w:r>
      <w:r w:rsidRPr="00086311">
        <w:rPr>
          <w:u w:val="single"/>
        </w:rPr>
        <w:t>toute</w:t>
      </w:r>
      <w:r w:rsidRPr="001D1973">
        <w:t xml:space="preserve"> acquisition si l’on voulait être sérieux dans </w:t>
      </w:r>
      <w:r w:rsidR="00E7226C">
        <w:t>le souci de création</w:t>
      </w:r>
      <w:r w:rsidRPr="001D1973">
        <w:t xml:space="preserve"> </w:t>
      </w:r>
      <w:r w:rsidR="00E7226C">
        <w:t>d’</w:t>
      </w:r>
      <w:r w:rsidRPr="001D1973">
        <w:t>une société inclusive.</w:t>
      </w:r>
      <w:r w:rsidR="00E7226C">
        <w:t xml:space="preserve"> </w:t>
      </w:r>
      <w:r>
        <w:t>Malgré</w:t>
      </w:r>
      <w:r w:rsidRPr="001D1973">
        <w:t xml:space="preserve"> le libellé actuel, « tenir compte » de l’accessibilité ne </w:t>
      </w:r>
      <w:r>
        <w:t>pèse pas lourd</w:t>
      </w:r>
      <w:r w:rsidRPr="001D1973">
        <w:t xml:space="preserve">. </w:t>
      </w:r>
      <w:r>
        <w:t>L</w:t>
      </w:r>
      <w:r w:rsidRPr="001D1973">
        <w:t>’objectif ultime est que tou</w:t>
      </w:r>
      <w:r w:rsidR="00DF23CE">
        <w:t>t</w:t>
      </w:r>
      <w:r w:rsidRPr="001D1973">
        <w:t xml:space="preserve"> employé</w:t>
      </w:r>
      <w:r>
        <w:t xml:space="preserve"> </w:t>
      </w:r>
      <w:r w:rsidRPr="001D1973">
        <w:t xml:space="preserve">ou citoyen puisse avoir accès aux biens </w:t>
      </w:r>
      <w:r>
        <w:t>et services sans discrimination, assurons-nous d’y arriver.</w:t>
      </w:r>
    </w:p>
    <w:p w:rsidR="002574B0" w:rsidRPr="00E7226C" w:rsidRDefault="002F28D2">
      <w:r>
        <w:t>En conséquence, l</w:t>
      </w:r>
      <w:r w:rsidR="00D860CE">
        <w:t xml:space="preserve">a COPHAN rappelle </w:t>
      </w:r>
      <w:r w:rsidR="00066967">
        <w:t>qu’</w:t>
      </w:r>
      <w:r>
        <w:t xml:space="preserve">une rencontre en vue d’élaborer une </w:t>
      </w:r>
      <w:r w:rsidRPr="00B2418D">
        <w:t xml:space="preserve">stratégie s’impose avant de poursuivre la réflexion, allant de la production </w:t>
      </w:r>
      <w:r>
        <w:t xml:space="preserve">des biens accessibles </w:t>
      </w:r>
      <w:r w:rsidRPr="00B2418D">
        <w:t xml:space="preserve">via le </w:t>
      </w:r>
      <w:hyperlink r:id="rId10" w:history="1">
        <w:r w:rsidRPr="00B2418D">
          <w:rPr>
            <w:rStyle w:val="Lienhypertexte"/>
            <w:rFonts w:cs="Arial"/>
            <w:szCs w:val="24"/>
          </w:rPr>
          <w:t>CRIQ</w:t>
        </w:r>
      </w:hyperlink>
      <w:r>
        <w:t>,</w:t>
      </w:r>
      <w:r w:rsidRPr="00B2418D">
        <w:t xml:space="preserve"> par exemple</w:t>
      </w:r>
      <w:r>
        <w:t>,</w:t>
      </w:r>
      <w:r w:rsidR="00066967">
        <w:t xml:space="preserve"> </w:t>
      </w:r>
      <w:r w:rsidRPr="00B2418D">
        <w:t>jusqu’</w:t>
      </w:r>
      <w:r>
        <w:t>à l’accessibilité d</w:t>
      </w:r>
      <w:r w:rsidR="00066967">
        <w:t>u</w:t>
      </w:r>
      <w:r w:rsidRPr="00B2418D">
        <w:t xml:space="preserve"> service </w:t>
      </w:r>
      <w:r>
        <w:t xml:space="preserve">à la </w:t>
      </w:r>
      <w:r w:rsidRPr="00B2418D">
        <w:t>clientèle.</w:t>
      </w:r>
      <w:r>
        <w:t xml:space="preserve"> </w:t>
      </w:r>
      <w:r w:rsidR="00066967">
        <w:t>De plus</w:t>
      </w:r>
      <w:r>
        <w:t>, la présence de représentants des acheteurs serait également facilitante afin de mieux saisir les processus de la chaîne d’approvisionnement en biens et services.</w:t>
      </w:r>
      <w:r w:rsidR="002574B0">
        <w:br w:type="page"/>
      </w:r>
    </w:p>
    <w:p w:rsidR="007A372B" w:rsidRPr="00C14350" w:rsidRDefault="002574B0" w:rsidP="00C14350">
      <w:pPr>
        <w:pStyle w:val="Titre1"/>
      </w:pPr>
      <w:bookmarkStart w:id="3" w:name="_Toc372638941"/>
      <w:bookmarkStart w:id="4" w:name="_Toc372718221"/>
      <w:r>
        <w:lastRenderedPageBreak/>
        <w:t>Introduction</w:t>
      </w:r>
      <w:bookmarkEnd w:id="3"/>
      <w:bookmarkEnd w:id="4"/>
    </w:p>
    <w:p w:rsidR="00C14350" w:rsidRDefault="00C14350" w:rsidP="00C14350"/>
    <w:p w:rsidR="00E7226C" w:rsidRDefault="00E7226C" w:rsidP="00C14350">
      <w:pPr>
        <w:rPr>
          <w:rFonts w:cs="Arial"/>
          <w:szCs w:val="24"/>
        </w:rPr>
      </w:pPr>
      <w:r>
        <w:rPr>
          <w:rFonts w:cs="Arial"/>
          <w:szCs w:val="24"/>
        </w:rPr>
        <w:t xml:space="preserve">Vu la diversité des organisations et corps professionnels visés, ce Guide est un défi important. Les ressources en notre possession ainsi que notre implication tardive dans le processus, soit en juin 2013 même si </w:t>
      </w:r>
      <w:r w:rsidR="00DF23CE">
        <w:rPr>
          <w:rFonts w:cs="Arial"/>
          <w:szCs w:val="24"/>
        </w:rPr>
        <w:t>demandée d</w:t>
      </w:r>
      <w:r>
        <w:rPr>
          <w:rFonts w:cs="Arial"/>
          <w:szCs w:val="24"/>
        </w:rPr>
        <w:t xml:space="preserve">epuis 2010, ne nous permettent pas de contribuer à la hauteur de ce qui est requis. </w:t>
      </w:r>
      <w:r w:rsidR="00C14350">
        <w:rPr>
          <w:rFonts w:cs="Arial"/>
          <w:szCs w:val="24"/>
        </w:rPr>
        <w:t xml:space="preserve">Dans les pages qui suivent, vous pouvez lire dans un premier temps, les concepts </w:t>
      </w:r>
      <w:r>
        <w:rPr>
          <w:rFonts w:cs="Arial"/>
          <w:szCs w:val="24"/>
        </w:rPr>
        <w:t>permettant</w:t>
      </w:r>
      <w:r w:rsidR="00C14350">
        <w:rPr>
          <w:rFonts w:cs="Arial"/>
          <w:szCs w:val="24"/>
        </w:rPr>
        <w:t xml:space="preserve"> </w:t>
      </w:r>
      <w:r>
        <w:rPr>
          <w:rFonts w:cs="Arial"/>
          <w:szCs w:val="24"/>
        </w:rPr>
        <w:t>aux personnes visées de comprendre qu’elles s’inscrivent dans un mouvement en mutation. L</w:t>
      </w:r>
      <w:r w:rsidRPr="001D1973">
        <w:rPr>
          <w:rFonts w:cs="Arial"/>
          <w:szCs w:val="24"/>
        </w:rPr>
        <w:t>a COPHAN assoit sa réflexion sur les concepts suivants : le développement durable</w:t>
      </w:r>
      <w:r>
        <w:rPr>
          <w:rFonts w:cs="Arial"/>
          <w:szCs w:val="24"/>
        </w:rPr>
        <w:t>,</w:t>
      </w:r>
      <w:r w:rsidRPr="001D1973">
        <w:rPr>
          <w:rFonts w:cs="Arial"/>
          <w:szCs w:val="24"/>
        </w:rPr>
        <w:t xml:space="preserve"> le PPH</w:t>
      </w:r>
      <w:r>
        <w:rPr>
          <w:rFonts w:cs="Arial"/>
          <w:szCs w:val="24"/>
        </w:rPr>
        <w:t>,</w:t>
      </w:r>
      <w:r w:rsidRPr="001D1973">
        <w:rPr>
          <w:rFonts w:cs="Arial"/>
          <w:szCs w:val="24"/>
        </w:rPr>
        <w:t xml:space="preserve"> et la conception universelle.</w:t>
      </w:r>
    </w:p>
    <w:p w:rsidR="00E7226C" w:rsidRDefault="00C14350" w:rsidP="00C14350">
      <w:pPr>
        <w:rPr>
          <w:rFonts w:cs="Arial"/>
          <w:szCs w:val="24"/>
        </w:rPr>
      </w:pPr>
      <w:r>
        <w:rPr>
          <w:rFonts w:cs="Arial"/>
          <w:szCs w:val="24"/>
        </w:rPr>
        <w:t>Par la suite, vous pouvez lire notre vision de ce que devrait être le guide, suivi de nos commentaires techniques sur le contenu présenté.</w:t>
      </w:r>
    </w:p>
    <w:p w:rsidR="009F2F5E" w:rsidRDefault="009F2F5E" w:rsidP="00C14350">
      <w:pPr>
        <w:rPr>
          <w:rFonts w:cs="Arial"/>
          <w:szCs w:val="24"/>
        </w:rPr>
      </w:pPr>
    </w:p>
    <w:p w:rsidR="009F2F5E" w:rsidRDefault="009F2F5E">
      <w:pPr>
        <w:rPr>
          <w:rFonts w:cs="Arial"/>
          <w:szCs w:val="24"/>
        </w:rPr>
      </w:pPr>
      <w:r>
        <w:rPr>
          <w:rFonts w:cs="Arial"/>
          <w:szCs w:val="24"/>
        </w:rPr>
        <w:br w:type="page"/>
      </w:r>
    </w:p>
    <w:p w:rsidR="00C14350" w:rsidRDefault="009F2F5E" w:rsidP="009F2F5E">
      <w:pPr>
        <w:pStyle w:val="Titre1"/>
      </w:pPr>
      <w:bookmarkStart w:id="5" w:name="_Toc372718222"/>
      <w:r>
        <w:lastRenderedPageBreak/>
        <w:t>Une démarche cohérente</w:t>
      </w:r>
      <w:r w:rsidR="00E7226C" w:rsidRPr="00E7226C">
        <w:t xml:space="preserve"> </w:t>
      </w:r>
      <w:r>
        <w:t>aux</w:t>
      </w:r>
      <w:r w:rsidR="00E7226C" w:rsidRPr="00E7226C">
        <w:t xml:space="preserve"> changements sociaux</w:t>
      </w:r>
      <w:bookmarkEnd w:id="5"/>
    </w:p>
    <w:p w:rsidR="009F2F5E" w:rsidRPr="009F2F5E" w:rsidRDefault="009F2F5E" w:rsidP="009F2F5E"/>
    <w:p w:rsidR="00E7226C" w:rsidRDefault="00E7226C" w:rsidP="00E7226C">
      <w:pPr>
        <w:rPr>
          <w:rFonts w:cs="Arial"/>
          <w:szCs w:val="24"/>
        </w:rPr>
      </w:pPr>
      <w:r>
        <w:rPr>
          <w:rFonts w:cs="Arial"/>
          <w:szCs w:val="24"/>
        </w:rPr>
        <w:t xml:space="preserve">La démarche du présent guide découle de la </w:t>
      </w:r>
      <w:r w:rsidRPr="00E7226C">
        <w:rPr>
          <w:rFonts w:cs="Arial"/>
          <w:i/>
          <w:szCs w:val="24"/>
        </w:rPr>
        <w:t>Loi assurant l’exercice des droits des personnes handicapées</w:t>
      </w:r>
      <w:r>
        <w:rPr>
          <w:rFonts w:cs="Arial"/>
          <w:szCs w:val="24"/>
        </w:rPr>
        <w:t xml:space="preserve"> </w:t>
      </w:r>
      <w:r w:rsidRPr="00E7226C">
        <w:rPr>
          <w:rFonts w:cs="Arial"/>
          <w:i/>
          <w:szCs w:val="24"/>
        </w:rPr>
        <w:t>en vue de leur intégration scolaire,</w:t>
      </w:r>
      <w:r w:rsidR="004F429A">
        <w:rPr>
          <w:rFonts w:cs="Arial"/>
          <w:i/>
          <w:szCs w:val="24"/>
        </w:rPr>
        <w:t xml:space="preserve"> </w:t>
      </w:r>
      <w:r w:rsidRPr="00E7226C">
        <w:rPr>
          <w:rFonts w:cs="Arial"/>
          <w:i/>
          <w:szCs w:val="24"/>
        </w:rPr>
        <w:t>professionnelle et sociale</w:t>
      </w:r>
      <w:r>
        <w:rPr>
          <w:rFonts w:cs="Arial"/>
          <w:szCs w:val="24"/>
        </w:rPr>
        <w:t>. Le guide rappelle</w:t>
      </w:r>
      <w:r w:rsidR="008C2FDF">
        <w:rPr>
          <w:rFonts w:cs="Arial"/>
          <w:szCs w:val="24"/>
        </w:rPr>
        <w:t xml:space="preserve"> aussi</w:t>
      </w:r>
      <w:r>
        <w:rPr>
          <w:rFonts w:cs="Arial"/>
          <w:szCs w:val="24"/>
        </w:rPr>
        <w:t xml:space="preserve"> la cohérence de cette action avec </w:t>
      </w:r>
      <w:r w:rsidR="008C2FDF">
        <w:rPr>
          <w:rFonts w:cs="Arial"/>
          <w:szCs w:val="24"/>
        </w:rPr>
        <w:t>la P</w:t>
      </w:r>
      <w:r>
        <w:rPr>
          <w:rFonts w:cs="Arial"/>
          <w:szCs w:val="24"/>
        </w:rPr>
        <w:t xml:space="preserve">olitique </w:t>
      </w:r>
      <w:r w:rsidR="004F429A" w:rsidRPr="004F429A">
        <w:rPr>
          <w:rFonts w:cs="Arial"/>
          <w:bCs/>
          <w:i/>
          <w:color w:val="000000"/>
        </w:rPr>
        <w:t>L’a</w:t>
      </w:r>
      <w:r w:rsidRPr="004F429A">
        <w:rPr>
          <w:rFonts w:cs="Arial"/>
          <w:bCs/>
          <w:i/>
          <w:color w:val="000000"/>
        </w:rPr>
        <w:t xml:space="preserve">ccès aux documents et aux services offerts au public </w:t>
      </w:r>
      <w:r w:rsidR="004F429A" w:rsidRPr="004F429A">
        <w:rPr>
          <w:rFonts w:cs="Arial"/>
          <w:bCs/>
          <w:i/>
          <w:color w:val="000000"/>
        </w:rPr>
        <w:t>pour les personnes handicapées</w:t>
      </w:r>
      <w:r w:rsidR="004F429A">
        <w:rPr>
          <w:rFonts w:cs="Arial"/>
          <w:bCs/>
          <w:color w:val="000000"/>
        </w:rPr>
        <w:t xml:space="preserve">. </w:t>
      </w:r>
      <w:r>
        <w:rPr>
          <w:rFonts w:cs="Arial"/>
          <w:bCs/>
          <w:color w:val="000000"/>
        </w:rPr>
        <w:t>D’autres informations nous semble</w:t>
      </w:r>
      <w:r w:rsidR="004F429A">
        <w:rPr>
          <w:rFonts w:cs="Arial"/>
          <w:bCs/>
          <w:color w:val="000000"/>
        </w:rPr>
        <w:t>nt</w:t>
      </w:r>
      <w:r>
        <w:rPr>
          <w:rFonts w:cs="Arial"/>
          <w:bCs/>
          <w:color w:val="000000"/>
        </w:rPr>
        <w:t xml:space="preserve"> devoir figurer dans l’avant-propos et l’introduction afin que le lecteur saisisse </w:t>
      </w:r>
      <w:r w:rsidR="004F429A">
        <w:rPr>
          <w:rFonts w:cs="Arial"/>
          <w:bCs/>
          <w:color w:val="000000"/>
        </w:rPr>
        <w:t>bien ces éléments</w:t>
      </w:r>
      <w:r>
        <w:rPr>
          <w:rFonts w:cs="Arial"/>
          <w:bCs/>
          <w:color w:val="000000"/>
        </w:rPr>
        <w:t>.</w:t>
      </w:r>
    </w:p>
    <w:p w:rsidR="004F429A" w:rsidRDefault="004F429A" w:rsidP="004F429A">
      <w:pPr>
        <w:rPr>
          <w:rFonts w:cs="Arial"/>
          <w:szCs w:val="24"/>
        </w:rPr>
      </w:pPr>
      <w:r>
        <w:rPr>
          <w:rFonts w:cs="Arial"/>
          <w:szCs w:val="24"/>
        </w:rPr>
        <w:t xml:space="preserve">L’approvisionnement accessible s’inscrit également dans le volet social du développement durable. </w:t>
      </w:r>
      <w:r w:rsidRPr="001D1973">
        <w:rPr>
          <w:rFonts w:cs="Arial"/>
          <w:szCs w:val="24"/>
        </w:rPr>
        <w:t>Par le volet social, le développement durable s’assure de « </w:t>
      </w:r>
      <w:r w:rsidRPr="001D1973">
        <w:rPr>
          <w:rFonts w:cs="Arial"/>
          <w:b/>
          <w:bCs/>
          <w:szCs w:val="24"/>
        </w:rPr>
        <w:t>l</w:t>
      </w:r>
      <w:r>
        <w:rPr>
          <w:rFonts w:cs="Arial"/>
          <w:b/>
          <w:bCs/>
          <w:szCs w:val="24"/>
        </w:rPr>
        <w:t>’</w:t>
      </w:r>
      <w:r w:rsidRPr="001D1973">
        <w:rPr>
          <w:rFonts w:cs="Arial"/>
          <w:b/>
          <w:bCs/>
          <w:szCs w:val="24"/>
        </w:rPr>
        <w:t>équité sociale</w:t>
      </w:r>
      <w:r w:rsidRPr="001D1973">
        <w:rPr>
          <w:rFonts w:cs="Arial"/>
          <w:szCs w:val="24"/>
        </w:rPr>
        <w:t xml:space="preserve"> pour permettre le plein épanouissement de toutes les femmes et de tous les hommes, l’essor des communautés et le respect de la diversité. »</w:t>
      </w:r>
      <w:r>
        <w:rPr>
          <w:rFonts w:cs="Arial"/>
          <w:szCs w:val="24"/>
        </w:rPr>
        <w:t xml:space="preserve"> Les MO sont liés par la Loi sur le développement durable et les municipalités doivent elles s’en inspirer, sans avoir les mêmes contraintes que les MO. L’inscription dans le développement </w:t>
      </w:r>
      <w:r w:rsidR="00066967">
        <w:rPr>
          <w:rFonts w:cs="Arial"/>
          <w:szCs w:val="24"/>
        </w:rPr>
        <w:t>durable ouvre une possibilité d’une</w:t>
      </w:r>
      <w:r>
        <w:rPr>
          <w:rFonts w:cs="Arial"/>
          <w:szCs w:val="24"/>
        </w:rPr>
        <w:t xml:space="preserve"> prise en compte légale</w:t>
      </w:r>
      <w:r w:rsidR="002F28D2">
        <w:rPr>
          <w:rFonts w:cs="Arial"/>
          <w:szCs w:val="24"/>
        </w:rPr>
        <w:t>ment encadrée</w:t>
      </w:r>
      <w:r>
        <w:rPr>
          <w:rFonts w:cs="Arial"/>
          <w:szCs w:val="24"/>
        </w:rPr>
        <w:t xml:space="preserve"> pour les MO, comme le mentionne le site du </w:t>
      </w:r>
      <w:hyperlink r:id="rId11" w:history="1">
        <w:r w:rsidRPr="00D87671">
          <w:rPr>
            <w:rStyle w:val="Lienhypertexte"/>
            <w:rFonts w:cs="Arial"/>
            <w:szCs w:val="24"/>
          </w:rPr>
          <w:t>Secrétariat du Conseil du Trésor</w:t>
        </w:r>
      </w:hyperlink>
      <w:r>
        <w:rPr>
          <w:rFonts w:cs="Arial"/>
          <w:szCs w:val="24"/>
        </w:rPr>
        <w:t>. Cet aspect légal serait d</w:t>
      </w:r>
      <w:r w:rsidR="008C2FDF">
        <w:rPr>
          <w:rFonts w:cs="Arial"/>
          <w:szCs w:val="24"/>
        </w:rPr>
        <w:t xml:space="preserve">’ailleurs à éclaircir. Des échanges avec </w:t>
      </w:r>
      <w:r w:rsidR="002F28D2">
        <w:rPr>
          <w:rFonts w:cs="Arial"/>
          <w:szCs w:val="24"/>
        </w:rPr>
        <w:t xml:space="preserve">un </w:t>
      </w:r>
      <w:r w:rsidR="008C2FDF">
        <w:rPr>
          <w:rFonts w:cs="Arial"/>
          <w:szCs w:val="24"/>
        </w:rPr>
        <w:t>employé du</w:t>
      </w:r>
      <w:r>
        <w:rPr>
          <w:rFonts w:cs="Arial"/>
          <w:szCs w:val="24"/>
        </w:rPr>
        <w:t xml:space="preserve"> SCT </w:t>
      </w:r>
      <w:r w:rsidR="008C2FDF">
        <w:rPr>
          <w:rFonts w:cs="Arial"/>
          <w:szCs w:val="24"/>
        </w:rPr>
        <w:t>en</w:t>
      </w:r>
      <w:r>
        <w:rPr>
          <w:rFonts w:cs="Arial"/>
          <w:szCs w:val="24"/>
        </w:rPr>
        <w:t xml:space="preserve"> lien avec les entrepreneurs désireux de faire affaire avec l’État québécois nous </w:t>
      </w:r>
      <w:r w:rsidR="008C2FDF">
        <w:rPr>
          <w:rFonts w:cs="Arial"/>
          <w:szCs w:val="24"/>
        </w:rPr>
        <w:t>confirment</w:t>
      </w:r>
      <w:r>
        <w:rPr>
          <w:rFonts w:cs="Arial"/>
          <w:szCs w:val="24"/>
        </w:rPr>
        <w:t xml:space="preserve"> que ce</w:t>
      </w:r>
      <w:r w:rsidR="008C2FDF">
        <w:rPr>
          <w:rFonts w:cs="Arial"/>
          <w:szCs w:val="24"/>
        </w:rPr>
        <w:t xml:space="preserve">tte piste devrait être creusée. </w:t>
      </w:r>
      <w:r w:rsidR="00646804">
        <w:rPr>
          <w:rFonts w:cs="Arial"/>
          <w:szCs w:val="24"/>
        </w:rPr>
        <w:t>Cette clarification nous semble nécessaire</w:t>
      </w:r>
      <w:r w:rsidR="002F28D2">
        <w:rPr>
          <w:rFonts w:cs="Arial"/>
          <w:szCs w:val="24"/>
        </w:rPr>
        <w:t>, le pro</w:t>
      </w:r>
      <w:r w:rsidR="00066967">
        <w:rPr>
          <w:rFonts w:cs="Arial"/>
          <w:szCs w:val="24"/>
        </w:rPr>
        <w:t>cessus légal d’appel d’offre</w:t>
      </w:r>
      <w:r w:rsidR="00C5175D">
        <w:rPr>
          <w:rFonts w:cs="Arial"/>
          <w:szCs w:val="24"/>
        </w:rPr>
        <w:t xml:space="preserve">s </w:t>
      </w:r>
      <w:r w:rsidR="00066967">
        <w:rPr>
          <w:rFonts w:cs="Arial"/>
          <w:szCs w:val="24"/>
        </w:rPr>
        <w:t>étant</w:t>
      </w:r>
      <w:r w:rsidR="002F28D2">
        <w:rPr>
          <w:rFonts w:cs="Arial"/>
          <w:szCs w:val="24"/>
        </w:rPr>
        <w:t xml:space="preserve"> compl</w:t>
      </w:r>
      <w:r w:rsidR="00066967">
        <w:rPr>
          <w:rFonts w:cs="Arial"/>
          <w:szCs w:val="24"/>
        </w:rPr>
        <w:t>exe et les imprécisions, coûteuses</w:t>
      </w:r>
      <w:r w:rsidR="002F28D2">
        <w:rPr>
          <w:rFonts w:cs="Arial"/>
          <w:szCs w:val="24"/>
        </w:rPr>
        <w:t xml:space="preserve"> </w:t>
      </w:r>
      <w:r w:rsidR="00066967">
        <w:rPr>
          <w:rFonts w:cs="Arial"/>
          <w:szCs w:val="24"/>
        </w:rPr>
        <w:t>(</w:t>
      </w:r>
      <w:hyperlink r:id="rId12" w:history="1">
        <w:r w:rsidRPr="002F28D2">
          <w:rPr>
            <w:rStyle w:val="Lienhypertexte"/>
            <w:rFonts w:cs="Arial"/>
            <w:szCs w:val="24"/>
          </w:rPr>
          <w:t>voir la poursuite en cours</w:t>
        </w:r>
        <w:r w:rsidR="00646804" w:rsidRPr="002F28D2">
          <w:rPr>
            <w:rStyle w:val="Lienhypertexte"/>
            <w:rFonts w:cs="Arial"/>
            <w:szCs w:val="24"/>
          </w:rPr>
          <w:t xml:space="preserve"> entre Orthofab et la RAAMQ</w:t>
        </w:r>
      </w:hyperlink>
      <w:r w:rsidR="00066967">
        <w:rPr>
          <w:rFonts w:cs="Arial"/>
          <w:szCs w:val="24"/>
        </w:rPr>
        <w:t>)</w:t>
      </w:r>
      <w:r w:rsidR="002F28D2">
        <w:rPr>
          <w:rFonts w:cs="Arial"/>
          <w:szCs w:val="24"/>
        </w:rPr>
        <w:t>.</w:t>
      </w:r>
    </w:p>
    <w:p w:rsidR="00673173" w:rsidRPr="001D1973" w:rsidRDefault="00646804" w:rsidP="00646804">
      <w:pPr>
        <w:rPr>
          <w:rFonts w:cs="Arial"/>
          <w:szCs w:val="24"/>
        </w:rPr>
      </w:pPr>
      <w:r>
        <w:rPr>
          <w:rFonts w:cs="Arial"/>
          <w:szCs w:val="24"/>
        </w:rPr>
        <w:t xml:space="preserve">Le </w:t>
      </w:r>
      <w:r w:rsidRPr="001D1973">
        <w:rPr>
          <w:rFonts w:cs="Arial"/>
          <w:szCs w:val="24"/>
        </w:rPr>
        <w:t xml:space="preserve">Processus de production du handicap (MDH-PPH) propose une compréhension du handicap comme résultante de l’interaction entre les caractéristiques individuelles de la personne et celles du milieu </w:t>
      </w:r>
      <w:r>
        <w:rPr>
          <w:rFonts w:cs="Arial"/>
          <w:szCs w:val="24"/>
        </w:rPr>
        <w:t>de vie dans lequel elle évolue. Axé sur les personnes ayant des limitations, le PPH permet également une réflexion sur le confort d’usage, les besoins majeurs des unes révélant ceux plus mineurs des autres. En inscrivant le guide comme une application concrète du PPH, c’est démontrer qu’enlever ce qui handicape les uns enlève aussi ce qui gêne les autres.</w:t>
      </w:r>
    </w:p>
    <w:p w:rsidR="008C2FDF" w:rsidRDefault="00673173" w:rsidP="008C2FDF">
      <w:pPr>
        <w:rPr>
          <w:rFonts w:cs="Arial"/>
          <w:noProof/>
          <w:szCs w:val="24"/>
          <w:lang w:eastAsia="fr-CA"/>
        </w:rPr>
      </w:pPr>
      <w:r>
        <w:rPr>
          <w:rFonts w:cs="Arial"/>
          <w:szCs w:val="24"/>
        </w:rPr>
        <w:t>Une façon de repenser l’environnement est d’appliquer les principes de la conception universelle en vue d’atteindre l’accessibilité universelle. L</w:t>
      </w:r>
      <w:r w:rsidR="008C2FDF">
        <w:rPr>
          <w:rFonts w:cs="Arial"/>
          <w:szCs w:val="24"/>
        </w:rPr>
        <w:t>a démarche de l’Ontario</w:t>
      </w:r>
      <w:r>
        <w:rPr>
          <w:rFonts w:cs="Arial"/>
          <w:szCs w:val="24"/>
        </w:rPr>
        <w:t xml:space="preserve"> </w:t>
      </w:r>
      <w:r w:rsidR="008C2FDF">
        <w:rPr>
          <w:rFonts w:cs="Arial"/>
          <w:szCs w:val="24"/>
        </w:rPr>
        <w:t xml:space="preserve">sur les approvisionnements accessibles s’appuie </w:t>
      </w:r>
      <w:r>
        <w:rPr>
          <w:rFonts w:cs="Arial"/>
          <w:szCs w:val="24"/>
        </w:rPr>
        <w:t xml:space="preserve">d’ailleurs </w:t>
      </w:r>
      <w:r w:rsidR="008C2FDF">
        <w:rPr>
          <w:rFonts w:cs="Arial"/>
          <w:szCs w:val="24"/>
        </w:rPr>
        <w:t xml:space="preserve">sur </w:t>
      </w:r>
      <w:r w:rsidR="008C2FDF" w:rsidRPr="001D1973">
        <w:rPr>
          <w:rFonts w:cs="Arial"/>
          <w:szCs w:val="24"/>
        </w:rPr>
        <w:t>l’application des princip</w:t>
      </w:r>
      <w:r w:rsidR="00030469">
        <w:rPr>
          <w:rFonts w:cs="Arial"/>
          <w:szCs w:val="24"/>
        </w:rPr>
        <w:t xml:space="preserve">es de la conception universelle, ce qui </w:t>
      </w:r>
      <w:r w:rsidR="008C2FDF">
        <w:rPr>
          <w:rFonts w:cs="Arial"/>
          <w:szCs w:val="24"/>
        </w:rPr>
        <w:t>permet un survol des enjeux</w:t>
      </w:r>
      <w:r w:rsidR="00030469">
        <w:rPr>
          <w:rFonts w:cs="Arial"/>
          <w:szCs w:val="24"/>
        </w:rPr>
        <w:t>.</w:t>
      </w:r>
      <w:r w:rsidR="008C2FDF">
        <w:rPr>
          <w:rFonts w:cs="Arial"/>
          <w:szCs w:val="24"/>
        </w:rPr>
        <w:t xml:space="preserve"> </w:t>
      </w:r>
      <w:r w:rsidR="00030469">
        <w:rPr>
          <w:rFonts w:cs="Arial"/>
          <w:szCs w:val="24"/>
        </w:rPr>
        <w:t>De plus, cela</w:t>
      </w:r>
      <w:r w:rsidR="008C2FDF">
        <w:rPr>
          <w:rFonts w:cs="Arial"/>
          <w:szCs w:val="24"/>
        </w:rPr>
        <w:t xml:space="preserve"> constitue une base </w:t>
      </w:r>
      <w:r w:rsidR="00030469">
        <w:rPr>
          <w:rFonts w:cs="Arial"/>
          <w:szCs w:val="24"/>
        </w:rPr>
        <w:t>d</w:t>
      </w:r>
      <w:r w:rsidR="008C2FDF">
        <w:rPr>
          <w:rFonts w:cs="Arial"/>
          <w:szCs w:val="24"/>
        </w:rPr>
        <w:t xml:space="preserve">’échange au sein de </w:t>
      </w:r>
      <w:r w:rsidR="00030469">
        <w:rPr>
          <w:rFonts w:cs="Arial"/>
          <w:szCs w:val="24"/>
        </w:rPr>
        <w:t>l’</w:t>
      </w:r>
      <w:r w:rsidR="008C2FDF">
        <w:rPr>
          <w:rFonts w:cs="Arial"/>
          <w:szCs w:val="24"/>
        </w:rPr>
        <w:t xml:space="preserve">entité </w:t>
      </w:r>
      <w:r w:rsidR="00030469">
        <w:rPr>
          <w:rFonts w:cs="Arial"/>
          <w:szCs w:val="24"/>
        </w:rPr>
        <w:t>responsable des achats</w:t>
      </w:r>
      <w:r w:rsidR="008C2FDF">
        <w:rPr>
          <w:rFonts w:cs="Arial"/>
          <w:szCs w:val="24"/>
        </w:rPr>
        <w:t>. L</w:t>
      </w:r>
      <w:r w:rsidR="008C2FDF" w:rsidRPr="001D1973">
        <w:rPr>
          <w:rFonts w:cs="Arial"/>
          <w:szCs w:val="24"/>
        </w:rPr>
        <w:t xml:space="preserve">’application des principes de la conception universelle, </w:t>
      </w:r>
      <w:r w:rsidR="008C2FDF" w:rsidRPr="001D1973">
        <w:rPr>
          <w:rFonts w:cs="Arial"/>
          <w:szCs w:val="24"/>
        </w:rPr>
        <w:lastRenderedPageBreak/>
        <w:t>primordiale au respect des droits des personnes handicapées, est bénéfique à l’ensemble de la population</w:t>
      </w:r>
      <w:r w:rsidR="008C2FDF">
        <w:rPr>
          <w:rFonts w:cs="Arial"/>
          <w:szCs w:val="24"/>
        </w:rPr>
        <w:t xml:space="preserve"> tel que proposé </w:t>
      </w:r>
      <w:r w:rsidR="00030469">
        <w:rPr>
          <w:rFonts w:cs="Arial"/>
          <w:szCs w:val="24"/>
        </w:rPr>
        <w:t>précédemme</w:t>
      </w:r>
      <w:r w:rsidR="008C2FDF">
        <w:rPr>
          <w:rFonts w:cs="Arial"/>
          <w:szCs w:val="24"/>
        </w:rPr>
        <w:t>nt.</w:t>
      </w:r>
    </w:p>
    <w:p w:rsidR="00673173" w:rsidRDefault="00673173" w:rsidP="00673173">
      <w:pPr>
        <w:rPr>
          <w:rFonts w:cs="Arial"/>
          <w:szCs w:val="24"/>
        </w:rPr>
      </w:pPr>
      <w:r>
        <w:rPr>
          <w:rFonts w:cs="Arial"/>
          <w:szCs w:val="24"/>
        </w:rPr>
        <w:t>La direction dans laquelle s’est engagé le Québec en 2004</w:t>
      </w:r>
      <w:r w:rsidR="00030469">
        <w:rPr>
          <w:rFonts w:cs="Arial"/>
          <w:szCs w:val="24"/>
        </w:rPr>
        <w:t>, comme celle de l’Ontario préalablement cité,</w:t>
      </w:r>
      <w:r>
        <w:rPr>
          <w:rFonts w:cs="Arial"/>
          <w:szCs w:val="24"/>
        </w:rPr>
        <w:t xml:space="preserve"> est également celle qu’ont suivie d’autres juridictions, à notre connaissance, le Canada, les États-Unis</w:t>
      </w:r>
      <w:r w:rsidR="002541E8">
        <w:rPr>
          <w:rStyle w:val="Appelnotedebasdep"/>
          <w:rFonts w:cs="Arial"/>
          <w:szCs w:val="24"/>
        </w:rPr>
        <w:footnoteReference w:id="1"/>
      </w:r>
      <w:r>
        <w:rPr>
          <w:rFonts w:cs="Arial"/>
          <w:szCs w:val="24"/>
        </w:rPr>
        <w:t xml:space="preserve"> et </w:t>
      </w:r>
      <w:hyperlink r:id="rId13" w:history="1">
        <w:r w:rsidRPr="002541E8">
          <w:rPr>
            <w:rStyle w:val="Lienhypertexte"/>
            <w:rFonts w:cs="Arial"/>
            <w:szCs w:val="24"/>
          </w:rPr>
          <w:t>l’Irlande</w:t>
        </w:r>
      </w:hyperlink>
      <w:r>
        <w:rPr>
          <w:rFonts w:cs="Arial"/>
          <w:szCs w:val="24"/>
        </w:rPr>
        <w:t>. Inscrire le changement du Québec dans un mouvement international nous apparait plus fédérateur. Le défi que</w:t>
      </w:r>
      <w:r w:rsidR="002F28D2">
        <w:rPr>
          <w:rFonts w:cs="Arial"/>
          <w:szCs w:val="24"/>
        </w:rPr>
        <w:t xml:space="preserve"> l’article</w:t>
      </w:r>
      <w:r w:rsidR="00C5175D">
        <w:rPr>
          <w:rFonts w:cs="Arial"/>
          <w:szCs w:val="24"/>
        </w:rPr>
        <w:t> </w:t>
      </w:r>
      <w:r w:rsidR="002F28D2">
        <w:rPr>
          <w:rFonts w:cs="Arial"/>
          <w:szCs w:val="24"/>
        </w:rPr>
        <w:t xml:space="preserve">61.3 de la Loi </w:t>
      </w:r>
      <w:r>
        <w:rPr>
          <w:rFonts w:cs="Arial"/>
          <w:szCs w:val="24"/>
        </w:rPr>
        <w:t>propose de relever est conséquent, les acheteurs peuvent aussi compter sur ce qui se développe ailleurs pour pouvoir s’appuyer et pour influencer les fournisseurs.</w:t>
      </w:r>
      <w:r w:rsidR="002F28D2">
        <w:rPr>
          <w:rFonts w:cs="Arial"/>
          <w:szCs w:val="24"/>
        </w:rPr>
        <w:t xml:space="preserve">  </w:t>
      </w:r>
    </w:p>
    <w:p w:rsidR="00030469" w:rsidRPr="001D1973" w:rsidRDefault="00030469" w:rsidP="00030469">
      <w:pPr>
        <w:rPr>
          <w:rFonts w:cs="Arial"/>
          <w:szCs w:val="24"/>
        </w:rPr>
      </w:pPr>
      <w:r w:rsidRPr="001D1973">
        <w:rPr>
          <w:rFonts w:cs="Arial"/>
          <w:szCs w:val="24"/>
        </w:rPr>
        <w:t xml:space="preserve">Le guide doit servir d’outil de sensibilisation afin d’amener les ministères et organismes à acheter de manière proactive des biens inclusifs, qui puissent être utilisés par le plus grand nombre de personne, peu importe qu’ils aient ou non une limitation. Ainsi, les conseils </w:t>
      </w:r>
      <w:r>
        <w:rPr>
          <w:rFonts w:cs="Arial"/>
          <w:szCs w:val="24"/>
        </w:rPr>
        <w:t xml:space="preserve">promulgués par le guide </w:t>
      </w:r>
      <w:r w:rsidRPr="001D1973">
        <w:rPr>
          <w:rFonts w:cs="Arial"/>
          <w:szCs w:val="24"/>
        </w:rPr>
        <w:t xml:space="preserve">devraient, selon nous, </w:t>
      </w:r>
      <w:r>
        <w:rPr>
          <w:rFonts w:cs="Arial"/>
          <w:b/>
          <w:szCs w:val="24"/>
        </w:rPr>
        <w:t>s’appuyer sur</w:t>
      </w:r>
      <w:r w:rsidRPr="003B1A5C">
        <w:rPr>
          <w:rFonts w:cs="Arial"/>
          <w:b/>
          <w:szCs w:val="24"/>
        </w:rPr>
        <w:t xml:space="preserve"> principes de la conception universelle</w:t>
      </w:r>
      <w:r>
        <w:rPr>
          <w:rFonts w:cs="Arial"/>
          <w:szCs w:val="24"/>
        </w:rPr>
        <w:t> :</w:t>
      </w:r>
    </w:p>
    <w:p w:rsidR="00030469" w:rsidRPr="001D1973" w:rsidRDefault="00030469" w:rsidP="00030469">
      <w:pPr>
        <w:pStyle w:val="Paragraphedeliste"/>
        <w:numPr>
          <w:ilvl w:val="0"/>
          <w:numId w:val="13"/>
        </w:numPr>
        <w:rPr>
          <w:rFonts w:cs="Arial"/>
          <w:szCs w:val="24"/>
        </w:rPr>
      </w:pPr>
      <w:r w:rsidRPr="001D1973">
        <w:rPr>
          <w:rFonts w:cs="Arial"/>
          <w:szCs w:val="24"/>
        </w:rPr>
        <w:t>Utilisation égalitaire</w:t>
      </w:r>
      <w:r>
        <w:rPr>
          <w:rFonts w:cs="Arial"/>
          <w:szCs w:val="24"/>
        </w:rPr>
        <w:t>;</w:t>
      </w:r>
    </w:p>
    <w:p w:rsidR="00030469" w:rsidRPr="001D1973" w:rsidRDefault="00030469" w:rsidP="00030469">
      <w:pPr>
        <w:pStyle w:val="Paragraphedeliste"/>
        <w:numPr>
          <w:ilvl w:val="0"/>
          <w:numId w:val="13"/>
        </w:numPr>
        <w:spacing w:after="0" w:line="240" w:lineRule="auto"/>
        <w:rPr>
          <w:rFonts w:eastAsia="Times New Roman" w:cs="Arial"/>
          <w:szCs w:val="24"/>
          <w:lang w:eastAsia="fr-CA"/>
        </w:rPr>
      </w:pPr>
      <w:r w:rsidRPr="001D1973">
        <w:rPr>
          <w:rFonts w:eastAsia="Times New Roman" w:cs="Arial"/>
          <w:szCs w:val="24"/>
          <w:lang w:eastAsia="fr-CA"/>
        </w:rPr>
        <w:t>Flexibilité d’utilisation</w:t>
      </w:r>
      <w:r>
        <w:rPr>
          <w:rFonts w:eastAsia="Times New Roman" w:cs="Arial"/>
          <w:szCs w:val="24"/>
          <w:lang w:eastAsia="fr-CA"/>
        </w:rPr>
        <w:t>;</w:t>
      </w:r>
    </w:p>
    <w:p w:rsidR="00030469" w:rsidRPr="001D1973" w:rsidRDefault="00030469" w:rsidP="00030469">
      <w:pPr>
        <w:pStyle w:val="Paragraphedeliste"/>
        <w:numPr>
          <w:ilvl w:val="0"/>
          <w:numId w:val="13"/>
        </w:numPr>
        <w:spacing w:after="0" w:line="240" w:lineRule="auto"/>
        <w:rPr>
          <w:rFonts w:eastAsia="Times New Roman" w:cs="Arial"/>
          <w:szCs w:val="24"/>
          <w:lang w:eastAsia="fr-CA"/>
        </w:rPr>
      </w:pPr>
      <w:r w:rsidRPr="001D1973">
        <w:rPr>
          <w:rFonts w:eastAsia="Times New Roman" w:cs="Arial"/>
          <w:szCs w:val="24"/>
          <w:lang w:eastAsia="fr-CA"/>
        </w:rPr>
        <w:t>Utilisation simple et intuitive</w:t>
      </w:r>
      <w:r>
        <w:rPr>
          <w:rFonts w:eastAsia="Times New Roman" w:cs="Arial"/>
          <w:szCs w:val="24"/>
          <w:lang w:eastAsia="fr-CA"/>
        </w:rPr>
        <w:t>;</w:t>
      </w:r>
    </w:p>
    <w:p w:rsidR="00030469" w:rsidRPr="001D1973" w:rsidRDefault="00030469" w:rsidP="00030469">
      <w:pPr>
        <w:pStyle w:val="Paragraphedeliste"/>
        <w:numPr>
          <w:ilvl w:val="0"/>
          <w:numId w:val="13"/>
        </w:numPr>
        <w:spacing w:after="0" w:line="240" w:lineRule="auto"/>
        <w:rPr>
          <w:rFonts w:eastAsia="Times New Roman" w:cs="Arial"/>
          <w:szCs w:val="24"/>
          <w:lang w:eastAsia="fr-CA"/>
        </w:rPr>
      </w:pPr>
      <w:r w:rsidRPr="001D1973">
        <w:rPr>
          <w:rFonts w:eastAsia="Times New Roman" w:cs="Arial"/>
          <w:szCs w:val="24"/>
          <w:lang w:eastAsia="fr-CA"/>
        </w:rPr>
        <w:t>Information perceptible</w:t>
      </w:r>
      <w:r>
        <w:rPr>
          <w:rFonts w:eastAsia="Times New Roman" w:cs="Arial"/>
          <w:szCs w:val="24"/>
          <w:lang w:eastAsia="fr-CA"/>
        </w:rPr>
        <w:t>;</w:t>
      </w:r>
    </w:p>
    <w:p w:rsidR="00030469" w:rsidRPr="001D1973" w:rsidRDefault="00030469" w:rsidP="00030469">
      <w:pPr>
        <w:pStyle w:val="Paragraphedeliste"/>
        <w:numPr>
          <w:ilvl w:val="0"/>
          <w:numId w:val="13"/>
        </w:numPr>
        <w:spacing w:after="0" w:line="240" w:lineRule="auto"/>
        <w:rPr>
          <w:rFonts w:eastAsia="Times New Roman" w:cs="Arial"/>
          <w:szCs w:val="24"/>
          <w:lang w:eastAsia="fr-CA"/>
        </w:rPr>
      </w:pPr>
      <w:r w:rsidRPr="001D1973">
        <w:rPr>
          <w:rFonts w:eastAsia="Times New Roman" w:cs="Arial"/>
          <w:szCs w:val="24"/>
          <w:lang w:eastAsia="fr-CA"/>
        </w:rPr>
        <w:t>Tolérance pour l’erreur</w:t>
      </w:r>
      <w:r>
        <w:rPr>
          <w:rFonts w:eastAsia="Times New Roman" w:cs="Arial"/>
          <w:szCs w:val="24"/>
          <w:lang w:eastAsia="fr-CA"/>
        </w:rPr>
        <w:t>;</w:t>
      </w:r>
    </w:p>
    <w:p w:rsidR="00030469" w:rsidRPr="001D1973" w:rsidRDefault="00030469" w:rsidP="00030469">
      <w:pPr>
        <w:pStyle w:val="Paragraphedeliste"/>
        <w:numPr>
          <w:ilvl w:val="0"/>
          <w:numId w:val="13"/>
        </w:numPr>
        <w:spacing w:after="0" w:line="240" w:lineRule="auto"/>
        <w:rPr>
          <w:rFonts w:eastAsia="Times New Roman" w:cs="Arial"/>
          <w:szCs w:val="24"/>
          <w:lang w:eastAsia="fr-CA"/>
        </w:rPr>
      </w:pPr>
      <w:r w:rsidRPr="001D1973">
        <w:rPr>
          <w:rFonts w:eastAsia="Times New Roman" w:cs="Arial"/>
          <w:szCs w:val="24"/>
          <w:lang w:eastAsia="fr-CA"/>
        </w:rPr>
        <w:t>Effort physique minimal</w:t>
      </w:r>
      <w:r>
        <w:rPr>
          <w:rFonts w:eastAsia="Times New Roman" w:cs="Arial"/>
          <w:szCs w:val="24"/>
          <w:lang w:eastAsia="fr-CA"/>
        </w:rPr>
        <w:t>;</w:t>
      </w:r>
    </w:p>
    <w:p w:rsidR="002F28D2" w:rsidRDefault="00030469" w:rsidP="00030469">
      <w:pPr>
        <w:pStyle w:val="Paragraphedeliste"/>
        <w:numPr>
          <w:ilvl w:val="0"/>
          <w:numId w:val="13"/>
        </w:numPr>
        <w:spacing w:after="0" w:line="240" w:lineRule="auto"/>
        <w:rPr>
          <w:rFonts w:eastAsia="Times New Roman" w:cs="Arial"/>
          <w:szCs w:val="24"/>
          <w:lang w:eastAsia="fr-CA"/>
        </w:rPr>
      </w:pPr>
      <w:r w:rsidRPr="001D1973">
        <w:rPr>
          <w:rFonts w:eastAsia="Times New Roman" w:cs="Arial"/>
          <w:szCs w:val="24"/>
          <w:lang w:eastAsia="fr-CA"/>
        </w:rPr>
        <w:t>Et Dimensions et espace libre pour l’approche et l’utilisation</w:t>
      </w:r>
      <w:r>
        <w:rPr>
          <w:rFonts w:eastAsia="Times New Roman" w:cs="Arial"/>
          <w:szCs w:val="24"/>
          <w:lang w:eastAsia="fr-CA"/>
        </w:rPr>
        <w:t>.</w:t>
      </w:r>
    </w:p>
    <w:p w:rsidR="00C14350" w:rsidRPr="002F28D2" w:rsidRDefault="00C14350" w:rsidP="002F28D2">
      <w:pPr>
        <w:spacing w:after="0" w:line="240" w:lineRule="auto"/>
        <w:rPr>
          <w:rFonts w:eastAsia="Times New Roman" w:cs="Arial"/>
          <w:szCs w:val="24"/>
          <w:lang w:eastAsia="fr-CA"/>
        </w:rPr>
      </w:pPr>
      <w:r w:rsidRPr="002F28D2">
        <w:rPr>
          <w:rFonts w:cs="Arial"/>
          <w:szCs w:val="24"/>
        </w:rPr>
        <w:br w:type="page"/>
      </w:r>
    </w:p>
    <w:p w:rsidR="00B92B57" w:rsidRPr="001D1973" w:rsidRDefault="009D4487" w:rsidP="00C14350">
      <w:pPr>
        <w:pStyle w:val="Titre1"/>
      </w:pPr>
      <w:bookmarkStart w:id="6" w:name="_Toc372638942"/>
      <w:bookmarkStart w:id="7" w:name="_Toc372718223"/>
      <w:r>
        <w:lastRenderedPageBreak/>
        <w:t>La vision de la COPHAN pour ce guide</w:t>
      </w:r>
      <w:bookmarkEnd w:id="6"/>
      <w:bookmarkEnd w:id="7"/>
    </w:p>
    <w:p w:rsidR="006E54BC" w:rsidRPr="001D1973" w:rsidRDefault="006E54BC" w:rsidP="00E90C18">
      <w:pPr>
        <w:rPr>
          <w:rFonts w:cs="Arial"/>
          <w:szCs w:val="24"/>
        </w:rPr>
      </w:pPr>
    </w:p>
    <w:p w:rsidR="00B31C8B" w:rsidRPr="001D1973" w:rsidRDefault="001D1973" w:rsidP="00E90C18">
      <w:pPr>
        <w:rPr>
          <w:rFonts w:cs="Arial"/>
          <w:szCs w:val="24"/>
        </w:rPr>
      </w:pPr>
      <w:r w:rsidRPr="001D1973">
        <w:rPr>
          <w:rFonts w:cs="Arial"/>
          <w:szCs w:val="24"/>
        </w:rPr>
        <w:t>P</w:t>
      </w:r>
      <w:r w:rsidR="00B31C8B" w:rsidRPr="001D1973">
        <w:rPr>
          <w:rFonts w:cs="Arial"/>
          <w:szCs w:val="24"/>
        </w:rPr>
        <w:t>our la COPHAN, l’article</w:t>
      </w:r>
      <w:r w:rsidR="00C14350">
        <w:rPr>
          <w:rFonts w:cs="Arial"/>
          <w:szCs w:val="24"/>
        </w:rPr>
        <w:t> </w:t>
      </w:r>
      <w:r w:rsidR="00B31C8B" w:rsidRPr="001D1973">
        <w:rPr>
          <w:rFonts w:cs="Arial"/>
          <w:szCs w:val="24"/>
        </w:rPr>
        <w:t>61.3 de la Loi vise deux sphères distinctes, soit les produits et services disponible</w:t>
      </w:r>
      <w:r w:rsidR="00C14350">
        <w:rPr>
          <w:rFonts w:cs="Arial"/>
          <w:szCs w:val="24"/>
        </w:rPr>
        <w:t xml:space="preserve">s </w:t>
      </w:r>
      <w:r w:rsidR="00B31C8B" w:rsidRPr="001D1973">
        <w:rPr>
          <w:rFonts w:cs="Arial"/>
          <w:szCs w:val="24"/>
        </w:rPr>
        <w:t xml:space="preserve">à l’interne d’un MO </w:t>
      </w:r>
      <w:r w:rsidR="00014866">
        <w:rPr>
          <w:rFonts w:cs="Arial"/>
          <w:szCs w:val="24"/>
        </w:rPr>
        <w:t xml:space="preserve">et d’une municipalité </w:t>
      </w:r>
      <w:r w:rsidR="00B31C8B" w:rsidRPr="001D1973">
        <w:rPr>
          <w:rFonts w:cs="Arial"/>
          <w:szCs w:val="24"/>
        </w:rPr>
        <w:t>pour les employés</w:t>
      </w:r>
      <w:r w:rsidR="00014866">
        <w:rPr>
          <w:rFonts w:cs="Arial"/>
          <w:szCs w:val="24"/>
        </w:rPr>
        <w:t xml:space="preserve"> avec ou sans limitations</w:t>
      </w:r>
      <w:r w:rsidR="00CB2001" w:rsidRPr="001D1973">
        <w:rPr>
          <w:rFonts w:cs="Arial"/>
          <w:szCs w:val="24"/>
        </w:rPr>
        <w:t>,</w:t>
      </w:r>
      <w:r w:rsidR="00B31C8B" w:rsidRPr="001D1973">
        <w:rPr>
          <w:rFonts w:cs="Arial"/>
          <w:szCs w:val="24"/>
        </w:rPr>
        <w:t xml:space="preserve"> et les produits et service</w:t>
      </w:r>
      <w:r w:rsidR="005257CB">
        <w:rPr>
          <w:rFonts w:cs="Arial"/>
          <w:szCs w:val="24"/>
        </w:rPr>
        <w:t>s</w:t>
      </w:r>
      <w:r w:rsidR="00C14350">
        <w:rPr>
          <w:rFonts w:cs="Arial"/>
          <w:szCs w:val="24"/>
        </w:rPr>
        <w:t xml:space="preserve"> </w:t>
      </w:r>
      <w:r w:rsidR="00527D29" w:rsidRPr="001D1973">
        <w:rPr>
          <w:rFonts w:cs="Arial"/>
          <w:szCs w:val="24"/>
        </w:rPr>
        <w:t>offerts</w:t>
      </w:r>
      <w:r w:rsidR="00B31C8B" w:rsidRPr="001D1973">
        <w:rPr>
          <w:rFonts w:cs="Arial"/>
          <w:szCs w:val="24"/>
        </w:rPr>
        <w:t xml:space="preserve"> à l’externe, pour les citoyens</w:t>
      </w:r>
      <w:r w:rsidR="006340D7">
        <w:rPr>
          <w:rFonts w:cs="Arial"/>
          <w:szCs w:val="24"/>
        </w:rPr>
        <w:t xml:space="preserve"> avec ou sans limitations</w:t>
      </w:r>
      <w:r w:rsidR="00B31C8B" w:rsidRPr="001D1973">
        <w:rPr>
          <w:rFonts w:cs="Arial"/>
          <w:szCs w:val="24"/>
        </w:rPr>
        <w:t>.</w:t>
      </w:r>
      <w:r w:rsidR="00114541" w:rsidRPr="00114541">
        <w:rPr>
          <w:rFonts w:cs="Arial"/>
          <w:szCs w:val="24"/>
        </w:rPr>
        <w:t xml:space="preserve"> </w:t>
      </w:r>
      <w:r w:rsidR="00114541">
        <w:rPr>
          <w:rFonts w:cs="Arial"/>
          <w:szCs w:val="24"/>
        </w:rPr>
        <w:t>L’</w:t>
      </w:r>
      <w:r w:rsidR="00114541" w:rsidRPr="001D1973">
        <w:rPr>
          <w:rFonts w:cs="Arial"/>
          <w:szCs w:val="24"/>
        </w:rPr>
        <w:t xml:space="preserve">objectif </w:t>
      </w:r>
      <w:r w:rsidR="00114541">
        <w:rPr>
          <w:rFonts w:cs="Arial"/>
          <w:szCs w:val="24"/>
        </w:rPr>
        <w:t xml:space="preserve">affiché du </w:t>
      </w:r>
      <w:r w:rsidR="00114541" w:rsidRPr="001D1973">
        <w:rPr>
          <w:rFonts w:cs="Arial"/>
          <w:szCs w:val="24"/>
        </w:rPr>
        <w:t>guide </w:t>
      </w:r>
      <w:r w:rsidR="00114541">
        <w:rPr>
          <w:rFonts w:cs="Arial"/>
          <w:szCs w:val="24"/>
        </w:rPr>
        <w:t>est</w:t>
      </w:r>
      <w:r w:rsidR="00700B8B">
        <w:rPr>
          <w:rFonts w:cs="Arial"/>
          <w:szCs w:val="24"/>
        </w:rPr>
        <w:t> :</w:t>
      </w:r>
      <w:r w:rsidR="00114541" w:rsidRPr="001D1973">
        <w:rPr>
          <w:rFonts w:cs="Arial"/>
          <w:szCs w:val="24"/>
        </w:rPr>
        <w:t xml:space="preserve"> « se doter d’équipements de bureau aptes à faire de leur milieu de travail un lieu inclusif où tous les employés, qu’ils soient ou non handicapés, pourront œuvrer au meilleur de leurs capacités</w:t>
      </w:r>
      <w:r w:rsidR="00114541">
        <w:rPr>
          <w:rFonts w:cs="Arial"/>
          <w:szCs w:val="24"/>
        </w:rPr>
        <w:t> ». N</w:t>
      </w:r>
      <w:r w:rsidR="00114541" w:rsidRPr="001D1973">
        <w:rPr>
          <w:rFonts w:cs="Arial"/>
          <w:szCs w:val="24"/>
        </w:rPr>
        <w:t xml:space="preserve">ous </w:t>
      </w:r>
      <w:r w:rsidR="00114541">
        <w:rPr>
          <w:rFonts w:cs="Arial"/>
          <w:szCs w:val="24"/>
        </w:rPr>
        <w:t>adhérons à cet objectif,</w:t>
      </w:r>
      <w:r w:rsidR="00114541" w:rsidRPr="001D1973">
        <w:rPr>
          <w:rFonts w:cs="Arial"/>
          <w:szCs w:val="24"/>
        </w:rPr>
        <w:t xml:space="preserve"> ce guide </w:t>
      </w:r>
      <w:r w:rsidR="00114541">
        <w:rPr>
          <w:rFonts w:cs="Arial"/>
          <w:szCs w:val="24"/>
        </w:rPr>
        <w:t xml:space="preserve">doit </w:t>
      </w:r>
      <w:r w:rsidR="00114541" w:rsidRPr="001D1973">
        <w:rPr>
          <w:rFonts w:cs="Arial"/>
          <w:b/>
          <w:szCs w:val="24"/>
        </w:rPr>
        <w:t xml:space="preserve">développer un réflexe d’achat plus inclusif pour </w:t>
      </w:r>
      <w:r w:rsidR="00114541">
        <w:rPr>
          <w:rFonts w:cs="Arial"/>
          <w:b/>
          <w:szCs w:val="24"/>
        </w:rPr>
        <w:t xml:space="preserve">toutes et </w:t>
      </w:r>
      <w:r w:rsidR="00114541" w:rsidRPr="001D1973">
        <w:rPr>
          <w:rFonts w:cs="Arial"/>
          <w:b/>
          <w:szCs w:val="24"/>
        </w:rPr>
        <w:t>tous.</w:t>
      </w:r>
    </w:p>
    <w:p w:rsidR="00A905C5" w:rsidRPr="001D1973" w:rsidRDefault="00A905C5" w:rsidP="00A905C5">
      <w:pPr>
        <w:rPr>
          <w:rFonts w:cs="Arial"/>
          <w:szCs w:val="24"/>
        </w:rPr>
      </w:pPr>
      <w:r>
        <w:rPr>
          <w:rFonts w:cs="Arial"/>
          <w:szCs w:val="24"/>
        </w:rPr>
        <w:t>Or, l</w:t>
      </w:r>
      <w:r w:rsidRPr="001D1973">
        <w:rPr>
          <w:rFonts w:cs="Arial"/>
          <w:szCs w:val="24"/>
        </w:rPr>
        <w:t xml:space="preserve">e </w:t>
      </w:r>
      <w:r>
        <w:rPr>
          <w:rFonts w:cs="Arial"/>
          <w:szCs w:val="24"/>
        </w:rPr>
        <w:t xml:space="preserve">projet de </w:t>
      </w:r>
      <w:r w:rsidRPr="001D1973">
        <w:rPr>
          <w:rFonts w:cs="Arial"/>
          <w:szCs w:val="24"/>
        </w:rPr>
        <w:t xml:space="preserve">guide </w:t>
      </w:r>
      <w:r>
        <w:rPr>
          <w:rFonts w:cs="Arial"/>
          <w:szCs w:val="24"/>
        </w:rPr>
        <w:t>nous semble</w:t>
      </w:r>
      <w:r w:rsidRPr="001D1973">
        <w:rPr>
          <w:rFonts w:cs="Arial"/>
          <w:szCs w:val="24"/>
        </w:rPr>
        <w:t xml:space="preserve"> répondre à la première sphère d’intervention, soit les achats pour l’interne</w:t>
      </w:r>
      <w:r>
        <w:rPr>
          <w:rFonts w:cs="Arial"/>
          <w:szCs w:val="24"/>
        </w:rPr>
        <w:t xml:space="preserve"> et restreindre sa portée à des personnes avec une limitation précise</w:t>
      </w:r>
      <w:r w:rsidRPr="001D1973">
        <w:rPr>
          <w:rFonts w:cs="Arial"/>
          <w:szCs w:val="24"/>
        </w:rPr>
        <w:t xml:space="preserve">. Sa forme actuelle </w:t>
      </w:r>
      <w:r>
        <w:rPr>
          <w:rFonts w:cs="Arial"/>
          <w:szCs w:val="24"/>
        </w:rPr>
        <w:t xml:space="preserve">nous apparait </w:t>
      </w:r>
      <w:r w:rsidRPr="001D1973">
        <w:rPr>
          <w:rFonts w:cs="Arial"/>
          <w:szCs w:val="24"/>
        </w:rPr>
        <w:t>plu</w:t>
      </w:r>
      <w:r>
        <w:rPr>
          <w:rFonts w:cs="Arial"/>
          <w:szCs w:val="24"/>
        </w:rPr>
        <w:t>s celle d’</w:t>
      </w:r>
      <w:r w:rsidRPr="001D1973">
        <w:rPr>
          <w:rFonts w:cs="Arial"/>
          <w:szCs w:val="24"/>
        </w:rPr>
        <w:t xml:space="preserve">un outil de soutien à l’employeur désirant adapter </w:t>
      </w:r>
      <w:r>
        <w:rPr>
          <w:rFonts w:cs="Arial"/>
          <w:szCs w:val="24"/>
        </w:rPr>
        <w:t>l’</w:t>
      </w:r>
      <w:r w:rsidRPr="001D1973">
        <w:rPr>
          <w:rFonts w:cs="Arial"/>
          <w:szCs w:val="24"/>
        </w:rPr>
        <w:t xml:space="preserve">environnement </w:t>
      </w:r>
      <w:r>
        <w:rPr>
          <w:rFonts w:cs="Arial"/>
          <w:szCs w:val="24"/>
        </w:rPr>
        <w:t xml:space="preserve">afin </w:t>
      </w:r>
      <w:r w:rsidRPr="001D1973">
        <w:rPr>
          <w:rFonts w:cs="Arial"/>
          <w:szCs w:val="24"/>
        </w:rPr>
        <w:t xml:space="preserve">qu’une personne en particulier, avec </w:t>
      </w:r>
      <w:r>
        <w:rPr>
          <w:rFonts w:cs="Arial"/>
          <w:szCs w:val="24"/>
        </w:rPr>
        <w:t>une seule limitation</w:t>
      </w:r>
      <w:r w:rsidRPr="001D1973">
        <w:rPr>
          <w:rFonts w:cs="Arial"/>
          <w:szCs w:val="24"/>
        </w:rPr>
        <w:t>, puisse travailler dans un environnement adéquat.</w:t>
      </w:r>
    </w:p>
    <w:p w:rsidR="00A905C5" w:rsidRDefault="00A905C5" w:rsidP="00E90C18">
      <w:pPr>
        <w:rPr>
          <w:rFonts w:cs="Arial"/>
          <w:szCs w:val="24"/>
        </w:rPr>
      </w:pPr>
      <w:r w:rsidRPr="001D1973">
        <w:rPr>
          <w:rFonts w:cs="Arial"/>
          <w:szCs w:val="24"/>
        </w:rPr>
        <w:t xml:space="preserve">Dans le quotidien, l’employé </w:t>
      </w:r>
      <w:r>
        <w:rPr>
          <w:rFonts w:cs="Arial"/>
          <w:szCs w:val="24"/>
        </w:rPr>
        <w:t xml:space="preserve">chargé de l’aspect légal de l’approvisionnement </w:t>
      </w:r>
      <w:r w:rsidRPr="001D1973">
        <w:rPr>
          <w:rFonts w:cs="Arial"/>
          <w:szCs w:val="24"/>
        </w:rPr>
        <w:t>n’a</w:t>
      </w:r>
      <w:r>
        <w:rPr>
          <w:rFonts w:cs="Arial"/>
          <w:szCs w:val="24"/>
        </w:rPr>
        <w:t>ura</w:t>
      </w:r>
      <w:r w:rsidRPr="001D1973">
        <w:rPr>
          <w:rFonts w:cs="Arial"/>
          <w:szCs w:val="24"/>
        </w:rPr>
        <w:t xml:space="preserve"> pas le temps </w:t>
      </w:r>
      <w:r>
        <w:rPr>
          <w:rFonts w:cs="Arial"/>
          <w:szCs w:val="24"/>
        </w:rPr>
        <w:t xml:space="preserve">ni les compétences </w:t>
      </w:r>
      <w:r w:rsidRPr="001D1973">
        <w:rPr>
          <w:rFonts w:cs="Arial"/>
          <w:szCs w:val="24"/>
        </w:rPr>
        <w:t xml:space="preserve">d’évaluer chaque achat ou location, et de chercher si les critères d’accessibilité </w:t>
      </w:r>
      <w:r>
        <w:rPr>
          <w:rFonts w:cs="Arial"/>
          <w:szCs w:val="24"/>
        </w:rPr>
        <w:t>précis sont</w:t>
      </w:r>
      <w:r w:rsidRPr="001D1973">
        <w:rPr>
          <w:rFonts w:cs="Arial"/>
          <w:szCs w:val="24"/>
        </w:rPr>
        <w:t xml:space="preserve"> atteints : « Les acheteurs des organisations assujetties à l’article</w:t>
      </w:r>
      <w:r>
        <w:rPr>
          <w:rFonts w:cs="Arial"/>
          <w:szCs w:val="24"/>
        </w:rPr>
        <w:t> </w:t>
      </w:r>
      <w:r w:rsidRPr="001D1973">
        <w:rPr>
          <w:rFonts w:cs="Arial"/>
          <w:szCs w:val="24"/>
        </w:rPr>
        <w:t xml:space="preserve">61.3 doivent procéder à une évaluation de </w:t>
      </w:r>
      <w:r w:rsidRPr="001D1973">
        <w:rPr>
          <w:rFonts w:cs="Arial"/>
          <w:szCs w:val="24"/>
          <w:u w:val="single"/>
        </w:rPr>
        <w:t>chaque</w:t>
      </w:r>
      <w:r w:rsidRPr="001D1973">
        <w:rPr>
          <w:rFonts w:cs="Arial"/>
          <w:szCs w:val="24"/>
        </w:rPr>
        <w:t xml:space="preserve"> produit ou service en tenant compte des obstacles qu’il peut représenter pour une personne handicapée</w:t>
      </w:r>
      <w:r>
        <w:rPr>
          <w:rFonts w:cs="Arial"/>
          <w:szCs w:val="24"/>
        </w:rPr>
        <w:t> »</w:t>
      </w:r>
      <w:r w:rsidRPr="001D1973">
        <w:rPr>
          <w:rFonts w:cs="Arial"/>
          <w:szCs w:val="24"/>
        </w:rPr>
        <w:t>.</w:t>
      </w:r>
      <w:r>
        <w:rPr>
          <w:rFonts w:cs="Arial"/>
          <w:szCs w:val="24"/>
        </w:rPr>
        <w:t xml:space="preserve"> L’expérience vécue lors de la rédaction du Guide sur les parcours sans obstacle, en processus de rédaction actuellement, nous apparait révélatrice : les professionnels veulent saisir les enjeux et pas seulement appliquer des solutions toutes faites. Cela est plus stimulant et surtout, permet de s’ajuster au cas où la situation terrain pose des contraintes pour lesquelles la solution globale n’était pas prévue.</w:t>
      </w:r>
    </w:p>
    <w:p w:rsidR="006E54BC" w:rsidRPr="001D1973" w:rsidRDefault="00A905C5" w:rsidP="00E90C18">
      <w:pPr>
        <w:rPr>
          <w:rFonts w:cs="Arial"/>
          <w:szCs w:val="24"/>
        </w:rPr>
      </w:pPr>
      <w:r>
        <w:rPr>
          <w:rFonts w:cs="Arial"/>
          <w:szCs w:val="24"/>
        </w:rPr>
        <w:t>À titre d’exemple</w:t>
      </w:r>
      <w:r w:rsidR="00527D29" w:rsidRPr="001D1973">
        <w:rPr>
          <w:rFonts w:cs="Arial"/>
          <w:szCs w:val="24"/>
        </w:rPr>
        <w:t>, c</w:t>
      </w:r>
      <w:r w:rsidR="006E54BC" w:rsidRPr="001D1973">
        <w:rPr>
          <w:rFonts w:cs="Arial"/>
          <w:szCs w:val="24"/>
        </w:rPr>
        <w:t>oncrètement, un employé qui doit acheter des agrafeuses</w:t>
      </w:r>
      <w:r w:rsidR="00B92B57" w:rsidRPr="001D1973">
        <w:rPr>
          <w:rFonts w:cs="Arial"/>
          <w:szCs w:val="24"/>
        </w:rPr>
        <w:t xml:space="preserve"> et qui désire s’assurer de leur utilisabilité par le plus grand nombre de personne</w:t>
      </w:r>
      <w:r w:rsidR="00C14350">
        <w:rPr>
          <w:rFonts w:cs="Arial"/>
          <w:szCs w:val="24"/>
        </w:rPr>
        <w:t xml:space="preserve">s </w:t>
      </w:r>
      <w:r w:rsidR="00B92B57" w:rsidRPr="001D1973">
        <w:rPr>
          <w:rFonts w:cs="Arial"/>
          <w:szCs w:val="24"/>
        </w:rPr>
        <w:t>possible</w:t>
      </w:r>
      <w:r w:rsidR="006E54BC" w:rsidRPr="001D1973">
        <w:rPr>
          <w:rFonts w:cs="Arial"/>
          <w:szCs w:val="24"/>
        </w:rPr>
        <w:t xml:space="preserve"> ne va pas lire les quatre sections afin de voir, par type de limitation, quels sont les critères à prendre en considération. </w:t>
      </w:r>
      <w:r w:rsidR="00366F40" w:rsidRPr="001D1973">
        <w:rPr>
          <w:rFonts w:cs="Arial"/>
          <w:szCs w:val="24"/>
        </w:rPr>
        <w:t>Sans compter que c</w:t>
      </w:r>
      <w:r w:rsidR="006E54BC" w:rsidRPr="001D1973">
        <w:rPr>
          <w:rFonts w:cs="Arial"/>
          <w:szCs w:val="24"/>
        </w:rPr>
        <w:t>es critères peuvent parfois se contredire suivant le type de limitation. Il devient ainsi difficile pour quelqu’un qui ne connait rien des questions d’accessibilité de s’y retrouver</w:t>
      </w:r>
      <w:r w:rsidR="003B1A5C">
        <w:rPr>
          <w:rFonts w:cs="Arial"/>
          <w:szCs w:val="24"/>
        </w:rPr>
        <w:t>.</w:t>
      </w:r>
    </w:p>
    <w:p w:rsidR="00A905C5" w:rsidRPr="001D1973" w:rsidRDefault="00A905C5" w:rsidP="00E90C18">
      <w:pPr>
        <w:rPr>
          <w:rFonts w:cs="Arial"/>
          <w:szCs w:val="24"/>
        </w:rPr>
      </w:pPr>
      <w:r>
        <w:rPr>
          <w:rFonts w:cs="Arial"/>
          <w:szCs w:val="24"/>
        </w:rPr>
        <w:t xml:space="preserve">Nous vous invitons donc à évaluer la pertinence d’utiliser une forme de présentation calquée sur le site </w:t>
      </w:r>
      <w:hyperlink r:id="rId14" w:history="1">
        <w:r w:rsidRPr="00F5783A">
          <w:rPr>
            <w:rStyle w:val="Lienhypertexte"/>
            <w:rFonts w:cs="Arial"/>
            <w:szCs w:val="24"/>
          </w:rPr>
          <w:t>Tiresias et ses checklist</w:t>
        </w:r>
      </w:hyperlink>
      <w:r w:rsidR="00700B8B">
        <w:rPr>
          <w:rFonts w:cs="Arial"/>
          <w:szCs w:val="24"/>
        </w:rPr>
        <w:t>s.</w:t>
      </w:r>
      <w:r>
        <w:rPr>
          <w:rFonts w:cs="Arial"/>
          <w:szCs w:val="24"/>
        </w:rPr>
        <w:t xml:space="preserve"> Celles-ci s’inscrivent parfaitement dans le concept PPH, classant les caractéristiques des produits </w:t>
      </w:r>
      <w:r w:rsidR="0048699D">
        <w:rPr>
          <w:rFonts w:cs="Arial"/>
          <w:szCs w:val="24"/>
        </w:rPr>
        <w:t xml:space="preserve">sur le </w:t>
      </w:r>
      <w:r w:rsidR="00CC16AB">
        <w:rPr>
          <w:rFonts w:cs="Arial"/>
          <w:szCs w:val="24"/>
        </w:rPr>
        <w:t>continuum</w:t>
      </w:r>
      <w:r w:rsidR="0048699D">
        <w:rPr>
          <w:rFonts w:cs="Arial"/>
          <w:szCs w:val="24"/>
        </w:rPr>
        <w:t xml:space="preserve"> </w:t>
      </w:r>
      <w:r>
        <w:rPr>
          <w:rFonts w:cs="Arial"/>
          <w:szCs w:val="24"/>
        </w:rPr>
        <w:t xml:space="preserve">d’obstacle vers facilitateur, offrant, en un coup d’œil, les avantages </w:t>
      </w:r>
      <w:r>
        <w:rPr>
          <w:rFonts w:cs="Arial"/>
          <w:szCs w:val="24"/>
        </w:rPr>
        <w:lastRenderedPageBreak/>
        <w:t>et inconvénient</w:t>
      </w:r>
      <w:r w:rsidR="00700B8B">
        <w:rPr>
          <w:rFonts w:cs="Arial"/>
          <w:szCs w:val="24"/>
        </w:rPr>
        <w:t xml:space="preserve">s </w:t>
      </w:r>
      <w:r>
        <w:rPr>
          <w:rFonts w:cs="Arial"/>
          <w:szCs w:val="24"/>
        </w:rPr>
        <w:t>des accommodements pour chaque type de limitation. Un tel travail serait</w:t>
      </w:r>
      <w:r w:rsidR="00700B8B">
        <w:rPr>
          <w:rFonts w:cs="Arial"/>
          <w:szCs w:val="24"/>
        </w:rPr>
        <w:t xml:space="preserve">, </w:t>
      </w:r>
      <w:r>
        <w:rPr>
          <w:rFonts w:cs="Arial"/>
          <w:szCs w:val="24"/>
        </w:rPr>
        <w:t>selon nous, plus adéquat au contexte des approvisionnements notamment pour les personnes travaillant l’aspect technique.</w:t>
      </w:r>
    </w:p>
    <w:p w:rsidR="00EF3421" w:rsidRDefault="003B1A5C" w:rsidP="00A905C5">
      <w:pPr>
        <w:rPr>
          <w:rFonts w:cs="Arial"/>
          <w:szCs w:val="24"/>
        </w:rPr>
      </w:pPr>
      <w:r>
        <w:rPr>
          <w:rFonts w:cs="Arial"/>
          <w:szCs w:val="24"/>
        </w:rPr>
        <w:t xml:space="preserve">Ainsi, afin de concrétiser les principes, une section sur les bonnes pratiques serait pertinente. Dans cette section, nous pourrions retrouver </w:t>
      </w:r>
      <w:r w:rsidR="00EF3421">
        <w:rPr>
          <w:rFonts w:cs="Arial"/>
          <w:szCs w:val="24"/>
        </w:rPr>
        <w:t xml:space="preserve">des </w:t>
      </w:r>
      <w:r>
        <w:rPr>
          <w:rFonts w:cs="Arial"/>
          <w:szCs w:val="24"/>
        </w:rPr>
        <w:t>lien</w:t>
      </w:r>
      <w:r w:rsidR="00EF3421">
        <w:rPr>
          <w:rFonts w:cs="Arial"/>
          <w:szCs w:val="24"/>
        </w:rPr>
        <w:t>s</w:t>
      </w:r>
      <w:r>
        <w:rPr>
          <w:rFonts w:cs="Arial"/>
          <w:szCs w:val="24"/>
        </w:rPr>
        <w:t xml:space="preserve"> vers </w:t>
      </w:r>
    </w:p>
    <w:p w:rsidR="00EF3421" w:rsidRPr="00EF3421" w:rsidRDefault="003B1A5C" w:rsidP="00504485">
      <w:pPr>
        <w:pStyle w:val="Paragraphedeliste"/>
        <w:numPr>
          <w:ilvl w:val="0"/>
          <w:numId w:val="16"/>
        </w:numPr>
        <w:rPr>
          <w:rFonts w:cs="Arial"/>
          <w:szCs w:val="24"/>
        </w:rPr>
      </w:pPr>
      <w:r w:rsidRPr="00EF3421">
        <w:rPr>
          <w:rFonts w:cs="Arial"/>
          <w:szCs w:val="24"/>
        </w:rPr>
        <w:t xml:space="preserve">la liste des </w:t>
      </w:r>
      <w:hyperlink r:id="rId15" w:history="1">
        <w:r w:rsidRPr="00EF3421">
          <w:rPr>
            <w:rStyle w:val="Lienhypertexte"/>
            <w:rFonts w:cs="Arial"/>
            <w:szCs w:val="24"/>
          </w:rPr>
          <w:t>VPAT</w:t>
        </w:r>
        <w:r w:rsidR="00A905C5" w:rsidRPr="00EF3421">
          <w:rPr>
            <w:rStyle w:val="Lienhypertexte"/>
            <w:rFonts w:cs="Arial"/>
            <w:szCs w:val="24"/>
          </w:rPr>
          <w:t xml:space="preserve"> et GPAT</w:t>
        </w:r>
        <w:r w:rsidRPr="00EF3421">
          <w:rPr>
            <w:rStyle w:val="Lienhypertexte"/>
            <w:rFonts w:cs="Arial"/>
            <w:szCs w:val="24"/>
          </w:rPr>
          <w:t xml:space="preserve"> existantes</w:t>
        </w:r>
      </w:hyperlink>
      <w:r w:rsidR="00504485">
        <w:rPr>
          <w:rFonts w:cs="Arial"/>
          <w:szCs w:val="24"/>
        </w:rPr>
        <w:t>;</w:t>
      </w:r>
    </w:p>
    <w:p w:rsidR="00EF3421" w:rsidRPr="00EF3421" w:rsidRDefault="003B1A5C" w:rsidP="00504485">
      <w:pPr>
        <w:pStyle w:val="Paragraphedeliste"/>
        <w:numPr>
          <w:ilvl w:val="0"/>
          <w:numId w:val="16"/>
        </w:numPr>
        <w:rPr>
          <w:rFonts w:cs="Arial"/>
          <w:szCs w:val="24"/>
        </w:rPr>
      </w:pPr>
      <w:r w:rsidRPr="00EF3421">
        <w:rPr>
          <w:rFonts w:cs="Arial"/>
          <w:szCs w:val="24"/>
        </w:rPr>
        <w:t>des normes reconnues en accessibilité universelle</w:t>
      </w:r>
      <w:r w:rsidR="00ED188A" w:rsidRPr="00EF3421">
        <w:rPr>
          <w:rFonts w:cs="Arial"/>
          <w:szCs w:val="24"/>
        </w:rPr>
        <w:t xml:space="preserve"> telle que la norme </w:t>
      </w:r>
      <w:hyperlink r:id="rId16" w:history="1">
        <w:r w:rsidR="00ED188A" w:rsidRPr="00EF3421">
          <w:rPr>
            <w:rStyle w:val="Lienhypertexte"/>
            <w:rFonts w:cs="Arial"/>
            <w:szCs w:val="24"/>
          </w:rPr>
          <w:t>ISO/IEC TR 29138-2:2009</w:t>
        </w:r>
      </w:hyperlink>
      <w:r w:rsidR="00ED188A" w:rsidRPr="00EF3421">
        <w:rPr>
          <w:rFonts w:cs="Arial"/>
          <w:szCs w:val="24"/>
        </w:rPr>
        <w:t>, la norme CSA</w:t>
      </w:r>
      <w:r w:rsidR="00700B8B" w:rsidRPr="00EF3421">
        <w:rPr>
          <w:rFonts w:cs="Arial"/>
          <w:szCs w:val="24"/>
        </w:rPr>
        <w:t> </w:t>
      </w:r>
      <w:r w:rsidR="00ED188A" w:rsidRPr="00EF3421">
        <w:rPr>
          <w:rFonts w:cs="Arial"/>
          <w:szCs w:val="24"/>
        </w:rPr>
        <w:t>B651.1-09 ou la norme</w:t>
      </w:r>
      <w:r w:rsidR="00700B8B" w:rsidRPr="00EF3421">
        <w:rPr>
          <w:rFonts w:cs="Arial"/>
          <w:szCs w:val="24"/>
        </w:rPr>
        <w:t> </w:t>
      </w:r>
      <w:r w:rsidR="00ED188A" w:rsidRPr="00EF3421">
        <w:rPr>
          <w:rFonts w:cs="Arial"/>
          <w:szCs w:val="24"/>
        </w:rPr>
        <w:t>CAN/CSA-B651.2-07</w:t>
      </w:r>
      <w:r w:rsidRPr="00EF3421">
        <w:rPr>
          <w:rFonts w:cs="Arial"/>
          <w:szCs w:val="24"/>
        </w:rPr>
        <w:t>, etc.</w:t>
      </w:r>
      <w:r w:rsidR="00504485">
        <w:rPr>
          <w:rFonts w:cs="Arial"/>
          <w:szCs w:val="24"/>
        </w:rPr>
        <w:t xml:space="preserve"> ;</w:t>
      </w:r>
    </w:p>
    <w:p w:rsidR="00EF3421" w:rsidRPr="00D91A06" w:rsidRDefault="00EF3421" w:rsidP="00504485">
      <w:pPr>
        <w:pStyle w:val="Paragraphedeliste"/>
        <w:numPr>
          <w:ilvl w:val="0"/>
          <w:numId w:val="16"/>
        </w:numPr>
        <w:rPr>
          <w:rFonts w:cs="Arial"/>
          <w:szCs w:val="24"/>
        </w:rPr>
      </w:pPr>
      <w:r w:rsidRPr="00D91A06">
        <w:rPr>
          <w:rFonts w:cs="Arial"/>
          <w:szCs w:val="24"/>
        </w:rPr>
        <w:t>des outils gratuits pour aider les personnes dans leur analyse. Par exemple, lorsque l’on parle de contraste, référer aux outils gratuits qui permettent, par capture d’écran, de mesurer le degré de contraste.</w:t>
      </w:r>
    </w:p>
    <w:p w:rsidR="0013120A" w:rsidRDefault="00A905C5">
      <w:pPr>
        <w:rPr>
          <w:rFonts w:cs="Arial"/>
          <w:szCs w:val="24"/>
        </w:rPr>
      </w:pPr>
      <w:r>
        <w:rPr>
          <w:rFonts w:cs="Arial"/>
          <w:szCs w:val="24"/>
        </w:rPr>
        <w:t xml:space="preserve">Sans valider la pertinence de toutes les normes </w:t>
      </w:r>
      <w:r w:rsidR="00EF3421">
        <w:rPr>
          <w:rFonts w:cs="Arial"/>
          <w:szCs w:val="24"/>
        </w:rPr>
        <w:t xml:space="preserve">et outils </w:t>
      </w:r>
      <w:r>
        <w:rPr>
          <w:rFonts w:cs="Arial"/>
          <w:szCs w:val="24"/>
        </w:rPr>
        <w:t>existants, nous sommes en mesure de croire qu’</w:t>
      </w:r>
      <w:r w:rsidR="00EF3421">
        <w:rPr>
          <w:rFonts w:cs="Arial"/>
          <w:szCs w:val="24"/>
        </w:rPr>
        <w:t>ils</w:t>
      </w:r>
      <w:r>
        <w:rPr>
          <w:rFonts w:cs="Arial"/>
          <w:szCs w:val="24"/>
        </w:rPr>
        <w:t xml:space="preserve"> ont leur raison d’être et que les écarts liés aux aspects culturels sont restreints </w:t>
      </w:r>
      <w:r w:rsidR="00700B8B">
        <w:rPr>
          <w:rFonts w:cs="Arial"/>
          <w:szCs w:val="24"/>
        </w:rPr>
        <w:t>dans le cas</w:t>
      </w:r>
      <w:r>
        <w:rPr>
          <w:rFonts w:cs="Arial"/>
          <w:szCs w:val="24"/>
        </w:rPr>
        <w:t xml:space="preserve"> </w:t>
      </w:r>
      <w:r w:rsidR="00700B8B">
        <w:rPr>
          <w:rFonts w:cs="Arial"/>
          <w:szCs w:val="24"/>
        </w:rPr>
        <w:t>d</w:t>
      </w:r>
      <w:r>
        <w:rPr>
          <w:rFonts w:cs="Arial"/>
          <w:szCs w:val="24"/>
        </w:rPr>
        <w:t>es normes ISO, canadiennes ou états-uniennes. Nous remarquons qu’en matière de nouvelles technologies, les normes semblent assez détaillées et déjà utilisées par les juridictions pr</w:t>
      </w:r>
      <w:r w:rsidR="00F61D5F">
        <w:rPr>
          <w:rFonts w:cs="Arial"/>
          <w:szCs w:val="24"/>
        </w:rPr>
        <w:t>oches dans l’encadrement des achats.</w:t>
      </w:r>
      <w:r>
        <w:rPr>
          <w:rFonts w:cs="Arial"/>
          <w:szCs w:val="24"/>
        </w:rPr>
        <w:t xml:space="preserve"> La disponibilité des produits sur le marché québécois apparait suffisante pour ne pas entraver la concurrence nécessaire à l’atteinte du plus bas coût.</w:t>
      </w:r>
      <w:r w:rsidR="0013120A">
        <w:rPr>
          <w:rFonts w:cs="Arial"/>
          <w:szCs w:val="24"/>
        </w:rPr>
        <w:br w:type="page"/>
      </w:r>
    </w:p>
    <w:p w:rsidR="0013120A" w:rsidRDefault="009D4487" w:rsidP="00C14350">
      <w:pPr>
        <w:pStyle w:val="Titre1"/>
      </w:pPr>
      <w:bookmarkStart w:id="8" w:name="_Toc372638943"/>
      <w:bookmarkStart w:id="9" w:name="_Toc372718224"/>
      <w:r>
        <w:lastRenderedPageBreak/>
        <w:t>Commentaires généraux sur le guide</w:t>
      </w:r>
      <w:bookmarkEnd w:id="8"/>
      <w:bookmarkEnd w:id="9"/>
    </w:p>
    <w:p w:rsidR="00F61D5F" w:rsidRDefault="00F61D5F" w:rsidP="00E90C18">
      <w:pPr>
        <w:rPr>
          <w:rFonts w:cs="Arial"/>
          <w:szCs w:val="24"/>
        </w:rPr>
      </w:pPr>
    </w:p>
    <w:p w:rsidR="00D55673" w:rsidRPr="009D4487" w:rsidRDefault="00D55673" w:rsidP="00E90C18">
      <w:pPr>
        <w:rPr>
          <w:rFonts w:cs="Arial"/>
          <w:b/>
          <w:szCs w:val="24"/>
        </w:rPr>
      </w:pPr>
      <w:r w:rsidRPr="009D4487">
        <w:rPr>
          <w:rFonts w:cs="Arial"/>
          <w:b/>
          <w:szCs w:val="24"/>
        </w:rPr>
        <w:t>Offrir des explications</w:t>
      </w:r>
      <w:r w:rsidR="00F61D5F" w:rsidRPr="009D4487">
        <w:rPr>
          <w:rFonts w:cs="Arial"/>
          <w:b/>
          <w:szCs w:val="24"/>
        </w:rPr>
        <w:t xml:space="preserve"> plus claires</w:t>
      </w:r>
    </w:p>
    <w:p w:rsidR="00F61D5F" w:rsidRDefault="00F61D5F" w:rsidP="00E90C18">
      <w:pPr>
        <w:rPr>
          <w:rFonts w:cs="Arial"/>
          <w:szCs w:val="24"/>
        </w:rPr>
      </w:pPr>
      <w:r>
        <w:rPr>
          <w:rFonts w:cs="Arial"/>
          <w:szCs w:val="24"/>
        </w:rPr>
        <w:t xml:space="preserve">Certains critères émis nous paraissent parfois flous et dans l’absence de compréhension de la nécessité, on passe souvent à côté de </w:t>
      </w:r>
      <w:r w:rsidR="00700B8B">
        <w:rPr>
          <w:rFonts w:cs="Arial"/>
          <w:szCs w:val="24"/>
        </w:rPr>
        <w:t>l</w:t>
      </w:r>
      <w:r>
        <w:rPr>
          <w:rFonts w:cs="Arial"/>
          <w:szCs w:val="24"/>
        </w:rPr>
        <w:t>’action.</w:t>
      </w:r>
      <w:r w:rsidR="00D55673" w:rsidRPr="001D1973">
        <w:rPr>
          <w:rFonts w:cs="Arial"/>
          <w:szCs w:val="24"/>
        </w:rPr>
        <w:t xml:space="preserve"> Par exemple, dans Fournitures de classement et de rangement, chemises à dossier, </w:t>
      </w:r>
      <w:r>
        <w:rPr>
          <w:rFonts w:cs="Arial"/>
          <w:szCs w:val="24"/>
        </w:rPr>
        <w:t>le guide</w:t>
      </w:r>
      <w:r w:rsidR="00D55673" w:rsidRPr="001D1973">
        <w:rPr>
          <w:rFonts w:cs="Arial"/>
          <w:szCs w:val="24"/>
        </w:rPr>
        <w:t xml:space="preserve"> recommande un choix de plusieurs couleurs permettant de créer un code et demande ensuite d’éviter une identification de chemises uniquement par des onglets ou étiquettes de couleur.</w:t>
      </w:r>
      <w:r w:rsidRPr="00F61D5F">
        <w:rPr>
          <w:rFonts w:cs="Arial"/>
          <w:szCs w:val="24"/>
        </w:rPr>
        <w:t xml:space="preserve"> </w:t>
      </w:r>
      <w:r>
        <w:rPr>
          <w:rFonts w:cs="Arial"/>
          <w:szCs w:val="24"/>
        </w:rPr>
        <w:t xml:space="preserve">Comment au final cela sera-t-il appliqué? Qu’en est-il des contrastes entre les différentes pochettes? </w:t>
      </w:r>
      <w:r w:rsidR="00D55673" w:rsidRPr="001D1973">
        <w:rPr>
          <w:rFonts w:cs="Arial"/>
          <w:szCs w:val="24"/>
        </w:rPr>
        <w:t>Certains critères nous semblent évident</w:t>
      </w:r>
      <w:r w:rsidR="00C14350">
        <w:rPr>
          <w:rFonts w:cs="Arial"/>
          <w:szCs w:val="24"/>
        </w:rPr>
        <w:t xml:space="preserve">s </w:t>
      </w:r>
      <w:r w:rsidR="00D55673" w:rsidRPr="001D1973">
        <w:rPr>
          <w:rFonts w:cs="Arial"/>
          <w:szCs w:val="24"/>
        </w:rPr>
        <w:t>lorsqu</w:t>
      </w:r>
      <w:r w:rsidR="00EF3421">
        <w:rPr>
          <w:rFonts w:cs="Arial"/>
          <w:szCs w:val="24"/>
        </w:rPr>
        <w:t xml:space="preserve">e nous </w:t>
      </w:r>
      <w:r w:rsidR="00504485">
        <w:rPr>
          <w:rFonts w:cs="Arial"/>
          <w:szCs w:val="24"/>
        </w:rPr>
        <w:t>côtoyons</w:t>
      </w:r>
      <w:r w:rsidR="00EF3421">
        <w:rPr>
          <w:rFonts w:cs="Arial"/>
          <w:szCs w:val="24"/>
        </w:rPr>
        <w:t xml:space="preserve"> dans notre quotidien des </w:t>
      </w:r>
      <w:r w:rsidR="00504485">
        <w:rPr>
          <w:rFonts w:cs="Arial"/>
          <w:szCs w:val="24"/>
        </w:rPr>
        <w:t>personnes ayant des limitations</w:t>
      </w:r>
      <w:r w:rsidR="00D55673" w:rsidRPr="001D1973">
        <w:rPr>
          <w:rFonts w:cs="Arial"/>
          <w:szCs w:val="24"/>
        </w:rPr>
        <w:t>, mais peut-être</w:t>
      </w:r>
      <w:r>
        <w:rPr>
          <w:rFonts w:cs="Arial"/>
          <w:szCs w:val="24"/>
        </w:rPr>
        <w:t xml:space="preserve"> pas pour l’employé aux achats.</w:t>
      </w:r>
    </w:p>
    <w:p w:rsidR="00D55673" w:rsidRPr="001D1973" w:rsidRDefault="00D55673" w:rsidP="00E90C18">
      <w:pPr>
        <w:rPr>
          <w:rFonts w:cs="Arial"/>
          <w:szCs w:val="24"/>
        </w:rPr>
      </w:pPr>
      <w:r w:rsidRPr="001D1973">
        <w:rPr>
          <w:rFonts w:cs="Arial"/>
          <w:szCs w:val="24"/>
        </w:rPr>
        <w:t xml:space="preserve">L’usage de photos peut aussi </w:t>
      </w:r>
      <w:r w:rsidR="005C3246">
        <w:rPr>
          <w:rFonts w:cs="Arial"/>
          <w:szCs w:val="24"/>
        </w:rPr>
        <w:t>supporter la compréhension</w:t>
      </w:r>
      <w:r w:rsidRPr="001D1973">
        <w:rPr>
          <w:rFonts w:cs="Arial"/>
          <w:szCs w:val="24"/>
        </w:rPr>
        <w:t xml:space="preserve">. Par exemple, dans la section Chaise, </w:t>
      </w:r>
      <w:r w:rsidR="00F61D5F">
        <w:rPr>
          <w:rFonts w:cs="Arial"/>
          <w:szCs w:val="24"/>
        </w:rPr>
        <w:t>le guide indique</w:t>
      </w:r>
      <w:r w:rsidRPr="001D1973">
        <w:rPr>
          <w:rFonts w:cs="Arial"/>
          <w:szCs w:val="24"/>
        </w:rPr>
        <w:t xml:space="preserve"> de privilégier des poignées d’ajustement accessibles et de formes différentes. </w:t>
      </w:r>
      <w:r w:rsidR="00F61D5F">
        <w:rPr>
          <w:rFonts w:cs="Arial"/>
          <w:szCs w:val="24"/>
        </w:rPr>
        <w:t>Tous ne savent pas ce que veut dire poignée accessible, nous-même</w:t>
      </w:r>
      <w:r w:rsidR="00700B8B">
        <w:rPr>
          <w:rFonts w:cs="Arial"/>
          <w:szCs w:val="24"/>
        </w:rPr>
        <w:t xml:space="preserve">s </w:t>
      </w:r>
      <w:r w:rsidR="00F61D5F">
        <w:rPr>
          <w:rFonts w:cs="Arial"/>
          <w:szCs w:val="24"/>
        </w:rPr>
        <w:t>hésitons</w:t>
      </w:r>
      <w:r w:rsidRPr="001D1973">
        <w:rPr>
          <w:rFonts w:cs="Arial"/>
          <w:szCs w:val="24"/>
        </w:rPr>
        <w:t>.</w:t>
      </w:r>
      <w:r w:rsidR="00F61D5F">
        <w:rPr>
          <w:rFonts w:cs="Arial"/>
          <w:szCs w:val="24"/>
        </w:rPr>
        <w:t xml:space="preserve"> Parle-t-on d’aide à la préhension, de force nécessaire à l’activation, du </w:t>
      </w:r>
      <w:r w:rsidR="00700B8B">
        <w:rPr>
          <w:rFonts w:cs="Arial"/>
          <w:szCs w:val="24"/>
        </w:rPr>
        <w:t>non-r</w:t>
      </w:r>
      <w:r w:rsidR="00F61D5F">
        <w:rPr>
          <w:rFonts w:cs="Arial"/>
          <w:szCs w:val="24"/>
        </w:rPr>
        <w:t>ecours à certaines actions, telles que la torsion, etc.</w:t>
      </w:r>
      <w:r w:rsidR="00EF3421">
        <w:rPr>
          <w:rFonts w:cs="Arial"/>
          <w:szCs w:val="24"/>
        </w:rPr>
        <w:t xml:space="preserve"> </w:t>
      </w:r>
      <w:r w:rsidR="00F61D5F">
        <w:rPr>
          <w:rFonts w:cs="Arial"/>
          <w:szCs w:val="24"/>
        </w:rPr>
        <w:t>?</w:t>
      </w:r>
    </w:p>
    <w:p w:rsidR="00263E08" w:rsidRPr="001D1973" w:rsidRDefault="00263E08" w:rsidP="00E90C18">
      <w:pPr>
        <w:rPr>
          <w:rFonts w:cs="Arial"/>
          <w:szCs w:val="24"/>
        </w:rPr>
      </w:pPr>
    </w:p>
    <w:p w:rsidR="00814042" w:rsidRPr="009D4487" w:rsidRDefault="00814042" w:rsidP="00E90C18">
      <w:pPr>
        <w:rPr>
          <w:rFonts w:cs="Arial"/>
          <w:b/>
          <w:szCs w:val="24"/>
        </w:rPr>
      </w:pPr>
      <w:r w:rsidRPr="009D4487">
        <w:rPr>
          <w:rFonts w:cs="Arial"/>
          <w:b/>
          <w:szCs w:val="24"/>
        </w:rPr>
        <w:t>Éviter les répétitions</w:t>
      </w:r>
    </w:p>
    <w:p w:rsidR="006762F9" w:rsidRPr="001D1973" w:rsidRDefault="00814042" w:rsidP="00E90C18">
      <w:pPr>
        <w:rPr>
          <w:rFonts w:cs="Arial"/>
          <w:szCs w:val="24"/>
        </w:rPr>
      </w:pPr>
      <w:r w:rsidRPr="001D1973">
        <w:rPr>
          <w:rFonts w:cs="Arial"/>
          <w:szCs w:val="24"/>
        </w:rPr>
        <w:t>La structure actuelle crée beaucoup de répétitions. Que ce soit un cahier de note</w:t>
      </w:r>
      <w:r w:rsidR="00C14350">
        <w:rPr>
          <w:rFonts w:cs="Arial"/>
          <w:szCs w:val="24"/>
        </w:rPr>
        <w:t xml:space="preserve">s </w:t>
      </w:r>
      <w:r w:rsidRPr="001D1973">
        <w:rPr>
          <w:rFonts w:cs="Arial"/>
          <w:szCs w:val="24"/>
        </w:rPr>
        <w:t>ou une reliure, le papier doit être mat, les contrastes élevés, il doit y avoir absen</w:t>
      </w:r>
      <w:r w:rsidR="005751CC" w:rsidRPr="001D1973">
        <w:rPr>
          <w:rFonts w:cs="Arial"/>
          <w:szCs w:val="24"/>
        </w:rPr>
        <w:t xml:space="preserve">ce de pollution visuelle, etc. </w:t>
      </w:r>
      <w:r w:rsidRPr="001D1973">
        <w:rPr>
          <w:rFonts w:cs="Arial"/>
          <w:szCs w:val="24"/>
        </w:rPr>
        <w:t>Ne serait-il pas plus léger d</w:t>
      </w:r>
      <w:r w:rsidR="005751CC" w:rsidRPr="001D1973">
        <w:rPr>
          <w:rFonts w:cs="Arial"/>
          <w:szCs w:val="24"/>
        </w:rPr>
        <w:t>e commencer une sous-section par</w:t>
      </w:r>
      <w:r w:rsidRPr="001D1973">
        <w:rPr>
          <w:rFonts w:cs="Arial"/>
          <w:szCs w:val="24"/>
        </w:rPr>
        <w:t xml:space="preserve"> des commentaires généraux applicables à tout, par exemple, à tout support</w:t>
      </w:r>
      <w:r w:rsidR="00C14350">
        <w:rPr>
          <w:rFonts w:cs="Arial"/>
          <w:szCs w:val="24"/>
        </w:rPr>
        <w:t>-</w:t>
      </w:r>
      <w:r w:rsidRPr="001D1973">
        <w:rPr>
          <w:rFonts w:cs="Arial"/>
          <w:szCs w:val="24"/>
        </w:rPr>
        <w:t>papier, et au besoin, les faire suivre de commentaires spécifiques à chacun des items?</w:t>
      </w:r>
    </w:p>
    <w:p w:rsidR="00A835E8" w:rsidRPr="001D1973" w:rsidRDefault="00A835E8" w:rsidP="00E90C18">
      <w:pPr>
        <w:rPr>
          <w:rFonts w:cs="Arial"/>
          <w:szCs w:val="24"/>
        </w:rPr>
      </w:pPr>
    </w:p>
    <w:p w:rsidR="006762F9" w:rsidRPr="009D4487" w:rsidRDefault="006762F9" w:rsidP="00E90C18">
      <w:pPr>
        <w:rPr>
          <w:rFonts w:cs="Arial"/>
          <w:b/>
          <w:szCs w:val="24"/>
        </w:rPr>
      </w:pPr>
      <w:r w:rsidRPr="009D4487">
        <w:rPr>
          <w:rFonts w:cs="Arial"/>
          <w:b/>
          <w:szCs w:val="24"/>
        </w:rPr>
        <w:t>Besoin de simplification</w:t>
      </w:r>
    </w:p>
    <w:p w:rsidR="006762F9" w:rsidRPr="001D1973" w:rsidRDefault="006762F9" w:rsidP="00E90C18">
      <w:pPr>
        <w:rPr>
          <w:rFonts w:cs="Arial"/>
          <w:szCs w:val="24"/>
        </w:rPr>
      </w:pPr>
      <w:r w:rsidRPr="001D1973">
        <w:rPr>
          <w:rFonts w:cs="Arial"/>
          <w:szCs w:val="24"/>
        </w:rPr>
        <w:t>Dû aux répétitions et aux contradictions que soulèvent parfois les critères d’une limitation fonctionnelle et d’une autre,</w:t>
      </w:r>
      <w:r w:rsidR="00814042" w:rsidRPr="001D1973">
        <w:rPr>
          <w:rFonts w:cs="Arial"/>
          <w:szCs w:val="24"/>
        </w:rPr>
        <w:t xml:space="preserve"> </w:t>
      </w:r>
      <w:r w:rsidRPr="001D1973">
        <w:rPr>
          <w:rFonts w:cs="Arial"/>
          <w:szCs w:val="24"/>
        </w:rPr>
        <w:t xml:space="preserve">il serait intéressant de retrouver, peut-être en conclusion, les indispensables. Par exemple, un paragraphe </w:t>
      </w:r>
      <w:r w:rsidR="005751CC" w:rsidRPr="001D1973">
        <w:rPr>
          <w:rFonts w:cs="Arial"/>
          <w:szCs w:val="24"/>
        </w:rPr>
        <w:t xml:space="preserve">ou un tableau </w:t>
      </w:r>
      <w:r w:rsidRPr="001D1973">
        <w:rPr>
          <w:rFonts w:cs="Arial"/>
          <w:szCs w:val="24"/>
        </w:rPr>
        <w:t>qui explique que bien que les aspects à prendre en compte paraiss</w:t>
      </w:r>
      <w:r w:rsidR="005751CC" w:rsidRPr="001D1973">
        <w:rPr>
          <w:rFonts w:cs="Arial"/>
          <w:szCs w:val="24"/>
        </w:rPr>
        <w:t>ent nombreux, il faut voir que la prise en compte d’un</w:t>
      </w:r>
      <w:r w:rsidRPr="001D1973">
        <w:rPr>
          <w:rFonts w:cs="Arial"/>
          <w:szCs w:val="24"/>
        </w:rPr>
        <w:t xml:space="preserve"> seul critère </w:t>
      </w:r>
      <w:r w:rsidR="005751CC" w:rsidRPr="001D1973">
        <w:rPr>
          <w:rFonts w:cs="Arial"/>
          <w:szCs w:val="24"/>
        </w:rPr>
        <w:t>peut</w:t>
      </w:r>
      <w:r w:rsidRPr="001D1973">
        <w:rPr>
          <w:rFonts w:cs="Arial"/>
          <w:szCs w:val="24"/>
        </w:rPr>
        <w:t xml:space="preserve"> aide</w:t>
      </w:r>
      <w:r w:rsidR="005751CC" w:rsidRPr="001D1973">
        <w:rPr>
          <w:rFonts w:cs="Arial"/>
          <w:szCs w:val="24"/>
        </w:rPr>
        <w:t>r</w:t>
      </w:r>
      <w:r w:rsidRPr="001D1973">
        <w:rPr>
          <w:rFonts w:cs="Arial"/>
          <w:szCs w:val="24"/>
        </w:rPr>
        <w:t xml:space="preserve"> tout le monde en même temps, peu importe la présence ou l’absence de limitation (ex. : </w:t>
      </w:r>
      <w:r w:rsidRPr="001D1973">
        <w:rPr>
          <w:rFonts w:cs="Arial"/>
          <w:szCs w:val="24"/>
        </w:rPr>
        <w:lastRenderedPageBreak/>
        <w:t>langage simple, utilisation simple et intuitive, éclairage approprié, identifications claires, élimination de la pollution visuelle et sonore, etc.)</w:t>
      </w:r>
    </w:p>
    <w:p w:rsidR="00D55673" w:rsidRPr="001D1973" w:rsidRDefault="00D55673" w:rsidP="00E90C18">
      <w:pPr>
        <w:rPr>
          <w:rFonts w:cs="Arial"/>
          <w:szCs w:val="24"/>
        </w:rPr>
      </w:pPr>
    </w:p>
    <w:p w:rsidR="00D55673" w:rsidRPr="009D4487" w:rsidRDefault="00630C49" w:rsidP="00E90C18">
      <w:pPr>
        <w:rPr>
          <w:rFonts w:cs="Arial"/>
          <w:b/>
          <w:szCs w:val="24"/>
        </w:rPr>
      </w:pPr>
      <w:r w:rsidRPr="009D4487">
        <w:rPr>
          <w:rFonts w:cs="Arial"/>
          <w:b/>
          <w:szCs w:val="24"/>
        </w:rPr>
        <w:t>Espace de travail</w:t>
      </w:r>
    </w:p>
    <w:p w:rsidR="0004291E" w:rsidRDefault="00D55673" w:rsidP="00E90C18">
      <w:pPr>
        <w:rPr>
          <w:rFonts w:cs="Arial"/>
          <w:szCs w:val="24"/>
        </w:rPr>
      </w:pPr>
      <w:r w:rsidRPr="001D1973">
        <w:rPr>
          <w:rFonts w:cs="Arial"/>
          <w:szCs w:val="24"/>
        </w:rPr>
        <w:t xml:space="preserve">La section </w:t>
      </w:r>
      <w:r w:rsidRPr="001D1973">
        <w:rPr>
          <w:rFonts w:cs="Arial"/>
          <w:i/>
          <w:szCs w:val="24"/>
        </w:rPr>
        <w:t>ameublement et espace de travail</w:t>
      </w:r>
      <w:r w:rsidR="007823FF" w:rsidRPr="001D1973">
        <w:rPr>
          <w:rFonts w:cs="Arial"/>
          <w:szCs w:val="24"/>
        </w:rPr>
        <w:t xml:space="preserve"> ne peut être limitée qu’à la seule </w:t>
      </w:r>
      <w:r w:rsidRPr="001D1973">
        <w:rPr>
          <w:rFonts w:cs="Arial"/>
          <w:szCs w:val="24"/>
        </w:rPr>
        <w:t xml:space="preserve">mention de consulter un spécialiste, et ce, malgré les </w:t>
      </w:r>
      <w:r w:rsidR="007823FF" w:rsidRPr="001D1973">
        <w:rPr>
          <w:rFonts w:cs="Arial"/>
          <w:szCs w:val="24"/>
        </w:rPr>
        <w:t xml:space="preserve">limites imposées par les </w:t>
      </w:r>
      <w:r w:rsidRPr="001D1973">
        <w:rPr>
          <w:rFonts w:cs="Arial"/>
          <w:szCs w:val="24"/>
        </w:rPr>
        <w:t xml:space="preserve">ordres professionnels. Certaines informations doivent tout de même s’y retrouver. Par exemple, les débuts de sections, nommés section générale, traitent de </w:t>
      </w:r>
      <w:r w:rsidR="00630C49">
        <w:rPr>
          <w:rFonts w:cs="Arial"/>
          <w:szCs w:val="24"/>
        </w:rPr>
        <w:t>l’espace de travail</w:t>
      </w:r>
      <w:r w:rsidRPr="001D1973">
        <w:rPr>
          <w:rFonts w:cs="Arial"/>
          <w:szCs w:val="24"/>
        </w:rPr>
        <w:t>, tels que l’aménagement et l’éclairage. Met</w:t>
      </w:r>
      <w:r w:rsidR="00630C49">
        <w:rPr>
          <w:rFonts w:cs="Arial"/>
          <w:szCs w:val="24"/>
        </w:rPr>
        <w:t>tre d</w:t>
      </w:r>
      <w:r w:rsidR="007823FF" w:rsidRPr="001D1973">
        <w:rPr>
          <w:rFonts w:cs="Arial"/>
          <w:szCs w:val="24"/>
        </w:rPr>
        <w:t>es informations importantes dans une section générale</w:t>
      </w:r>
      <w:r w:rsidRPr="001D1973">
        <w:rPr>
          <w:rFonts w:cs="Arial"/>
          <w:szCs w:val="24"/>
        </w:rPr>
        <w:t>, telles que les alarmes visuelles,</w:t>
      </w:r>
      <w:r w:rsidR="00630C49">
        <w:rPr>
          <w:rFonts w:cs="Arial"/>
          <w:szCs w:val="24"/>
        </w:rPr>
        <w:t xml:space="preserve"> en </w:t>
      </w:r>
      <w:r w:rsidRPr="001D1973">
        <w:rPr>
          <w:rFonts w:cs="Arial"/>
          <w:szCs w:val="24"/>
        </w:rPr>
        <w:t>dilue l</w:t>
      </w:r>
      <w:r w:rsidR="007823FF" w:rsidRPr="001D1973">
        <w:rPr>
          <w:rFonts w:cs="Arial"/>
          <w:szCs w:val="24"/>
        </w:rPr>
        <w:t>’importance. L</w:t>
      </w:r>
      <w:r w:rsidRPr="001D1973">
        <w:rPr>
          <w:rFonts w:cs="Arial"/>
          <w:szCs w:val="24"/>
        </w:rPr>
        <w:t xml:space="preserve">e lecteur, ne sachant pas que ces critères s’y trouvent, pourrait ne pas s’y attarder. Ces informations portant sur l’environnement </w:t>
      </w:r>
      <w:r w:rsidR="00630C49">
        <w:rPr>
          <w:rFonts w:cs="Arial"/>
          <w:szCs w:val="24"/>
        </w:rPr>
        <w:t>de travail</w:t>
      </w:r>
      <w:r w:rsidRPr="001D1973">
        <w:rPr>
          <w:rFonts w:cs="Arial"/>
          <w:szCs w:val="24"/>
        </w:rPr>
        <w:t xml:space="preserve"> devraient se retrouver dans u</w:t>
      </w:r>
      <w:r w:rsidR="00630C49">
        <w:rPr>
          <w:rFonts w:cs="Arial"/>
          <w:szCs w:val="24"/>
        </w:rPr>
        <w:t>ne section à part entière, tel</w:t>
      </w:r>
      <w:r w:rsidR="00700B8B">
        <w:rPr>
          <w:rFonts w:cs="Arial"/>
          <w:szCs w:val="24"/>
        </w:rPr>
        <w:t xml:space="preserve">le </w:t>
      </w:r>
      <w:r w:rsidR="00630C49">
        <w:rPr>
          <w:rFonts w:cs="Arial"/>
          <w:szCs w:val="24"/>
        </w:rPr>
        <w:t>que la section A</w:t>
      </w:r>
      <w:r w:rsidRPr="001D1973">
        <w:rPr>
          <w:rFonts w:cs="Arial"/>
          <w:szCs w:val="24"/>
        </w:rPr>
        <w:t>meublement et espace de travail. On pour</w:t>
      </w:r>
      <w:r w:rsidR="00263E08" w:rsidRPr="001D1973">
        <w:rPr>
          <w:rFonts w:cs="Arial"/>
          <w:szCs w:val="24"/>
        </w:rPr>
        <w:t xml:space="preserve">rait y </w:t>
      </w:r>
      <w:r w:rsidRPr="001D1973">
        <w:rPr>
          <w:rFonts w:cs="Arial"/>
          <w:szCs w:val="24"/>
        </w:rPr>
        <w:t>ajouter</w:t>
      </w:r>
      <w:r w:rsidR="00263E08" w:rsidRPr="001D1973">
        <w:rPr>
          <w:rFonts w:cs="Arial"/>
          <w:szCs w:val="24"/>
        </w:rPr>
        <w:t xml:space="preserve"> certaines informations</w:t>
      </w:r>
      <w:r w:rsidRPr="001D1973">
        <w:rPr>
          <w:rFonts w:cs="Arial"/>
          <w:szCs w:val="24"/>
        </w:rPr>
        <w:t>, par exemple, qu’i</w:t>
      </w:r>
      <w:r w:rsidR="00700B8B">
        <w:rPr>
          <w:rFonts w:cs="Arial"/>
          <w:szCs w:val="24"/>
        </w:rPr>
        <w:t>l</w:t>
      </w:r>
      <w:r w:rsidRPr="001D1973">
        <w:rPr>
          <w:rFonts w:cs="Arial"/>
          <w:szCs w:val="24"/>
        </w:rPr>
        <w:t xml:space="preserve"> </w:t>
      </w:r>
      <w:r w:rsidR="00263E08" w:rsidRPr="001D1973">
        <w:rPr>
          <w:rFonts w:cs="Arial"/>
          <w:szCs w:val="24"/>
        </w:rPr>
        <w:t>est int</w:t>
      </w:r>
      <w:r w:rsidR="00C14350">
        <w:rPr>
          <w:rFonts w:cs="Arial"/>
          <w:szCs w:val="24"/>
        </w:rPr>
        <w:t>é</w:t>
      </w:r>
      <w:r w:rsidR="00263E08" w:rsidRPr="001D1973">
        <w:rPr>
          <w:rFonts w:cs="Arial"/>
          <w:szCs w:val="24"/>
        </w:rPr>
        <w:t>ressant</w:t>
      </w:r>
      <w:r w:rsidRPr="001D1973">
        <w:rPr>
          <w:rFonts w:cs="Arial"/>
          <w:szCs w:val="24"/>
        </w:rPr>
        <w:t xml:space="preserve"> de privilégier un aménagement en parcours larges au lieu d’un espace complètement ouvert style loft afin d’aider au repérage</w:t>
      </w:r>
      <w:r w:rsidR="007823FF" w:rsidRPr="001D1973">
        <w:rPr>
          <w:rFonts w:cs="Arial"/>
          <w:szCs w:val="24"/>
        </w:rPr>
        <w:t xml:space="preserve"> sans nuire à la circulation</w:t>
      </w:r>
      <w:r w:rsidRPr="001D1973">
        <w:rPr>
          <w:rFonts w:cs="Arial"/>
          <w:szCs w:val="24"/>
        </w:rPr>
        <w:t xml:space="preserve">. </w:t>
      </w:r>
      <w:r w:rsidR="007823FF" w:rsidRPr="001D1973">
        <w:rPr>
          <w:rFonts w:cs="Arial"/>
          <w:szCs w:val="24"/>
        </w:rPr>
        <w:t>Tout comme</w:t>
      </w:r>
      <w:r w:rsidRPr="001D1973">
        <w:rPr>
          <w:rFonts w:cs="Arial"/>
          <w:szCs w:val="24"/>
        </w:rPr>
        <w:t xml:space="preserve"> de faire attention aux éblouissements dans l’aménagement en portant une attention particulière aux reflets des lumières dans les écrans d’ordinateur, etc.</w:t>
      </w:r>
    </w:p>
    <w:p w:rsidR="002574B0" w:rsidRPr="002574B0" w:rsidRDefault="002574B0" w:rsidP="00E90C18">
      <w:pPr>
        <w:rPr>
          <w:rFonts w:cs="Arial"/>
          <w:szCs w:val="24"/>
        </w:rPr>
      </w:pPr>
    </w:p>
    <w:p w:rsidR="00E90C18" w:rsidRPr="009D4487" w:rsidRDefault="00E90C18" w:rsidP="00E90C18">
      <w:pPr>
        <w:rPr>
          <w:rFonts w:eastAsia="Times New Roman" w:cs="Arial"/>
          <w:b/>
          <w:szCs w:val="24"/>
          <w:lang w:eastAsia="fr-CA"/>
        </w:rPr>
      </w:pPr>
      <w:r w:rsidRPr="009D4487">
        <w:rPr>
          <w:rFonts w:eastAsia="Times New Roman" w:cs="Arial"/>
          <w:b/>
          <w:szCs w:val="24"/>
          <w:lang w:eastAsia="fr-CA"/>
        </w:rPr>
        <w:t>Attention aux généralisations</w:t>
      </w:r>
    </w:p>
    <w:p w:rsidR="000B180C" w:rsidRDefault="00E90C18" w:rsidP="000B180C">
      <w:pPr>
        <w:rPr>
          <w:rFonts w:cs="Arial"/>
          <w:szCs w:val="24"/>
        </w:rPr>
      </w:pPr>
      <w:r w:rsidRPr="001D1973">
        <w:rPr>
          <w:rFonts w:eastAsia="Times New Roman" w:cs="Arial"/>
          <w:szCs w:val="24"/>
          <w:lang w:eastAsia="fr-CA"/>
        </w:rPr>
        <w:t>L’incapacité, qu’elle soit visuelle ou enco</w:t>
      </w:r>
      <w:r w:rsidR="002D763D" w:rsidRPr="001D1973">
        <w:rPr>
          <w:rFonts w:eastAsia="Times New Roman" w:cs="Arial"/>
          <w:szCs w:val="24"/>
          <w:lang w:eastAsia="fr-CA"/>
        </w:rPr>
        <w:t>re auditive, ne se vit pas de la</w:t>
      </w:r>
      <w:r w:rsidRPr="001D1973">
        <w:rPr>
          <w:rFonts w:eastAsia="Times New Roman" w:cs="Arial"/>
          <w:szCs w:val="24"/>
          <w:lang w:eastAsia="fr-CA"/>
        </w:rPr>
        <w:t xml:space="preserve"> même manière suivant son degré.</w:t>
      </w:r>
      <w:r w:rsidR="00412953" w:rsidRPr="001D1973">
        <w:rPr>
          <w:rFonts w:eastAsia="Times New Roman" w:cs="Arial"/>
          <w:szCs w:val="24"/>
          <w:lang w:eastAsia="fr-CA"/>
        </w:rPr>
        <w:t xml:space="preserve"> Le lecteur ne sera surement pas un connaisseur des caractéris</w:t>
      </w:r>
      <w:r w:rsidR="000B180C" w:rsidRPr="001D1973">
        <w:rPr>
          <w:rFonts w:eastAsia="Times New Roman" w:cs="Arial"/>
          <w:szCs w:val="24"/>
          <w:lang w:eastAsia="fr-CA"/>
        </w:rPr>
        <w:t>tiques de con</w:t>
      </w:r>
      <w:r w:rsidR="00412953" w:rsidRPr="001D1973">
        <w:rPr>
          <w:rFonts w:eastAsia="Times New Roman" w:cs="Arial"/>
          <w:szCs w:val="24"/>
          <w:lang w:eastAsia="fr-CA"/>
        </w:rPr>
        <w:t>so</w:t>
      </w:r>
      <w:r w:rsidR="000B180C" w:rsidRPr="001D1973">
        <w:rPr>
          <w:rFonts w:eastAsia="Times New Roman" w:cs="Arial"/>
          <w:szCs w:val="24"/>
          <w:lang w:eastAsia="fr-CA"/>
        </w:rPr>
        <w:t>m</w:t>
      </w:r>
      <w:r w:rsidR="00412953" w:rsidRPr="001D1973">
        <w:rPr>
          <w:rFonts w:eastAsia="Times New Roman" w:cs="Arial"/>
          <w:szCs w:val="24"/>
          <w:lang w:eastAsia="fr-CA"/>
        </w:rPr>
        <w:t>mation de bien et de services des personnes ayant des limitations fonctionnelles. Ainsi, le Guide se doit d’être explicite et clair.</w:t>
      </w:r>
      <w:r w:rsidR="000B180C" w:rsidRPr="001D1973">
        <w:rPr>
          <w:rFonts w:eastAsia="Times New Roman" w:cs="Arial"/>
          <w:szCs w:val="24"/>
          <w:lang w:eastAsia="fr-CA"/>
        </w:rPr>
        <w:t xml:space="preserve"> Un exemple criant est ce passage : </w:t>
      </w:r>
      <w:r w:rsidR="000B180C" w:rsidRPr="001D1973">
        <w:rPr>
          <w:rFonts w:cs="Arial"/>
          <w:szCs w:val="24"/>
        </w:rPr>
        <w:t xml:space="preserve">« Un langage simplifié lors des communications avec les personnes ayant une déficience auditive (certaines de ces personnes sont analphabètes ou connaissent peu de mots complexes) ». Il est vrai que beaucoup de </w:t>
      </w:r>
      <w:r w:rsidR="00700B8B">
        <w:rPr>
          <w:rFonts w:cs="Arial"/>
          <w:szCs w:val="24"/>
        </w:rPr>
        <w:t xml:space="preserve">personnes </w:t>
      </w:r>
      <w:r w:rsidR="00C14350">
        <w:rPr>
          <w:rFonts w:cs="Arial"/>
          <w:szCs w:val="24"/>
        </w:rPr>
        <w:t xml:space="preserve">ayant la LSQ comme langue </w:t>
      </w:r>
      <w:r w:rsidR="00630C49">
        <w:rPr>
          <w:rFonts w:cs="Arial"/>
          <w:szCs w:val="24"/>
        </w:rPr>
        <w:t>maternelle</w:t>
      </w:r>
      <w:r w:rsidR="00C14350">
        <w:rPr>
          <w:rFonts w:cs="Arial"/>
          <w:szCs w:val="24"/>
        </w:rPr>
        <w:t xml:space="preserve">, donc des personnes sourdes, </w:t>
      </w:r>
      <w:r w:rsidR="00700B8B">
        <w:rPr>
          <w:rFonts w:cs="Arial"/>
          <w:szCs w:val="24"/>
        </w:rPr>
        <w:t xml:space="preserve">présentent une difficulté de lecture du </w:t>
      </w:r>
      <w:r w:rsidR="00C14350">
        <w:rPr>
          <w:rFonts w:cs="Arial"/>
          <w:szCs w:val="24"/>
        </w:rPr>
        <w:t>français. Cela s’explique par le fait que ce n’est pas leur langue de communication. Par</w:t>
      </w:r>
      <w:r w:rsidR="000B180C" w:rsidRPr="001D1973">
        <w:rPr>
          <w:rFonts w:cs="Arial"/>
          <w:szCs w:val="24"/>
        </w:rPr>
        <w:t xml:space="preserve"> contre, un</w:t>
      </w:r>
      <w:r w:rsidR="00630C49">
        <w:rPr>
          <w:rFonts w:cs="Arial"/>
          <w:szCs w:val="24"/>
        </w:rPr>
        <w:t xml:space="preserve">e perte d’audition </w:t>
      </w:r>
      <w:r w:rsidR="000B180C" w:rsidRPr="001D1973">
        <w:rPr>
          <w:rFonts w:cs="Arial"/>
          <w:szCs w:val="24"/>
        </w:rPr>
        <w:t>n’a</w:t>
      </w:r>
      <w:r w:rsidR="00630C49">
        <w:rPr>
          <w:rFonts w:cs="Arial"/>
          <w:szCs w:val="24"/>
        </w:rPr>
        <w:t>pporte</w:t>
      </w:r>
      <w:r w:rsidR="000B180C" w:rsidRPr="001D1973">
        <w:rPr>
          <w:rFonts w:cs="Arial"/>
          <w:szCs w:val="24"/>
        </w:rPr>
        <w:t xml:space="preserve"> pas nécessairement de problème </w:t>
      </w:r>
      <w:r w:rsidR="00630C49">
        <w:rPr>
          <w:rFonts w:cs="Arial"/>
          <w:szCs w:val="24"/>
        </w:rPr>
        <w:t>de littéracie</w:t>
      </w:r>
      <w:r w:rsidR="000B180C" w:rsidRPr="001D1973">
        <w:rPr>
          <w:rFonts w:cs="Arial"/>
          <w:szCs w:val="24"/>
        </w:rPr>
        <w:t xml:space="preserve">. Un peu plus loin, </w:t>
      </w:r>
      <w:r w:rsidR="00700B8B">
        <w:rPr>
          <w:rFonts w:cs="Arial"/>
          <w:szCs w:val="24"/>
        </w:rPr>
        <w:t>le guide soutient</w:t>
      </w:r>
      <w:r w:rsidR="000B180C" w:rsidRPr="001D1973">
        <w:rPr>
          <w:rFonts w:cs="Arial"/>
          <w:szCs w:val="24"/>
        </w:rPr>
        <w:t xml:space="preserve"> d’éviter la pollution auditive avec des ordinateurs bruyants juste avant d’encourager la présence d’une caméra pour les communications LSQ. </w:t>
      </w:r>
      <w:r w:rsidR="00CF3927">
        <w:rPr>
          <w:rFonts w:cs="Arial"/>
          <w:szCs w:val="24"/>
        </w:rPr>
        <w:t>Les deux propositions semblent se contredirent</w:t>
      </w:r>
      <w:r w:rsidR="007823FF" w:rsidRPr="001D1973">
        <w:rPr>
          <w:rFonts w:cs="Arial"/>
          <w:szCs w:val="24"/>
        </w:rPr>
        <w:t xml:space="preserve"> du simple fait qu’elle ne s’applique pas au même degré de perte auditive. De</w:t>
      </w:r>
      <w:r w:rsidR="000B180C" w:rsidRPr="001D1973">
        <w:rPr>
          <w:rFonts w:cs="Arial"/>
          <w:szCs w:val="24"/>
        </w:rPr>
        <w:t>s nuances</w:t>
      </w:r>
      <w:r w:rsidR="007823FF" w:rsidRPr="001D1973">
        <w:rPr>
          <w:rFonts w:cs="Arial"/>
          <w:szCs w:val="24"/>
        </w:rPr>
        <w:t xml:space="preserve"> s</w:t>
      </w:r>
      <w:r w:rsidR="00E17821">
        <w:rPr>
          <w:rFonts w:cs="Arial"/>
          <w:szCs w:val="24"/>
        </w:rPr>
        <w:t>eraien</w:t>
      </w:r>
      <w:r w:rsidR="007823FF" w:rsidRPr="001D1973">
        <w:rPr>
          <w:rFonts w:cs="Arial"/>
          <w:szCs w:val="24"/>
        </w:rPr>
        <w:t>t à faire</w:t>
      </w:r>
      <w:r w:rsidR="000B180C" w:rsidRPr="001D1973">
        <w:rPr>
          <w:rFonts w:cs="Arial"/>
          <w:szCs w:val="24"/>
        </w:rPr>
        <w:t>.</w:t>
      </w:r>
    </w:p>
    <w:p w:rsidR="001B3480" w:rsidRDefault="001B3480" w:rsidP="000B180C">
      <w:pPr>
        <w:rPr>
          <w:rFonts w:cs="Arial"/>
          <w:szCs w:val="24"/>
        </w:rPr>
      </w:pPr>
      <w:r>
        <w:rPr>
          <w:rFonts w:cs="Arial"/>
          <w:szCs w:val="24"/>
        </w:rPr>
        <w:lastRenderedPageBreak/>
        <w:t xml:space="preserve">Nous rajoutons que de manière générale, la </w:t>
      </w:r>
      <w:hyperlink r:id="rId17" w:history="1">
        <w:r w:rsidRPr="00214B49">
          <w:rPr>
            <w:rStyle w:val="Lienhypertexte"/>
            <w:rFonts w:cs="Arial"/>
            <w:szCs w:val="24"/>
          </w:rPr>
          <w:t>littéracie</w:t>
        </w:r>
      </w:hyperlink>
      <w:r>
        <w:rPr>
          <w:rFonts w:cs="Arial"/>
          <w:szCs w:val="24"/>
        </w:rPr>
        <w:t xml:space="preserve"> est à prendre en compte, pas sous l’angle d’une limitation particulière, mais en tant que phénomène de société</w:t>
      </w:r>
      <w:r w:rsidR="00700B8B">
        <w:rPr>
          <w:rFonts w:cs="Arial"/>
          <w:szCs w:val="24"/>
        </w:rPr>
        <w:t xml:space="preserve">, surtout </w:t>
      </w:r>
      <w:r>
        <w:rPr>
          <w:rFonts w:cs="Arial"/>
          <w:szCs w:val="24"/>
        </w:rPr>
        <w:t>en ce qui a trait aux biens et services offerts à la population.</w:t>
      </w:r>
    </w:p>
    <w:p w:rsidR="00630C49" w:rsidRDefault="00630C49" w:rsidP="000B180C">
      <w:pPr>
        <w:rPr>
          <w:rFonts w:cs="Arial"/>
          <w:szCs w:val="24"/>
        </w:rPr>
      </w:pPr>
    </w:p>
    <w:p w:rsidR="00630C49" w:rsidRPr="009D4487" w:rsidRDefault="00630C49" w:rsidP="000B180C">
      <w:pPr>
        <w:rPr>
          <w:rFonts w:cs="Arial"/>
          <w:b/>
          <w:szCs w:val="24"/>
        </w:rPr>
      </w:pPr>
      <w:r w:rsidRPr="009D4487">
        <w:rPr>
          <w:rFonts w:cs="Arial"/>
          <w:b/>
          <w:szCs w:val="24"/>
        </w:rPr>
        <w:t>Autres caractéristiques d’accessibilité</w:t>
      </w:r>
    </w:p>
    <w:p w:rsidR="00EF3421" w:rsidRDefault="00630C49" w:rsidP="000B180C">
      <w:pPr>
        <w:rPr>
          <w:rFonts w:cs="Arial"/>
          <w:szCs w:val="24"/>
        </w:rPr>
      </w:pPr>
      <w:r>
        <w:rPr>
          <w:rFonts w:cs="Arial"/>
          <w:szCs w:val="24"/>
        </w:rPr>
        <w:t xml:space="preserve">L’accessibilité d’un bien passe aussi par </w:t>
      </w:r>
      <w:r w:rsidR="001B3480">
        <w:rPr>
          <w:rFonts w:cs="Arial"/>
          <w:szCs w:val="24"/>
        </w:rPr>
        <w:t>des</w:t>
      </w:r>
      <w:r>
        <w:rPr>
          <w:rFonts w:cs="Arial"/>
          <w:szCs w:val="24"/>
        </w:rPr>
        <w:t xml:space="preserve"> caractéristiques </w:t>
      </w:r>
      <w:r w:rsidR="001B3480">
        <w:rPr>
          <w:rFonts w:cs="Arial"/>
          <w:szCs w:val="24"/>
        </w:rPr>
        <w:t>autres que</w:t>
      </w:r>
      <w:r>
        <w:rPr>
          <w:rFonts w:cs="Arial"/>
          <w:szCs w:val="24"/>
        </w:rPr>
        <w:t xml:space="preserve"> physiques, telles que le service après-vente, la formation à l’utilisation, la facilité d’entretien d’un appareil, la possibilité de personnalisation d’un bien, etc.</w:t>
      </w:r>
      <w:r w:rsidR="001B3480">
        <w:rPr>
          <w:rFonts w:cs="Arial"/>
          <w:szCs w:val="24"/>
        </w:rPr>
        <w:t xml:space="preserve"> Le mentionner en tant que critère</w:t>
      </w:r>
      <w:r w:rsidR="00700B8B">
        <w:rPr>
          <w:rFonts w:cs="Arial"/>
          <w:szCs w:val="24"/>
        </w:rPr>
        <w:t xml:space="preserve">s </w:t>
      </w:r>
      <w:r w:rsidR="001B3480">
        <w:rPr>
          <w:rFonts w:cs="Arial"/>
          <w:szCs w:val="24"/>
        </w:rPr>
        <w:t xml:space="preserve">à évaluer de manière générale est, selon nous, </w:t>
      </w:r>
      <w:r w:rsidR="00700B8B">
        <w:rPr>
          <w:rFonts w:cs="Arial"/>
          <w:szCs w:val="24"/>
        </w:rPr>
        <w:t>pertine</w:t>
      </w:r>
      <w:r w:rsidR="001B3480">
        <w:rPr>
          <w:rFonts w:cs="Arial"/>
          <w:szCs w:val="24"/>
        </w:rPr>
        <w:t>nt.</w:t>
      </w:r>
    </w:p>
    <w:p w:rsidR="00EF3421" w:rsidRDefault="00EF3421" w:rsidP="000B180C">
      <w:pPr>
        <w:rPr>
          <w:rFonts w:cs="Arial"/>
          <w:szCs w:val="24"/>
        </w:rPr>
      </w:pPr>
      <w:r>
        <w:rPr>
          <w:rFonts w:cs="Arial"/>
          <w:szCs w:val="24"/>
        </w:rPr>
        <w:t>Faire tester les produits par les personnes concernées :</w:t>
      </w:r>
    </w:p>
    <w:p w:rsidR="00504485" w:rsidRDefault="00EF3421" w:rsidP="000B180C">
      <w:pPr>
        <w:rPr>
          <w:rFonts w:cs="Arial"/>
          <w:szCs w:val="24"/>
        </w:rPr>
      </w:pPr>
      <w:r>
        <w:rPr>
          <w:rFonts w:cs="Arial"/>
          <w:szCs w:val="24"/>
        </w:rPr>
        <w:t>L’accessibilité réelle se mesure mal par des grilles de critères, elle se vi</w:t>
      </w:r>
      <w:r w:rsidR="00C5175D">
        <w:rPr>
          <w:rFonts w:cs="Arial"/>
          <w:szCs w:val="24"/>
        </w:rPr>
        <w:t>t</w:t>
      </w:r>
      <w:r>
        <w:rPr>
          <w:rFonts w:cs="Arial"/>
          <w:szCs w:val="24"/>
        </w:rPr>
        <w:t xml:space="preserve"> dans l’utilisation des produits. Le Guide devrait indiquer un processus d’implication des personnes utilisant les biens et services. </w:t>
      </w:r>
      <w:r w:rsidR="00E6105C">
        <w:rPr>
          <w:rFonts w:cs="Arial"/>
          <w:szCs w:val="24"/>
        </w:rPr>
        <w:t xml:space="preserve">Par le biais de tests maison, un bref questionnaire aux employés ou aux personnes utilisant les services, par une démarche formelle en lien avec le PAE, ou via une enquête de satisfaction de la clientèle, comme le MESS le fait pour les CLE ou la Ville de Québec pour les services offerts à sa population, </w:t>
      </w:r>
      <w:r w:rsidR="002541E8">
        <w:rPr>
          <w:rFonts w:cs="Arial"/>
          <w:szCs w:val="24"/>
        </w:rPr>
        <w:t xml:space="preserve">l’acheteur peut valider autant les assertions du fournisseur que </w:t>
      </w:r>
      <w:r w:rsidR="00504485">
        <w:rPr>
          <w:rFonts w:cs="Arial"/>
          <w:szCs w:val="24"/>
        </w:rPr>
        <w:t xml:space="preserve">l’adéquation au besoin réel. </w:t>
      </w:r>
    </w:p>
    <w:p w:rsidR="00E6105C" w:rsidRDefault="00E6105C" w:rsidP="000B180C">
      <w:pPr>
        <w:rPr>
          <w:rFonts w:cs="Arial"/>
          <w:szCs w:val="24"/>
        </w:rPr>
      </w:pPr>
      <w:r>
        <w:rPr>
          <w:rFonts w:cs="Arial"/>
          <w:szCs w:val="24"/>
        </w:rPr>
        <w:t>Que faire si aucun produit n’est disponible</w:t>
      </w:r>
      <w:r w:rsidR="00C02ABA">
        <w:rPr>
          <w:rFonts w:cs="Arial"/>
          <w:szCs w:val="24"/>
        </w:rPr>
        <w:t>?</w:t>
      </w:r>
    </w:p>
    <w:p w:rsidR="00E6105C" w:rsidRPr="001D1973" w:rsidRDefault="00E6105C" w:rsidP="000B180C">
      <w:pPr>
        <w:rPr>
          <w:rFonts w:cs="Arial"/>
          <w:szCs w:val="24"/>
        </w:rPr>
      </w:pPr>
      <w:r>
        <w:rPr>
          <w:rFonts w:cs="Arial"/>
          <w:szCs w:val="24"/>
        </w:rPr>
        <w:t>Une section</w:t>
      </w:r>
      <w:r w:rsidR="005F09EB">
        <w:rPr>
          <w:rFonts w:cs="Arial"/>
          <w:szCs w:val="24"/>
        </w:rPr>
        <w:t xml:space="preserve"> pourrait préciser</w:t>
      </w:r>
      <w:r>
        <w:rPr>
          <w:rFonts w:cs="Arial"/>
          <w:szCs w:val="24"/>
        </w:rPr>
        <w:t xml:space="preserve"> quoi faire </w:t>
      </w:r>
      <w:r w:rsidR="005F09EB">
        <w:rPr>
          <w:rFonts w:cs="Arial"/>
          <w:szCs w:val="24"/>
        </w:rPr>
        <w:t>quand un service ou un bien</w:t>
      </w:r>
      <w:r w:rsidR="00C02ABA">
        <w:rPr>
          <w:rFonts w:cs="Arial"/>
          <w:szCs w:val="24"/>
        </w:rPr>
        <w:t xml:space="preserve"> acheté</w:t>
      </w:r>
      <w:r w:rsidR="005F09EB">
        <w:rPr>
          <w:rFonts w:cs="Arial"/>
          <w:szCs w:val="24"/>
        </w:rPr>
        <w:t xml:space="preserve"> est inaccessible, offrir des solutions.</w:t>
      </w:r>
      <w:r>
        <w:rPr>
          <w:rFonts w:cs="Arial"/>
          <w:szCs w:val="24"/>
        </w:rPr>
        <w:t xml:space="preserve"> Par exemple, installer un téléphone </w:t>
      </w:r>
      <w:r w:rsidR="005F09EB">
        <w:rPr>
          <w:rFonts w:cs="Arial"/>
          <w:szCs w:val="24"/>
        </w:rPr>
        <w:t>pour</w:t>
      </w:r>
      <w:r>
        <w:rPr>
          <w:rFonts w:cs="Arial"/>
          <w:szCs w:val="24"/>
        </w:rPr>
        <w:t xml:space="preserve"> joindre l’accueil </w:t>
      </w:r>
      <w:r w:rsidR="005F09EB">
        <w:rPr>
          <w:rFonts w:cs="Arial"/>
          <w:szCs w:val="24"/>
        </w:rPr>
        <w:t>en présence d’</w:t>
      </w:r>
      <w:r>
        <w:rPr>
          <w:rFonts w:cs="Arial"/>
          <w:szCs w:val="24"/>
        </w:rPr>
        <w:t xml:space="preserve">une borne de paiement de ticket de </w:t>
      </w:r>
      <w:r w:rsidR="005F09EB">
        <w:rPr>
          <w:rFonts w:cs="Arial"/>
          <w:szCs w:val="24"/>
        </w:rPr>
        <w:t>stationnement</w:t>
      </w:r>
      <w:r>
        <w:rPr>
          <w:rFonts w:cs="Arial"/>
          <w:szCs w:val="24"/>
        </w:rPr>
        <w:t xml:space="preserve"> inaccessible, installer une fiche imagée pour expliquer certaines fonctions, ajouter un pico sur la touche</w:t>
      </w:r>
      <w:r w:rsidR="00C5175D">
        <w:rPr>
          <w:rFonts w:cs="Arial"/>
          <w:szCs w:val="24"/>
        </w:rPr>
        <w:t> </w:t>
      </w:r>
      <w:r>
        <w:rPr>
          <w:rFonts w:cs="Arial"/>
          <w:szCs w:val="24"/>
        </w:rPr>
        <w:t xml:space="preserve">5 </w:t>
      </w:r>
      <w:r w:rsidR="005F09EB">
        <w:rPr>
          <w:rFonts w:cs="Arial"/>
          <w:szCs w:val="24"/>
        </w:rPr>
        <w:t>d’un clavier de photocopieur, etc.</w:t>
      </w:r>
    </w:p>
    <w:p w:rsidR="00E110FF" w:rsidRPr="001D1973" w:rsidRDefault="00E110FF" w:rsidP="00E90C18">
      <w:pPr>
        <w:rPr>
          <w:rFonts w:cs="Arial"/>
          <w:szCs w:val="24"/>
        </w:rPr>
      </w:pPr>
      <w:r w:rsidRPr="001D1973">
        <w:rPr>
          <w:rFonts w:cs="Arial"/>
          <w:szCs w:val="24"/>
        </w:rPr>
        <w:br w:type="page"/>
      </w:r>
    </w:p>
    <w:p w:rsidR="00AF5C22" w:rsidRPr="001D1973" w:rsidRDefault="00CE6256" w:rsidP="00C14350">
      <w:pPr>
        <w:pStyle w:val="Titre1"/>
      </w:pPr>
      <w:bookmarkStart w:id="10" w:name="_Toc372638944"/>
      <w:bookmarkStart w:id="11" w:name="_Toc372718225"/>
      <w:r>
        <w:lastRenderedPageBreak/>
        <w:t>Commentaires spécifiques sur le guide</w:t>
      </w:r>
      <w:bookmarkEnd w:id="10"/>
      <w:bookmarkEnd w:id="11"/>
    </w:p>
    <w:p w:rsidR="00C14350" w:rsidRDefault="00C14350" w:rsidP="00E90C18">
      <w:pPr>
        <w:rPr>
          <w:rFonts w:cs="Arial"/>
          <w:szCs w:val="24"/>
        </w:rPr>
      </w:pPr>
    </w:p>
    <w:p w:rsidR="00914DF3" w:rsidRPr="001D1973" w:rsidRDefault="00901A68" w:rsidP="00E90C18">
      <w:pPr>
        <w:rPr>
          <w:rFonts w:cs="Arial"/>
          <w:szCs w:val="24"/>
        </w:rPr>
      </w:pPr>
      <w:r w:rsidRPr="001D1973">
        <w:rPr>
          <w:rFonts w:cs="Arial"/>
          <w:szCs w:val="24"/>
        </w:rPr>
        <w:t>Incapacités liées à la vision :</w:t>
      </w:r>
    </w:p>
    <w:p w:rsidR="00914DF3" w:rsidRPr="001D1973" w:rsidRDefault="003A3FC7" w:rsidP="00D45485">
      <w:pPr>
        <w:pStyle w:val="Paragraphedeliste"/>
        <w:numPr>
          <w:ilvl w:val="0"/>
          <w:numId w:val="10"/>
        </w:numPr>
        <w:rPr>
          <w:rFonts w:cs="Arial"/>
          <w:szCs w:val="24"/>
        </w:rPr>
      </w:pPr>
      <w:r w:rsidRPr="001D1973">
        <w:rPr>
          <w:rFonts w:cs="Arial"/>
          <w:szCs w:val="24"/>
        </w:rPr>
        <w:t xml:space="preserve">L’utilisation du terme </w:t>
      </w:r>
      <w:r w:rsidRPr="001D1973">
        <w:rPr>
          <w:rFonts w:cs="Arial"/>
          <w:i/>
          <w:szCs w:val="24"/>
        </w:rPr>
        <w:t>mat</w:t>
      </w:r>
      <w:r w:rsidRPr="001D1973">
        <w:rPr>
          <w:rFonts w:cs="Arial"/>
          <w:szCs w:val="24"/>
        </w:rPr>
        <w:t xml:space="preserve"> signifie absence de brillance</w:t>
      </w:r>
      <w:r w:rsidR="002D763D" w:rsidRPr="001D1973">
        <w:rPr>
          <w:rStyle w:val="Appelnotedebasdep"/>
          <w:rFonts w:cs="Arial"/>
          <w:szCs w:val="24"/>
        </w:rPr>
        <w:footnoteReference w:id="2"/>
      </w:r>
      <w:r w:rsidRPr="001D1973">
        <w:rPr>
          <w:rFonts w:cs="Arial"/>
          <w:szCs w:val="24"/>
        </w:rPr>
        <w:t xml:space="preserve"> et donc, </w:t>
      </w:r>
      <w:r w:rsidR="00E55CA2" w:rsidRPr="001D1973">
        <w:rPr>
          <w:rFonts w:cs="Arial"/>
          <w:szCs w:val="24"/>
        </w:rPr>
        <w:t>absence</w:t>
      </w:r>
      <w:r w:rsidRPr="001D1973">
        <w:rPr>
          <w:rFonts w:cs="Arial"/>
          <w:szCs w:val="24"/>
        </w:rPr>
        <w:t xml:space="preserve"> de réflexion de lumière. L’ajout </w:t>
      </w:r>
      <w:r w:rsidR="00E55CA2" w:rsidRPr="001D1973">
        <w:rPr>
          <w:rFonts w:cs="Arial"/>
          <w:szCs w:val="24"/>
        </w:rPr>
        <w:t xml:space="preserve">constant </w:t>
      </w:r>
      <w:r w:rsidRPr="001D1973">
        <w:rPr>
          <w:rFonts w:cs="Arial"/>
          <w:szCs w:val="24"/>
        </w:rPr>
        <w:t>de l’expression « qui ne reflète pas la lumière » après le terme mat, nous semble superflu.</w:t>
      </w:r>
    </w:p>
    <w:p w:rsidR="00D45485" w:rsidRPr="001D1973" w:rsidRDefault="003A3FC7" w:rsidP="00D45485">
      <w:pPr>
        <w:pStyle w:val="Paragraphedeliste"/>
        <w:numPr>
          <w:ilvl w:val="0"/>
          <w:numId w:val="10"/>
        </w:numPr>
        <w:rPr>
          <w:rFonts w:cs="Arial"/>
          <w:szCs w:val="24"/>
        </w:rPr>
      </w:pPr>
      <w:r w:rsidRPr="001D1973">
        <w:rPr>
          <w:rFonts w:cs="Arial"/>
          <w:szCs w:val="24"/>
        </w:rPr>
        <w:t>Une taille de caractères</w:t>
      </w:r>
      <w:r w:rsidR="00C14350">
        <w:rPr>
          <w:rFonts w:cs="Arial"/>
          <w:szCs w:val="24"/>
        </w:rPr>
        <w:t> </w:t>
      </w:r>
      <w:r w:rsidRPr="001D1973">
        <w:rPr>
          <w:rFonts w:cs="Arial"/>
          <w:szCs w:val="24"/>
        </w:rPr>
        <w:t xml:space="preserve">12 ou 14 ne peut être appelée </w:t>
      </w:r>
      <w:r w:rsidRPr="001D1973">
        <w:rPr>
          <w:rFonts w:cs="Arial"/>
          <w:i/>
          <w:szCs w:val="24"/>
        </w:rPr>
        <w:t>gros caractère</w:t>
      </w:r>
      <w:r w:rsidR="00E55CA2" w:rsidRPr="001D1973">
        <w:rPr>
          <w:rFonts w:cs="Arial"/>
          <w:i/>
          <w:szCs w:val="24"/>
        </w:rPr>
        <w:t>s</w:t>
      </w:r>
      <w:r w:rsidRPr="001D1973">
        <w:rPr>
          <w:rFonts w:cs="Arial"/>
          <w:szCs w:val="24"/>
        </w:rPr>
        <w:t xml:space="preserve">. </w:t>
      </w:r>
      <w:r w:rsidR="002D763D" w:rsidRPr="001D1973">
        <w:rPr>
          <w:rFonts w:cs="Arial"/>
          <w:szCs w:val="24"/>
        </w:rPr>
        <w:t>Une taille</w:t>
      </w:r>
      <w:r w:rsidR="00C14350">
        <w:rPr>
          <w:rFonts w:cs="Arial"/>
          <w:szCs w:val="24"/>
        </w:rPr>
        <w:t> </w:t>
      </w:r>
      <w:r w:rsidR="002D763D" w:rsidRPr="001D1973">
        <w:rPr>
          <w:rFonts w:cs="Arial"/>
          <w:szCs w:val="24"/>
        </w:rPr>
        <w:t>12 n’est en fait</w:t>
      </w:r>
      <w:r w:rsidRPr="001D1973">
        <w:rPr>
          <w:rFonts w:cs="Arial"/>
          <w:szCs w:val="24"/>
        </w:rPr>
        <w:t xml:space="preserve"> que le minimum acceptable pour une lecture facile</w:t>
      </w:r>
      <w:r w:rsidR="002D763D" w:rsidRPr="001D1973">
        <w:rPr>
          <w:rFonts w:cs="Arial"/>
          <w:szCs w:val="24"/>
        </w:rPr>
        <w:t xml:space="preserve"> pour tous</w:t>
      </w:r>
      <w:r w:rsidRPr="001D1973">
        <w:rPr>
          <w:rFonts w:cs="Arial"/>
          <w:szCs w:val="24"/>
        </w:rPr>
        <w:t xml:space="preserve">. On parle de </w:t>
      </w:r>
      <w:r w:rsidRPr="001D1973">
        <w:rPr>
          <w:rFonts w:cs="Arial"/>
          <w:i/>
          <w:szCs w:val="24"/>
        </w:rPr>
        <w:t>gros caractères</w:t>
      </w:r>
      <w:r w:rsidRPr="001D1973">
        <w:rPr>
          <w:rFonts w:cs="Arial"/>
          <w:szCs w:val="24"/>
        </w:rPr>
        <w:t xml:space="preserve"> seulement à partir de 16 ou mieux</w:t>
      </w:r>
      <w:r w:rsidR="002D763D" w:rsidRPr="001D1973">
        <w:rPr>
          <w:rFonts w:cs="Arial"/>
          <w:szCs w:val="24"/>
        </w:rPr>
        <w:t xml:space="preserve"> encore</w:t>
      </w:r>
      <w:r w:rsidRPr="001D1973">
        <w:rPr>
          <w:rFonts w:cs="Arial"/>
          <w:szCs w:val="24"/>
        </w:rPr>
        <w:t>, 18.</w:t>
      </w:r>
      <w:r w:rsidR="002D763D" w:rsidRPr="001D1973">
        <w:rPr>
          <w:rFonts w:cs="Arial"/>
          <w:szCs w:val="24"/>
        </w:rPr>
        <w:t xml:space="preserve"> Une formulation adéquate </w:t>
      </w:r>
      <w:r w:rsidR="00CE6256">
        <w:rPr>
          <w:rFonts w:cs="Arial"/>
          <w:szCs w:val="24"/>
        </w:rPr>
        <w:t>serait</w:t>
      </w:r>
      <w:r w:rsidR="002D763D" w:rsidRPr="001D1973">
        <w:rPr>
          <w:rFonts w:cs="Arial"/>
          <w:szCs w:val="24"/>
        </w:rPr>
        <w:t xml:space="preserve"> minimum pour assurer une bonne lisibilité, </w:t>
      </w:r>
      <w:r w:rsidR="00CE6256">
        <w:rPr>
          <w:rFonts w:cs="Arial"/>
          <w:szCs w:val="24"/>
        </w:rPr>
        <w:t xml:space="preserve">mais </w:t>
      </w:r>
      <w:r w:rsidR="002D763D" w:rsidRPr="001D1973">
        <w:rPr>
          <w:rFonts w:cs="Arial"/>
          <w:szCs w:val="24"/>
        </w:rPr>
        <w:t xml:space="preserve">sans recourir à l’expression </w:t>
      </w:r>
      <w:r w:rsidR="002D763D" w:rsidRPr="001D1973">
        <w:rPr>
          <w:rFonts w:cs="Arial"/>
          <w:i/>
          <w:szCs w:val="24"/>
        </w:rPr>
        <w:t>gros caractères</w:t>
      </w:r>
      <w:r w:rsidR="002D763D" w:rsidRPr="001D1973">
        <w:rPr>
          <w:rFonts w:cs="Arial"/>
          <w:szCs w:val="24"/>
        </w:rPr>
        <w:t>.</w:t>
      </w:r>
    </w:p>
    <w:p w:rsidR="00AF5C22" w:rsidRPr="001D1973" w:rsidRDefault="00D4448C" w:rsidP="00D45485">
      <w:pPr>
        <w:pStyle w:val="Paragraphedeliste"/>
        <w:numPr>
          <w:ilvl w:val="0"/>
          <w:numId w:val="10"/>
        </w:numPr>
        <w:rPr>
          <w:rFonts w:cs="Arial"/>
          <w:szCs w:val="24"/>
        </w:rPr>
      </w:pPr>
      <w:r w:rsidRPr="001D1973">
        <w:rPr>
          <w:rFonts w:cs="Arial"/>
          <w:szCs w:val="24"/>
        </w:rPr>
        <w:t xml:space="preserve">On recommande une police de type Tahoma, </w:t>
      </w:r>
      <w:r w:rsidR="00D45485" w:rsidRPr="001D1973">
        <w:rPr>
          <w:rFonts w:cs="Arial"/>
          <w:szCs w:val="24"/>
        </w:rPr>
        <w:t>mais Tahoma n</w:t>
      </w:r>
      <w:r w:rsidR="00CE6256">
        <w:rPr>
          <w:rFonts w:cs="Arial"/>
          <w:szCs w:val="24"/>
        </w:rPr>
        <w:t>’est pas un type de police,</w:t>
      </w:r>
      <w:r w:rsidR="00D45485" w:rsidRPr="001D1973">
        <w:rPr>
          <w:rFonts w:cs="Arial"/>
          <w:szCs w:val="24"/>
        </w:rPr>
        <w:t xml:space="preserve"> </w:t>
      </w:r>
      <w:r w:rsidR="0032599B" w:rsidRPr="001D1973">
        <w:rPr>
          <w:rFonts w:cs="Arial"/>
          <w:szCs w:val="24"/>
        </w:rPr>
        <w:t>simplement</w:t>
      </w:r>
      <w:r w:rsidR="00D45485" w:rsidRPr="001D1973">
        <w:rPr>
          <w:rFonts w:cs="Arial"/>
          <w:szCs w:val="24"/>
        </w:rPr>
        <w:t xml:space="preserve"> une police. Le type de police </w:t>
      </w:r>
      <w:r w:rsidR="00CE6256">
        <w:rPr>
          <w:rFonts w:cs="Arial"/>
          <w:szCs w:val="24"/>
        </w:rPr>
        <w:t>se nomme</w:t>
      </w:r>
      <w:r w:rsidR="00D45485" w:rsidRPr="001D1973">
        <w:rPr>
          <w:rFonts w:cs="Arial"/>
          <w:szCs w:val="24"/>
        </w:rPr>
        <w:t xml:space="preserve"> sans sérif, </w:t>
      </w:r>
      <w:r w:rsidR="00CE6256">
        <w:rPr>
          <w:rFonts w:cs="Arial"/>
          <w:szCs w:val="24"/>
        </w:rPr>
        <w:t xml:space="preserve">donc </w:t>
      </w:r>
      <w:r w:rsidR="00D45485" w:rsidRPr="001D1973">
        <w:rPr>
          <w:rFonts w:cs="Arial"/>
          <w:szCs w:val="24"/>
        </w:rPr>
        <w:t>sans empattement. De plus, la</w:t>
      </w:r>
      <w:r w:rsidR="003A3FC7" w:rsidRPr="001D1973">
        <w:rPr>
          <w:rFonts w:cs="Arial"/>
          <w:szCs w:val="24"/>
        </w:rPr>
        <w:t xml:space="preserve"> police Tahoma n’est pas mauvaise, mais n’a que très peu d’espace entre les caractères. </w:t>
      </w:r>
      <w:r w:rsidR="00D45485" w:rsidRPr="001D1973">
        <w:rPr>
          <w:rFonts w:cs="Arial"/>
          <w:szCs w:val="24"/>
        </w:rPr>
        <w:t>Les polices Arial et V</w:t>
      </w:r>
      <w:r w:rsidR="003A3FC7" w:rsidRPr="001D1973">
        <w:rPr>
          <w:rFonts w:cs="Arial"/>
          <w:szCs w:val="24"/>
        </w:rPr>
        <w:t>erdana</w:t>
      </w:r>
      <w:r w:rsidR="00D45485" w:rsidRPr="001D1973">
        <w:rPr>
          <w:rFonts w:cs="Arial"/>
          <w:szCs w:val="24"/>
        </w:rPr>
        <w:t xml:space="preserve"> sont </w:t>
      </w:r>
      <w:r w:rsidR="00CE6256">
        <w:rPr>
          <w:rFonts w:cs="Arial"/>
          <w:szCs w:val="24"/>
        </w:rPr>
        <w:t xml:space="preserve">généralement </w:t>
      </w:r>
      <w:r w:rsidR="00E55CA2" w:rsidRPr="001D1973">
        <w:rPr>
          <w:rFonts w:cs="Arial"/>
          <w:szCs w:val="24"/>
        </w:rPr>
        <w:t>à préférer</w:t>
      </w:r>
      <w:r w:rsidR="003A3FC7" w:rsidRPr="001D1973">
        <w:rPr>
          <w:rFonts w:cs="Arial"/>
          <w:szCs w:val="24"/>
        </w:rPr>
        <w:t>.</w:t>
      </w:r>
    </w:p>
    <w:p w:rsidR="00211647" w:rsidRPr="001D1973" w:rsidRDefault="00211647" w:rsidP="00E90C18">
      <w:pPr>
        <w:rPr>
          <w:rFonts w:cs="Arial"/>
          <w:szCs w:val="24"/>
        </w:rPr>
      </w:pPr>
      <w:r w:rsidRPr="001D1973">
        <w:rPr>
          <w:rFonts w:cs="Arial"/>
          <w:szCs w:val="24"/>
        </w:rPr>
        <w:t>Incapacités liées à la mobilité :</w:t>
      </w:r>
    </w:p>
    <w:p w:rsidR="00E9777A" w:rsidRPr="00CE6256" w:rsidRDefault="00211647" w:rsidP="00E90C18">
      <w:pPr>
        <w:pStyle w:val="Paragraphedeliste"/>
        <w:numPr>
          <w:ilvl w:val="0"/>
          <w:numId w:val="11"/>
        </w:numPr>
        <w:rPr>
          <w:rFonts w:cs="Arial"/>
          <w:szCs w:val="24"/>
        </w:rPr>
      </w:pPr>
      <w:r w:rsidRPr="001D1973">
        <w:rPr>
          <w:rFonts w:cs="Arial"/>
          <w:szCs w:val="24"/>
        </w:rPr>
        <w:t xml:space="preserve">Attention au mobilier sur roulettes. </w:t>
      </w:r>
      <w:r w:rsidR="00D32499" w:rsidRPr="001D1973">
        <w:rPr>
          <w:rFonts w:cs="Arial"/>
          <w:szCs w:val="24"/>
        </w:rPr>
        <w:t xml:space="preserve">Par exemple, pour </w:t>
      </w:r>
      <w:r w:rsidRPr="001D1973">
        <w:rPr>
          <w:rFonts w:cs="Arial"/>
          <w:szCs w:val="24"/>
        </w:rPr>
        <w:t>certaines personnes devant</w:t>
      </w:r>
      <w:r w:rsidR="00D32499" w:rsidRPr="001D1973">
        <w:rPr>
          <w:rFonts w:cs="Arial"/>
          <w:szCs w:val="24"/>
        </w:rPr>
        <w:t xml:space="preserve"> </w:t>
      </w:r>
      <w:r w:rsidRPr="001D1973">
        <w:rPr>
          <w:rFonts w:cs="Arial"/>
          <w:szCs w:val="24"/>
        </w:rPr>
        <w:t>effectuer un transfert d’une aide à la mobilité vers une chaise, les roulettes peuvent être très dangereuses. Mieux vaut qu’elles soi</w:t>
      </w:r>
      <w:r w:rsidR="00D32499" w:rsidRPr="001D1973">
        <w:rPr>
          <w:rFonts w:cs="Arial"/>
          <w:szCs w:val="24"/>
        </w:rPr>
        <w:t>en</w:t>
      </w:r>
      <w:r w:rsidRPr="001D1973">
        <w:rPr>
          <w:rFonts w:cs="Arial"/>
          <w:szCs w:val="24"/>
        </w:rPr>
        <w:t>t blocables.</w:t>
      </w:r>
    </w:p>
    <w:p w:rsidR="00211647" w:rsidRPr="001D1973" w:rsidRDefault="00E9777A" w:rsidP="00E90C18">
      <w:pPr>
        <w:rPr>
          <w:rFonts w:cs="Arial"/>
          <w:szCs w:val="24"/>
        </w:rPr>
      </w:pPr>
      <w:r w:rsidRPr="001D1973">
        <w:rPr>
          <w:rFonts w:cs="Arial"/>
          <w:szCs w:val="24"/>
        </w:rPr>
        <w:t>Incapacités liées à l’audition :</w:t>
      </w:r>
    </w:p>
    <w:p w:rsidR="00CA0D0A" w:rsidRDefault="00B352C3" w:rsidP="00CA0D0A">
      <w:pPr>
        <w:pStyle w:val="Paragraphedeliste"/>
        <w:numPr>
          <w:ilvl w:val="0"/>
          <w:numId w:val="11"/>
        </w:numPr>
        <w:rPr>
          <w:rFonts w:cs="Arial"/>
          <w:szCs w:val="24"/>
        </w:rPr>
      </w:pPr>
      <w:r w:rsidRPr="001D1973">
        <w:rPr>
          <w:rFonts w:cs="Arial"/>
          <w:szCs w:val="24"/>
        </w:rPr>
        <w:t>Bien que ça soit vrai partout, cette section démontre un mélange entre incapacité auditive com</w:t>
      </w:r>
      <w:r w:rsidR="00CA0D0A">
        <w:rPr>
          <w:rFonts w:cs="Arial"/>
          <w:szCs w:val="24"/>
        </w:rPr>
        <w:t>plète et partielle.</w:t>
      </w:r>
    </w:p>
    <w:p w:rsidR="00E55CA2" w:rsidRPr="00CA0D0A" w:rsidRDefault="00CA0D0A" w:rsidP="00CA0D0A">
      <w:pPr>
        <w:pStyle w:val="Paragraphedeliste"/>
        <w:numPr>
          <w:ilvl w:val="0"/>
          <w:numId w:val="11"/>
        </w:numPr>
        <w:rPr>
          <w:rFonts w:cs="Arial"/>
          <w:szCs w:val="24"/>
        </w:rPr>
      </w:pPr>
      <w:r>
        <w:rPr>
          <w:rFonts w:cs="Arial"/>
          <w:szCs w:val="24"/>
        </w:rPr>
        <w:t>L</w:t>
      </w:r>
      <w:r w:rsidR="00913A09" w:rsidRPr="00CA0D0A">
        <w:rPr>
          <w:rFonts w:cs="Arial"/>
          <w:szCs w:val="24"/>
        </w:rPr>
        <w:t>es sorties de secours bien identifiées ne sont pas que nécessaires aux personnes ayant une incapacité auditive, cela est vrai pour tous.</w:t>
      </w:r>
    </w:p>
    <w:p w:rsidR="00E55CA2" w:rsidRPr="001D1973" w:rsidRDefault="00E55CA2" w:rsidP="00E90C18">
      <w:pPr>
        <w:pStyle w:val="Paragraphedeliste"/>
        <w:numPr>
          <w:ilvl w:val="0"/>
          <w:numId w:val="11"/>
        </w:numPr>
        <w:rPr>
          <w:rFonts w:cs="Arial"/>
          <w:szCs w:val="24"/>
        </w:rPr>
      </w:pPr>
      <w:r w:rsidRPr="001D1973">
        <w:rPr>
          <w:rFonts w:cs="Arial"/>
          <w:szCs w:val="24"/>
        </w:rPr>
        <w:t>La phrase suivante</w:t>
      </w:r>
      <w:r w:rsidR="00913A09" w:rsidRPr="001D1973">
        <w:rPr>
          <w:rFonts w:cs="Arial"/>
          <w:szCs w:val="24"/>
        </w:rPr>
        <w:t xml:space="preserve"> a besoin d’explications supplémentaires : « Des boutons d’ascenseur ou une signalisation de bâtiment trop bas. » On parle de</w:t>
      </w:r>
      <w:r w:rsidRPr="001D1973">
        <w:rPr>
          <w:rFonts w:cs="Arial"/>
          <w:szCs w:val="24"/>
        </w:rPr>
        <w:t xml:space="preserve"> signalisation physique ou auditive? Et donc, de</w:t>
      </w:r>
      <w:r w:rsidR="00913A09" w:rsidRPr="001D1973">
        <w:rPr>
          <w:rFonts w:cs="Arial"/>
          <w:szCs w:val="24"/>
        </w:rPr>
        <w:t xml:space="preserve"> hauteur physique ou de hauteur sonore?</w:t>
      </w:r>
    </w:p>
    <w:p w:rsidR="00DD2C9F" w:rsidRPr="0013120A" w:rsidRDefault="00F82A56" w:rsidP="0032599B">
      <w:pPr>
        <w:pStyle w:val="Paragraphedeliste"/>
        <w:numPr>
          <w:ilvl w:val="0"/>
          <w:numId w:val="11"/>
        </w:numPr>
        <w:rPr>
          <w:rFonts w:cs="Arial"/>
          <w:szCs w:val="24"/>
        </w:rPr>
      </w:pPr>
      <w:r w:rsidRPr="001D1973">
        <w:rPr>
          <w:rFonts w:cs="Arial"/>
          <w:szCs w:val="24"/>
        </w:rPr>
        <w:t>O</w:t>
      </w:r>
      <w:r w:rsidR="00E9777A" w:rsidRPr="001D1973">
        <w:rPr>
          <w:rFonts w:cs="Arial"/>
          <w:szCs w:val="24"/>
        </w:rPr>
        <w:t>n recommande</w:t>
      </w:r>
      <w:r w:rsidRPr="001D1973">
        <w:rPr>
          <w:rFonts w:cs="Arial"/>
          <w:szCs w:val="24"/>
        </w:rPr>
        <w:t xml:space="preserve"> souvent</w:t>
      </w:r>
      <w:r w:rsidR="00E55CA2" w:rsidRPr="001D1973">
        <w:rPr>
          <w:rFonts w:cs="Arial"/>
          <w:szCs w:val="24"/>
        </w:rPr>
        <w:t xml:space="preserve"> d’avoir recours à</w:t>
      </w:r>
      <w:r w:rsidR="00E9777A" w:rsidRPr="001D1973">
        <w:rPr>
          <w:rFonts w:cs="Arial"/>
          <w:szCs w:val="24"/>
        </w:rPr>
        <w:t xml:space="preserve"> un produit identifié clairement. Peut-être vaudrait-il expliqué un peu plus ce que l’on veut dire</w:t>
      </w:r>
      <w:r w:rsidRPr="001D1973">
        <w:rPr>
          <w:rFonts w:cs="Arial"/>
          <w:szCs w:val="24"/>
        </w:rPr>
        <w:t>, notamment en ce qui concerne le papier</w:t>
      </w:r>
      <w:r w:rsidR="00E9777A" w:rsidRPr="001D1973">
        <w:rPr>
          <w:rFonts w:cs="Arial"/>
          <w:szCs w:val="24"/>
        </w:rPr>
        <w:t>.</w:t>
      </w:r>
    </w:p>
    <w:p w:rsidR="00784DEC" w:rsidRDefault="00CE6256" w:rsidP="00C14350">
      <w:pPr>
        <w:pStyle w:val="Titre1"/>
      </w:pPr>
      <w:bookmarkStart w:id="12" w:name="_Toc372638945"/>
      <w:bookmarkStart w:id="13" w:name="_Toc372718226"/>
      <w:r>
        <w:lastRenderedPageBreak/>
        <w:t>Conclusion</w:t>
      </w:r>
      <w:bookmarkEnd w:id="12"/>
      <w:bookmarkEnd w:id="13"/>
    </w:p>
    <w:p w:rsidR="00C14350" w:rsidRPr="00C14350" w:rsidRDefault="00C14350" w:rsidP="00C14350"/>
    <w:p w:rsidR="00CC607E" w:rsidRDefault="00CC607E" w:rsidP="00CC607E">
      <w:pPr>
        <w:rPr>
          <w:rFonts w:cs="Arial"/>
          <w:szCs w:val="24"/>
        </w:rPr>
      </w:pPr>
      <w:r>
        <w:rPr>
          <w:rFonts w:cs="Arial"/>
          <w:szCs w:val="24"/>
        </w:rPr>
        <w:t xml:space="preserve">En terminant, nous réitérons le besoin de rencontrer votre équipe de travail, ainsi </w:t>
      </w:r>
      <w:r w:rsidR="00CF3927">
        <w:rPr>
          <w:rFonts w:cs="Arial"/>
          <w:szCs w:val="24"/>
        </w:rPr>
        <w:t>que la direction générale</w:t>
      </w:r>
      <w:r>
        <w:rPr>
          <w:rFonts w:cs="Arial"/>
          <w:szCs w:val="24"/>
        </w:rPr>
        <w:t>, afin d’échanger sur nos perceptions respectives des enjeux de ce dossier. Nous pourrions ainsi mieux comprendre la stratégie globale d’intervention de l’OPHQ et voir de quelle manière la COPHAN pourrait y contribuer. Certains enjeux du dossier nous questionnent et nous aimerions en discuter, tel que :</w:t>
      </w:r>
    </w:p>
    <w:p w:rsidR="00CC607E" w:rsidRDefault="00CC607E" w:rsidP="00CC607E">
      <w:pPr>
        <w:pStyle w:val="Paragraphedeliste"/>
        <w:numPr>
          <w:ilvl w:val="0"/>
          <w:numId w:val="14"/>
        </w:numPr>
        <w:spacing w:after="0" w:line="240" w:lineRule="auto"/>
        <w:contextualSpacing w:val="0"/>
        <w:rPr>
          <w:rFonts w:cs="Arial"/>
          <w:szCs w:val="24"/>
        </w:rPr>
      </w:pPr>
      <w:r>
        <w:rPr>
          <w:rFonts w:cs="Arial"/>
          <w:szCs w:val="24"/>
        </w:rPr>
        <w:t>Le soutien et les incitatifs offerts aux fabricants et fournisseurs québécois pour produire des biens et services accessibles (ex. : voir guide Design pour tous, en pièce jointe, programmes de soutien à l’innovation en conception universelle, etc.);</w:t>
      </w:r>
    </w:p>
    <w:p w:rsidR="00CC607E" w:rsidRDefault="00CC607E" w:rsidP="00CC607E">
      <w:pPr>
        <w:pStyle w:val="Paragraphedeliste"/>
        <w:numPr>
          <w:ilvl w:val="0"/>
          <w:numId w:val="14"/>
        </w:numPr>
        <w:spacing w:after="0" w:line="240" w:lineRule="auto"/>
        <w:contextualSpacing w:val="0"/>
        <w:rPr>
          <w:rFonts w:cs="Arial"/>
          <w:szCs w:val="24"/>
        </w:rPr>
      </w:pPr>
      <w:r>
        <w:rPr>
          <w:rFonts w:cs="Arial"/>
          <w:szCs w:val="24"/>
        </w:rPr>
        <w:t>Le soutien et les incitatifs offerts aux acheteurs (ex. : actions auprès de la Corporation des approvisionneurs du Québec, etc.);</w:t>
      </w:r>
    </w:p>
    <w:p w:rsidR="00CC607E" w:rsidRDefault="00CC607E" w:rsidP="00CC607E">
      <w:pPr>
        <w:pStyle w:val="Paragraphedeliste"/>
        <w:numPr>
          <w:ilvl w:val="0"/>
          <w:numId w:val="14"/>
        </w:numPr>
        <w:spacing w:after="0" w:line="240" w:lineRule="auto"/>
        <w:contextualSpacing w:val="0"/>
        <w:rPr>
          <w:rFonts w:cs="Arial"/>
          <w:szCs w:val="24"/>
        </w:rPr>
      </w:pPr>
      <w:r>
        <w:rPr>
          <w:rFonts w:cs="Arial"/>
          <w:szCs w:val="24"/>
        </w:rPr>
        <w:t>La formation aux intervenants de la chaîne d’approvisionnements (ex. : Attestation d’études commerciales en gestion d’approvisionnement);</w:t>
      </w:r>
    </w:p>
    <w:p w:rsidR="00CC607E" w:rsidRDefault="00CC607E" w:rsidP="00CC607E">
      <w:pPr>
        <w:pStyle w:val="Paragraphedeliste"/>
        <w:numPr>
          <w:ilvl w:val="0"/>
          <w:numId w:val="14"/>
        </w:numPr>
        <w:spacing w:after="0" w:line="240" w:lineRule="auto"/>
        <w:contextualSpacing w:val="0"/>
        <w:rPr>
          <w:rFonts w:cs="Arial"/>
          <w:szCs w:val="24"/>
        </w:rPr>
      </w:pPr>
      <w:r>
        <w:rPr>
          <w:rFonts w:cs="Arial"/>
          <w:szCs w:val="24"/>
        </w:rPr>
        <w:t>Les leviers possibles des politiques et règlements encadrant les appels d’offres (sous l’angle légal, par exemple, du développement durable);</w:t>
      </w:r>
    </w:p>
    <w:p w:rsidR="00CC607E" w:rsidRDefault="00CC607E" w:rsidP="00CC607E">
      <w:pPr>
        <w:pStyle w:val="Paragraphedeliste"/>
        <w:numPr>
          <w:ilvl w:val="0"/>
          <w:numId w:val="14"/>
        </w:numPr>
        <w:spacing w:after="0" w:line="240" w:lineRule="auto"/>
        <w:contextualSpacing w:val="0"/>
        <w:rPr>
          <w:rFonts w:cs="Arial"/>
          <w:szCs w:val="24"/>
        </w:rPr>
      </w:pPr>
      <w:r>
        <w:rPr>
          <w:rFonts w:cs="Arial"/>
          <w:szCs w:val="24"/>
        </w:rPr>
        <w:t>Les initiatives en la matière d’autres instances/juridictions/pays ou provinces;</w:t>
      </w:r>
    </w:p>
    <w:p w:rsidR="00CC607E" w:rsidRDefault="00CC607E" w:rsidP="00CC607E">
      <w:pPr>
        <w:pStyle w:val="Paragraphedeliste"/>
        <w:numPr>
          <w:ilvl w:val="0"/>
          <w:numId w:val="14"/>
        </w:numPr>
        <w:spacing w:after="0" w:line="240" w:lineRule="auto"/>
        <w:contextualSpacing w:val="0"/>
        <w:rPr>
          <w:rFonts w:cs="Arial"/>
          <w:szCs w:val="24"/>
        </w:rPr>
      </w:pPr>
      <w:r>
        <w:rPr>
          <w:rFonts w:cs="Arial"/>
          <w:szCs w:val="24"/>
        </w:rPr>
        <w:t>Etc.</w:t>
      </w:r>
    </w:p>
    <w:p w:rsidR="00CC607E" w:rsidRDefault="00CC607E" w:rsidP="00CC607E">
      <w:pPr>
        <w:rPr>
          <w:rFonts w:cs="Arial"/>
          <w:szCs w:val="24"/>
        </w:rPr>
      </w:pPr>
    </w:p>
    <w:p w:rsidR="00CC607E" w:rsidRDefault="00CC607E" w:rsidP="00CC607E">
      <w:pPr>
        <w:rPr>
          <w:rFonts w:cs="Arial"/>
          <w:szCs w:val="24"/>
        </w:rPr>
      </w:pPr>
      <w:r>
        <w:rPr>
          <w:rFonts w:cs="Arial"/>
          <w:szCs w:val="24"/>
        </w:rPr>
        <w:t>Nous pourrions ainsi déterminer ce qu’il est possible de faire</w:t>
      </w:r>
      <w:r w:rsidR="00C14350">
        <w:rPr>
          <w:rFonts w:cs="Arial"/>
          <w:szCs w:val="24"/>
        </w:rPr>
        <w:t xml:space="preserve">, </w:t>
      </w:r>
      <w:r>
        <w:rPr>
          <w:rFonts w:cs="Arial"/>
          <w:szCs w:val="24"/>
        </w:rPr>
        <w:t xml:space="preserve">de quelle façon nous pouvons faire avancer ce dossier globalement </w:t>
      </w:r>
      <w:r w:rsidR="00C14350">
        <w:rPr>
          <w:rFonts w:cs="Arial"/>
          <w:szCs w:val="24"/>
        </w:rPr>
        <w:t>et d</w:t>
      </w:r>
      <w:r>
        <w:rPr>
          <w:rFonts w:cs="Arial"/>
          <w:szCs w:val="24"/>
        </w:rPr>
        <w:t>éfinir les prochaines étapes.</w:t>
      </w:r>
    </w:p>
    <w:p w:rsidR="00CC607E" w:rsidRPr="00CC607E" w:rsidRDefault="00CC607E" w:rsidP="00CC607E">
      <w:pPr>
        <w:rPr>
          <w:rFonts w:cs="Arial"/>
          <w:szCs w:val="24"/>
        </w:rPr>
      </w:pPr>
      <w:r>
        <w:rPr>
          <w:rFonts w:cs="Arial"/>
          <w:szCs w:val="24"/>
        </w:rPr>
        <w:t xml:space="preserve">Pour toute question, n’hésitez pas à nous contacter. Ce dossier est important pour les personnes que nous représentons et nous souhaitons </w:t>
      </w:r>
      <w:r w:rsidR="00CF3927">
        <w:rPr>
          <w:rFonts w:cs="Arial"/>
          <w:szCs w:val="24"/>
        </w:rPr>
        <w:t>participer aux</w:t>
      </w:r>
      <w:r>
        <w:rPr>
          <w:rFonts w:cs="Arial"/>
          <w:szCs w:val="24"/>
        </w:rPr>
        <w:t xml:space="preserve"> travaux qui s’y rattachent.</w:t>
      </w:r>
    </w:p>
    <w:sectPr w:rsidR="00CC607E" w:rsidRPr="00CC607E">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A2A" w:rsidRDefault="00B10A2A" w:rsidP="00067142">
      <w:pPr>
        <w:spacing w:after="0" w:line="240" w:lineRule="auto"/>
      </w:pPr>
      <w:r>
        <w:separator/>
      </w:r>
    </w:p>
  </w:endnote>
  <w:endnote w:type="continuationSeparator" w:id="0">
    <w:p w:rsidR="00B10A2A" w:rsidRDefault="00B10A2A" w:rsidP="0006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Cn">
    <w:charset w:val="00"/>
    <w:family w:val="swiss"/>
    <w:pitch w:val="default"/>
    <w:sig w:usb0="00000003" w:usb1="00000000" w:usb2="00000000" w:usb3="00000000" w:csb0="00000001" w:csb1="00000000"/>
  </w:font>
  <w:font w:name="FrutigerLTStd-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0A" w:rsidRDefault="00CA0D0A">
    <w:pPr>
      <w:pStyle w:val="Pieddepage"/>
      <w:jc w:val="right"/>
    </w:pPr>
  </w:p>
  <w:p w:rsidR="00067142" w:rsidRDefault="000671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029116"/>
      <w:docPartObj>
        <w:docPartGallery w:val="Page Numbers (Bottom of Page)"/>
        <w:docPartUnique/>
      </w:docPartObj>
    </w:sdtPr>
    <w:sdtEndPr/>
    <w:sdtContent>
      <w:p w:rsidR="00CA0D0A" w:rsidRDefault="00CA0D0A">
        <w:pPr>
          <w:pStyle w:val="Pieddepage"/>
          <w:jc w:val="right"/>
        </w:pPr>
        <w:r>
          <w:fldChar w:fldCharType="begin"/>
        </w:r>
        <w:r>
          <w:instrText>PAGE   \* MERGEFORMAT</w:instrText>
        </w:r>
        <w:r>
          <w:fldChar w:fldCharType="separate"/>
        </w:r>
        <w:r w:rsidR="00E85BF3" w:rsidRPr="00E85BF3">
          <w:rPr>
            <w:noProof/>
            <w:lang w:val="fr-FR"/>
          </w:rPr>
          <w:t>3</w:t>
        </w:r>
        <w:r>
          <w:fldChar w:fldCharType="end"/>
        </w:r>
      </w:p>
    </w:sdtContent>
  </w:sdt>
  <w:p w:rsidR="00CA0D0A" w:rsidRDefault="00CA0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A2A" w:rsidRDefault="00B10A2A" w:rsidP="00067142">
      <w:pPr>
        <w:spacing w:after="0" w:line="240" w:lineRule="auto"/>
      </w:pPr>
      <w:r>
        <w:separator/>
      </w:r>
    </w:p>
  </w:footnote>
  <w:footnote w:type="continuationSeparator" w:id="0">
    <w:p w:rsidR="00B10A2A" w:rsidRDefault="00B10A2A" w:rsidP="00067142">
      <w:pPr>
        <w:spacing w:after="0" w:line="240" w:lineRule="auto"/>
      </w:pPr>
      <w:r>
        <w:continuationSeparator/>
      </w:r>
    </w:p>
  </w:footnote>
  <w:footnote w:id="1">
    <w:p w:rsidR="002541E8" w:rsidRPr="00CC16AB" w:rsidRDefault="002541E8" w:rsidP="00CC16AB">
      <w:pPr>
        <w:pStyle w:val="Titre2"/>
        <w:spacing w:line="240" w:lineRule="auto"/>
        <w:rPr>
          <w:rFonts w:ascii="Arial" w:hAnsi="Arial" w:cs="Arial"/>
          <w:color w:val="auto"/>
          <w:sz w:val="20"/>
          <w:szCs w:val="20"/>
          <w:lang w:val="en-CA"/>
        </w:rPr>
      </w:pPr>
      <w:r w:rsidRPr="00CC16AB">
        <w:rPr>
          <w:rStyle w:val="Appelnotedebasdep"/>
          <w:rFonts w:ascii="Arial" w:hAnsi="Arial" w:cs="Arial"/>
          <w:b w:val="0"/>
          <w:color w:val="auto"/>
          <w:sz w:val="20"/>
          <w:szCs w:val="20"/>
        </w:rPr>
        <w:footnoteRef/>
      </w:r>
      <w:r w:rsidRPr="00CC16AB">
        <w:rPr>
          <w:rFonts w:ascii="Arial" w:hAnsi="Arial" w:cs="Arial"/>
          <w:b w:val="0"/>
          <w:color w:val="auto"/>
          <w:sz w:val="20"/>
          <w:szCs w:val="20"/>
          <w:lang w:val="en-CA"/>
        </w:rPr>
        <w:t xml:space="preserve"> The buyaccessible.gov site is currently down for maintenance and a refresh, but you can still access the BuyAccessible Wizard and the Quick Links </w:t>
      </w:r>
      <w:hyperlink r:id="rId1" w:history="1">
        <w:r w:rsidRPr="00CC16AB">
          <w:rPr>
            <w:rStyle w:val="Lienhypertexte"/>
            <w:rFonts w:ascii="Arial" w:hAnsi="Arial" w:cs="Arial"/>
            <w:b w:val="0"/>
            <w:color w:val="auto"/>
            <w:sz w:val="20"/>
            <w:szCs w:val="20"/>
            <w:lang w:val="en-CA"/>
          </w:rPr>
          <w:t>http://app.buyaccessible.gov/baw/Main.jsp</w:t>
        </w:r>
      </w:hyperlink>
      <w:r w:rsidRPr="00CC16AB">
        <w:rPr>
          <w:rFonts w:ascii="Arial" w:hAnsi="Arial" w:cs="Arial"/>
          <w:b w:val="0"/>
          <w:color w:val="auto"/>
          <w:sz w:val="20"/>
          <w:szCs w:val="20"/>
          <w:lang w:val="en-CA"/>
        </w:rPr>
        <w:t xml:space="preserve"> and </w:t>
      </w:r>
      <w:hyperlink r:id="rId2" w:history="1">
        <w:r w:rsidRPr="00CC16AB">
          <w:rPr>
            <w:rStyle w:val="Lienhypertexte"/>
            <w:rFonts w:ascii="Arial" w:hAnsi="Arial" w:cs="Arial"/>
            <w:b w:val="0"/>
            <w:color w:val="auto"/>
            <w:sz w:val="20"/>
            <w:szCs w:val="20"/>
            <w:lang w:val="en-CA"/>
          </w:rPr>
          <w:t>http://app.buyaccessible.gov/baw/Quick-Links/index.jsp</w:t>
        </w:r>
      </w:hyperlink>
      <w:r w:rsidRPr="00CC16AB">
        <w:rPr>
          <w:rFonts w:ascii="Arial" w:hAnsi="Arial" w:cs="Arial"/>
          <w:b w:val="0"/>
          <w:color w:val="auto"/>
          <w:sz w:val="20"/>
          <w:szCs w:val="20"/>
          <w:lang w:val="en-CA"/>
        </w:rPr>
        <w:t xml:space="preserve"> .  The BuyAccessible tool assists in the determination of Section 508 requirements that apply to an EIT procurement and also creates Section 508 solicitation language. </w:t>
      </w:r>
    </w:p>
    <w:p w:rsidR="002541E8" w:rsidRPr="00CC16AB" w:rsidRDefault="002541E8">
      <w:pPr>
        <w:pStyle w:val="Notedebasdepage"/>
        <w:rPr>
          <w:lang w:val="en-CA"/>
        </w:rPr>
      </w:pPr>
    </w:p>
  </w:footnote>
  <w:footnote w:id="2">
    <w:p w:rsidR="002D763D" w:rsidRDefault="002D763D">
      <w:pPr>
        <w:pStyle w:val="Notedebasdepage"/>
      </w:pPr>
      <w:r>
        <w:rPr>
          <w:rStyle w:val="Appelnotedebasdep"/>
        </w:rPr>
        <w:footnoteRef/>
      </w:r>
      <w:r>
        <w:t xml:space="preserve"> Grand dictionnaire terminologique. </w:t>
      </w:r>
      <w:hyperlink r:id="rId3" w:history="1">
        <w:r w:rsidRPr="002D763D">
          <w:rPr>
            <w:rStyle w:val="Lienhypertexte"/>
          </w:rPr>
          <w:t>Mat : Désigne une surface qui n'est pas brillante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B280F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1A10B07"/>
    <w:multiLevelType w:val="hybridMultilevel"/>
    <w:tmpl w:val="4DF8A2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6066880"/>
    <w:multiLevelType w:val="hybridMultilevel"/>
    <w:tmpl w:val="521C6A8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3" w15:restartNumberingAfterBreak="0">
    <w:nsid w:val="2D83379A"/>
    <w:multiLevelType w:val="hybridMultilevel"/>
    <w:tmpl w:val="FD16FB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0D7E7D"/>
    <w:multiLevelType w:val="hybridMultilevel"/>
    <w:tmpl w:val="0A0271E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385E3A9D"/>
    <w:multiLevelType w:val="multilevel"/>
    <w:tmpl w:val="B4D0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A206BE"/>
    <w:multiLevelType w:val="hybridMultilevel"/>
    <w:tmpl w:val="09A09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9FB6AF8"/>
    <w:multiLevelType w:val="hybridMultilevel"/>
    <w:tmpl w:val="0284F5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D6C61A7"/>
    <w:multiLevelType w:val="hybridMultilevel"/>
    <w:tmpl w:val="3C0E68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054498"/>
    <w:multiLevelType w:val="hybridMultilevel"/>
    <w:tmpl w:val="5BC4FB48"/>
    <w:lvl w:ilvl="0" w:tplc="0C0C000F">
      <w:start w:val="1"/>
      <w:numFmt w:val="decimal"/>
      <w:lvlText w:val="%1."/>
      <w:lvlJc w:val="left"/>
      <w:pPr>
        <w:ind w:left="765" w:hanging="360"/>
      </w:p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10" w15:restartNumberingAfterBreak="0">
    <w:nsid w:val="5B564565"/>
    <w:multiLevelType w:val="hybridMultilevel"/>
    <w:tmpl w:val="720CD7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D8C0322"/>
    <w:multiLevelType w:val="hybridMultilevel"/>
    <w:tmpl w:val="D25476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AE468DF"/>
    <w:multiLevelType w:val="hybridMultilevel"/>
    <w:tmpl w:val="21E005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6C221CFB"/>
    <w:multiLevelType w:val="hybridMultilevel"/>
    <w:tmpl w:val="2E9ED0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95F0F2C"/>
    <w:multiLevelType w:val="hybridMultilevel"/>
    <w:tmpl w:val="83E467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D1C00E2"/>
    <w:multiLevelType w:val="hybridMultilevel"/>
    <w:tmpl w:val="8F24F7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1"/>
  </w:num>
  <w:num w:numId="5">
    <w:abstractNumId w:val="10"/>
  </w:num>
  <w:num w:numId="6">
    <w:abstractNumId w:val="15"/>
  </w:num>
  <w:num w:numId="7">
    <w:abstractNumId w:val="3"/>
  </w:num>
  <w:num w:numId="8">
    <w:abstractNumId w:val="14"/>
  </w:num>
  <w:num w:numId="9">
    <w:abstractNumId w:val="0"/>
  </w:num>
  <w:num w:numId="10">
    <w:abstractNumId w:val="6"/>
  </w:num>
  <w:num w:numId="11">
    <w:abstractNumId w:val="1"/>
  </w:num>
  <w:num w:numId="12">
    <w:abstractNumId w:val="8"/>
  </w:num>
  <w:num w:numId="13">
    <w:abstractNumId w:val="2"/>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DB"/>
    <w:rsid w:val="00013FF4"/>
    <w:rsid w:val="0001457D"/>
    <w:rsid w:val="00014866"/>
    <w:rsid w:val="00030469"/>
    <w:rsid w:val="000336EB"/>
    <w:rsid w:val="00041653"/>
    <w:rsid w:val="0004291E"/>
    <w:rsid w:val="00066967"/>
    <w:rsid w:val="00067142"/>
    <w:rsid w:val="000806CB"/>
    <w:rsid w:val="000821D2"/>
    <w:rsid w:val="00086311"/>
    <w:rsid w:val="00094E04"/>
    <w:rsid w:val="000B180C"/>
    <w:rsid w:val="000B7F83"/>
    <w:rsid w:val="000C197C"/>
    <w:rsid w:val="000F5AB1"/>
    <w:rsid w:val="00114541"/>
    <w:rsid w:val="00126A59"/>
    <w:rsid w:val="0013120A"/>
    <w:rsid w:val="00161602"/>
    <w:rsid w:val="001821A2"/>
    <w:rsid w:val="001902C6"/>
    <w:rsid w:val="001A0292"/>
    <w:rsid w:val="001B3480"/>
    <w:rsid w:val="001B6FF3"/>
    <w:rsid w:val="001D1973"/>
    <w:rsid w:val="001D4627"/>
    <w:rsid w:val="00211647"/>
    <w:rsid w:val="00214B49"/>
    <w:rsid w:val="002179FF"/>
    <w:rsid w:val="00217BF3"/>
    <w:rsid w:val="002541E8"/>
    <w:rsid w:val="002574B0"/>
    <w:rsid w:val="00263E08"/>
    <w:rsid w:val="0026401B"/>
    <w:rsid w:val="0028066F"/>
    <w:rsid w:val="00292338"/>
    <w:rsid w:val="002B217A"/>
    <w:rsid w:val="002D2452"/>
    <w:rsid w:val="002D763D"/>
    <w:rsid w:val="002F28D2"/>
    <w:rsid w:val="00312D76"/>
    <w:rsid w:val="0032599B"/>
    <w:rsid w:val="00366F40"/>
    <w:rsid w:val="00387B7E"/>
    <w:rsid w:val="003A3FC7"/>
    <w:rsid w:val="003A5280"/>
    <w:rsid w:val="003B1A5C"/>
    <w:rsid w:val="00406C65"/>
    <w:rsid w:val="0041208D"/>
    <w:rsid w:val="00412953"/>
    <w:rsid w:val="00416A0A"/>
    <w:rsid w:val="00431E86"/>
    <w:rsid w:val="00462D4E"/>
    <w:rsid w:val="0048699D"/>
    <w:rsid w:val="004A65DA"/>
    <w:rsid w:val="004C4B51"/>
    <w:rsid w:val="004F429A"/>
    <w:rsid w:val="00500428"/>
    <w:rsid w:val="00504485"/>
    <w:rsid w:val="005257CB"/>
    <w:rsid w:val="00527D29"/>
    <w:rsid w:val="00570E2D"/>
    <w:rsid w:val="00574413"/>
    <w:rsid w:val="005751CC"/>
    <w:rsid w:val="00577238"/>
    <w:rsid w:val="005C3246"/>
    <w:rsid w:val="005F09EB"/>
    <w:rsid w:val="006249A1"/>
    <w:rsid w:val="00630C49"/>
    <w:rsid w:val="006340D7"/>
    <w:rsid w:val="00634EBE"/>
    <w:rsid w:val="00646804"/>
    <w:rsid w:val="00666321"/>
    <w:rsid w:val="00673173"/>
    <w:rsid w:val="006762F9"/>
    <w:rsid w:val="00686F1A"/>
    <w:rsid w:val="00691DEC"/>
    <w:rsid w:val="006E3ADB"/>
    <w:rsid w:val="006E54BC"/>
    <w:rsid w:val="006F74FD"/>
    <w:rsid w:val="00700B8B"/>
    <w:rsid w:val="00725903"/>
    <w:rsid w:val="00730CDE"/>
    <w:rsid w:val="0076717E"/>
    <w:rsid w:val="007823FF"/>
    <w:rsid w:val="00784DEC"/>
    <w:rsid w:val="007A372B"/>
    <w:rsid w:val="007C127A"/>
    <w:rsid w:val="00814042"/>
    <w:rsid w:val="008214EE"/>
    <w:rsid w:val="00852B61"/>
    <w:rsid w:val="008563D3"/>
    <w:rsid w:val="00892700"/>
    <w:rsid w:val="008A5B9A"/>
    <w:rsid w:val="008B0DED"/>
    <w:rsid w:val="008B54E6"/>
    <w:rsid w:val="008C2FDF"/>
    <w:rsid w:val="008F4D66"/>
    <w:rsid w:val="008F5316"/>
    <w:rsid w:val="00901A68"/>
    <w:rsid w:val="009071DB"/>
    <w:rsid w:val="00913A09"/>
    <w:rsid w:val="00914DF3"/>
    <w:rsid w:val="009365A1"/>
    <w:rsid w:val="00956C16"/>
    <w:rsid w:val="00960DE9"/>
    <w:rsid w:val="009D4487"/>
    <w:rsid w:val="009F2F5E"/>
    <w:rsid w:val="00A15832"/>
    <w:rsid w:val="00A71D36"/>
    <w:rsid w:val="00A75164"/>
    <w:rsid w:val="00A835E8"/>
    <w:rsid w:val="00A905C5"/>
    <w:rsid w:val="00AF5C22"/>
    <w:rsid w:val="00B10A2A"/>
    <w:rsid w:val="00B210D3"/>
    <w:rsid w:val="00B26398"/>
    <w:rsid w:val="00B31C8B"/>
    <w:rsid w:val="00B352C3"/>
    <w:rsid w:val="00B45ED8"/>
    <w:rsid w:val="00B65676"/>
    <w:rsid w:val="00B92B57"/>
    <w:rsid w:val="00BD5E0B"/>
    <w:rsid w:val="00C02ABA"/>
    <w:rsid w:val="00C1121E"/>
    <w:rsid w:val="00C1292A"/>
    <w:rsid w:val="00C14350"/>
    <w:rsid w:val="00C259B0"/>
    <w:rsid w:val="00C5175D"/>
    <w:rsid w:val="00C528CB"/>
    <w:rsid w:val="00C609B9"/>
    <w:rsid w:val="00CA0D0A"/>
    <w:rsid w:val="00CB0822"/>
    <w:rsid w:val="00CB2001"/>
    <w:rsid w:val="00CC16AB"/>
    <w:rsid w:val="00CC607E"/>
    <w:rsid w:val="00CE6256"/>
    <w:rsid w:val="00CF3927"/>
    <w:rsid w:val="00D32499"/>
    <w:rsid w:val="00D4448C"/>
    <w:rsid w:val="00D45485"/>
    <w:rsid w:val="00D53B6B"/>
    <w:rsid w:val="00D55673"/>
    <w:rsid w:val="00D860CE"/>
    <w:rsid w:val="00D91A06"/>
    <w:rsid w:val="00DC40CF"/>
    <w:rsid w:val="00DD2C9F"/>
    <w:rsid w:val="00DF23CE"/>
    <w:rsid w:val="00E110FF"/>
    <w:rsid w:val="00E152F1"/>
    <w:rsid w:val="00E17821"/>
    <w:rsid w:val="00E50A56"/>
    <w:rsid w:val="00E55CA2"/>
    <w:rsid w:val="00E6105C"/>
    <w:rsid w:val="00E7226C"/>
    <w:rsid w:val="00E85BF3"/>
    <w:rsid w:val="00E90C18"/>
    <w:rsid w:val="00E9777A"/>
    <w:rsid w:val="00ED188A"/>
    <w:rsid w:val="00ED4F24"/>
    <w:rsid w:val="00EF13B4"/>
    <w:rsid w:val="00EF3421"/>
    <w:rsid w:val="00F2561D"/>
    <w:rsid w:val="00F463F2"/>
    <w:rsid w:val="00F547BB"/>
    <w:rsid w:val="00F5783A"/>
    <w:rsid w:val="00F61D5F"/>
    <w:rsid w:val="00F82A56"/>
    <w:rsid w:val="00F8357C"/>
    <w:rsid w:val="00F83939"/>
    <w:rsid w:val="00FB35F9"/>
    <w:rsid w:val="00FC7B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A6986-3C2C-46DF-A57D-01043B31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11"/>
    <w:rPr>
      <w:rFonts w:ascii="Arial" w:hAnsi="Arial"/>
      <w:sz w:val="24"/>
    </w:rPr>
  </w:style>
  <w:style w:type="paragraph" w:styleId="Titre1">
    <w:name w:val="heading 1"/>
    <w:basedOn w:val="Normal"/>
    <w:next w:val="Normal"/>
    <w:link w:val="Titre1Car"/>
    <w:autoRedefine/>
    <w:uiPriority w:val="9"/>
    <w:qFormat/>
    <w:rsid w:val="002574B0"/>
    <w:pPr>
      <w:keepNext/>
      <w:keepLines/>
      <w:spacing w:before="480" w:after="0"/>
      <w:outlineLvl w:val="0"/>
    </w:pPr>
    <w:rPr>
      <w:rFonts w:eastAsiaTheme="majorEastAsia" w:cstheme="majorBidi"/>
      <w:b/>
      <w:bCs/>
      <w:caps/>
      <w:sz w:val="32"/>
      <w:szCs w:val="28"/>
    </w:rPr>
  </w:style>
  <w:style w:type="paragraph" w:styleId="Titre2">
    <w:name w:val="heading 2"/>
    <w:basedOn w:val="Normal"/>
    <w:next w:val="Normal"/>
    <w:link w:val="Titre2Car"/>
    <w:uiPriority w:val="9"/>
    <w:unhideWhenUsed/>
    <w:qFormat/>
    <w:rsid w:val="00EF34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CC607E"/>
    <w:pPr>
      <w:spacing w:after="300" w:line="240" w:lineRule="auto"/>
      <w:contextualSpacing/>
    </w:pPr>
    <w:rPr>
      <w:rFonts w:eastAsiaTheme="majorEastAsia" w:cstheme="majorBidi"/>
      <w:b/>
      <w:spacing w:val="5"/>
      <w:kern w:val="28"/>
      <w:sz w:val="40"/>
      <w:szCs w:val="52"/>
    </w:rPr>
  </w:style>
  <w:style w:type="character" w:customStyle="1" w:styleId="TitreCar">
    <w:name w:val="Titre Car"/>
    <w:basedOn w:val="Policepardfaut"/>
    <w:link w:val="Titre"/>
    <w:uiPriority w:val="10"/>
    <w:rsid w:val="00CC607E"/>
    <w:rPr>
      <w:rFonts w:ascii="Arial" w:eastAsiaTheme="majorEastAsia" w:hAnsi="Arial" w:cstheme="majorBidi"/>
      <w:b/>
      <w:spacing w:val="5"/>
      <w:kern w:val="28"/>
      <w:sz w:val="40"/>
      <w:szCs w:val="52"/>
    </w:rPr>
  </w:style>
  <w:style w:type="paragraph" w:styleId="Paragraphedeliste">
    <w:name w:val="List Paragraph"/>
    <w:basedOn w:val="Normal"/>
    <w:uiPriority w:val="34"/>
    <w:qFormat/>
    <w:rsid w:val="00577238"/>
    <w:pPr>
      <w:ind w:left="720"/>
      <w:contextualSpacing/>
    </w:pPr>
  </w:style>
  <w:style w:type="character" w:styleId="Lienhypertexte">
    <w:name w:val="Hyperlink"/>
    <w:basedOn w:val="Policepardfaut"/>
    <w:uiPriority w:val="99"/>
    <w:unhideWhenUsed/>
    <w:rsid w:val="00406C65"/>
    <w:rPr>
      <w:color w:val="0000FF" w:themeColor="hyperlink"/>
      <w:u w:val="single"/>
    </w:rPr>
  </w:style>
  <w:style w:type="character" w:styleId="Marquedecommentaire">
    <w:name w:val="annotation reference"/>
    <w:basedOn w:val="Policepardfaut"/>
    <w:uiPriority w:val="99"/>
    <w:semiHidden/>
    <w:unhideWhenUsed/>
    <w:rsid w:val="00AF5C22"/>
    <w:rPr>
      <w:sz w:val="16"/>
      <w:szCs w:val="16"/>
    </w:rPr>
  </w:style>
  <w:style w:type="paragraph" w:styleId="Commentaire">
    <w:name w:val="annotation text"/>
    <w:basedOn w:val="Normal"/>
    <w:link w:val="CommentaireCar"/>
    <w:uiPriority w:val="99"/>
    <w:semiHidden/>
    <w:unhideWhenUsed/>
    <w:rsid w:val="00AF5C22"/>
    <w:pPr>
      <w:spacing w:line="240" w:lineRule="auto"/>
    </w:pPr>
    <w:rPr>
      <w:sz w:val="20"/>
      <w:szCs w:val="20"/>
    </w:rPr>
  </w:style>
  <w:style w:type="character" w:customStyle="1" w:styleId="CommentaireCar">
    <w:name w:val="Commentaire Car"/>
    <w:basedOn w:val="Policepardfaut"/>
    <w:link w:val="Commentaire"/>
    <w:uiPriority w:val="99"/>
    <w:semiHidden/>
    <w:rsid w:val="00AF5C22"/>
    <w:rPr>
      <w:sz w:val="20"/>
      <w:szCs w:val="20"/>
    </w:rPr>
  </w:style>
  <w:style w:type="paragraph" w:styleId="Objetducommentaire">
    <w:name w:val="annotation subject"/>
    <w:basedOn w:val="Commentaire"/>
    <w:next w:val="Commentaire"/>
    <w:link w:val="ObjetducommentaireCar"/>
    <w:uiPriority w:val="99"/>
    <w:semiHidden/>
    <w:unhideWhenUsed/>
    <w:rsid w:val="00AF5C22"/>
    <w:rPr>
      <w:b/>
      <w:bCs/>
    </w:rPr>
  </w:style>
  <w:style w:type="character" w:customStyle="1" w:styleId="ObjetducommentaireCar">
    <w:name w:val="Objet du commentaire Car"/>
    <w:basedOn w:val="CommentaireCar"/>
    <w:link w:val="Objetducommentaire"/>
    <w:uiPriority w:val="99"/>
    <w:semiHidden/>
    <w:rsid w:val="00AF5C22"/>
    <w:rPr>
      <w:b/>
      <w:bCs/>
      <w:sz w:val="20"/>
      <w:szCs w:val="20"/>
    </w:rPr>
  </w:style>
  <w:style w:type="paragraph" w:styleId="Textedebulles">
    <w:name w:val="Balloon Text"/>
    <w:basedOn w:val="Normal"/>
    <w:link w:val="TextedebullesCar"/>
    <w:uiPriority w:val="99"/>
    <w:semiHidden/>
    <w:unhideWhenUsed/>
    <w:rsid w:val="00AF5C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C22"/>
    <w:rPr>
      <w:rFonts w:ascii="Tahoma" w:hAnsi="Tahoma" w:cs="Tahoma"/>
      <w:sz w:val="16"/>
      <w:szCs w:val="16"/>
    </w:rPr>
  </w:style>
  <w:style w:type="paragraph" w:customStyle="1" w:styleId="DecimalAligned">
    <w:name w:val="Decimal Aligned"/>
    <w:basedOn w:val="Normal"/>
    <w:uiPriority w:val="40"/>
    <w:qFormat/>
    <w:rsid w:val="006F74FD"/>
    <w:pPr>
      <w:tabs>
        <w:tab w:val="decimal" w:pos="360"/>
      </w:tabs>
    </w:pPr>
    <w:rPr>
      <w:lang w:eastAsia="fr-CA"/>
    </w:rPr>
  </w:style>
  <w:style w:type="paragraph" w:styleId="Notedebasdepage">
    <w:name w:val="footnote text"/>
    <w:basedOn w:val="Normal"/>
    <w:link w:val="NotedebasdepageCar"/>
    <w:uiPriority w:val="99"/>
    <w:unhideWhenUsed/>
    <w:rsid w:val="006F74FD"/>
    <w:pPr>
      <w:spacing w:after="0" w:line="240" w:lineRule="auto"/>
    </w:pPr>
    <w:rPr>
      <w:rFonts w:eastAsiaTheme="minorEastAsia"/>
      <w:sz w:val="20"/>
      <w:szCs w:val="20"/>
      <w:lang w:eastAsia="fr-CA"/>
    </w:rPr>
  </w:style>
  <w:style w:type="character" w:customStyle="1" w:styleId="NotedebasdepageCar">
    <w:name w:val="Note de bas de page Car"/>
    <w:basedOn w:val="Policepardfaut"/>
    <w:link w:val="Notedebasdepage"/>
    <w:uiPriority w:val="99"/>
    <w:rsid w:val="006F74FD"/>
    <w:rPr>
      <w:rFonts w:eastAsiaTheme="minorEastAsia"/>
      <w:sz w:val="20"/>
      <w:szCs w:val="20"/>
      <w:lang w:eastAsia="fr-CA"/>
    </w:rPr>
  </w:style>
  <w:style w:type="character" w:styleId="Emphaseple">
    <w:name w:val="Subtle Emphasis"/>
    <w:basedOn w:val="Policepardfaut"/>
    <w:uiPriority w:val="19"/>
    <w:qFormat/>
    <w:rsid w:val="006F74FD"/>
    <w:rPr>
      <w:i/>
      <w:iCs/>
      <w:color w:val="7F7F7F" w:themeColor="text1" w:themeTint="80"/>
    </w:rPr>
  </w:style>
  <w:style w:type="table" w:styleId="Trameclaire-Accent1">
    <w:name w:val="Light Shading Accent 1"/>
    <w:basedOn w:val="TableauNormal"/>
    <w:uiPriority w:val="60"/>
    <w:rsid w:val="006F74FD"/>
    <w:pPr>
      <w:spacing w:after="0" w:line="240" w:lineRule="auto"/>
    </w:pPr>
    <w:rPr>
      <w:rFonts w:eastAsiaTheme="minorEastAsia"/>
      <w:color w:val="365F91" w:themeColor="accent1" w:themeShade="BF"/>
      <w:lang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6F7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67142"/>
    <w:pPr>
      <w:tabs>
        <w:tab w:val="center" w:pos="4320"/>
        <w:tab w:val="right" w:pos="8640"/>
      </w:tabs>
      <w:spacing w:after="0" w:line="240" w:lineRule="auto"/>
    </w:pPr>
  </w:style>
  <w:style w:type="character" w:customStyle="1" w:styleId="En-tteCar">
    <w:name w:val="En-tête Car"/>
    <w:basedOn w:val="Policepardfaut"/>
    <w:link w:val="En-tte"/>
    <w:uiPriority w:val="99"/>
    <w:rsid w:val="00067142"/>
  </w:style>
  <w:style w:type="paragraph" w:styleId="Pieddepage">
    <w:name w:val="footer"/>
    <w:basedOn w:val="Normal"/>
    <w:link w:val="PieddepageCar"/>
    <w:uiPriority w:val="99"/>
    <w:unhideWhenUsed/>
    <w:rsid w:val="000671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67142"/>
  </w:style>
  <w:style w:type="paragraph" w:styleId="NormalWeb">
    <w:name w:val="Normal (Web)"/>
    <w:basedOn w:val="Normal"/>
    <w:uiPriority w:val="99"/>
    <w:unhideWhenUsed/>
    <w:rsid w:val="00C259B0"/>
    <w:pPr>
      <w:spacing w:before="100" w:beforeAutospacing="1" w:after="100" w:afterAutospacing="1" w:line="240" w:lineRule="auto"/>
    </w:pPr>
    <w:rPr>
      <w:rFonts w:ascii="Times New Roman" w:eastAsia="Times New Roman" w:hAnsi="Times New Roman" w:cs="Times New Roman"/>
      <w:szCs w:val="24"/>
      <w:lang w:eastAsia="fr-CA"/>
    </w:rPr>
  </w:style>
  <w:style w:type="character" w:customStyle="1" w:styleId="highlight">
    <w:name w:val="highlight"/>
    <w:basedOn w:val="Policepardfaut"/>
    <w:rsid w:val="000C197C"/>
  </w:style>
  <w:style w:type="character" w:customStyle="1" w:styleId="Titre1Car">
    <w:name w:val="Titre 1 Car"/>
    <w:basedOn w:val="Policepardfaut"/>
    <w:link w:val="Titre1"/>
    <w:uiPriority w:val="9"/>
    <w:rsid w:val="002574B0"/>
    <w:rPr>
      <w:rFonts w:ascii="Arial" w:eastAsiaTheme="majorEastAsia" w:hAnsi="Arial" w:cstheme="majorBidi"/>
      <w:b/>
      <w:bCs/>
      <w:caps/>
      <w:sz w:val="32"/>
      <w:szCs w:val="28"/>
    </w:rPr>
  </w:style>
  <w:style w:type="character" w:styleId="Lienhypertextesuivivisit">
    <w:name w:val="FollowedHyperlink"/>
    <w:basedOn w:val="Policepardfaut"/>
    <w:uiPriority w:val="99"/>
    <w:semiHidden/>
    <w:unhideWhenUsed/>
    <w:rsid w:val="00D53B6B"/>
    <w:rPr>
      <w:color w:val="800080" w:themeColor="followedHyperlink"/>
      <w:u w:val="single"/>
    </w:rPr>
  </w:style>
  <w:style w:type="character" w:styleId="Appelnotedebasdep">
    <w:name w:val="footnote reference"/>
    <w:basedOn w:val="Policepardfaut"/>
    <w:uiPriority w:val="99"/>
    <w:semiHidden/>
    <w:unhideWhenUsed/>
    <w:rsid w:val="002D763D"/>
    <w:rPr>
      <w:vertAlign w:val="superscript"/>
    </w:rPr>
  </w:style>
  <w:style w:type="paragraph" w:styleId="Listepuces">
    <w:name w:val="List Bullet"/>
    <w:basedOn w:val="Normal"/>
    <w:uiPriority w:val="99"/>
    <w:unhideWhenUsed/>
    <w:rsid w:val="00D45485"/>
    <w:pPr>
      <w:numPr>
        <w:numId w:val="9"/>
      </w:numPr>
      <w:contextualSpacing/>
    </w:pPr>
  </w:style>
  <w:style w:type="paragraph" w:styleId="TM1">
    <w:name w:val="toc 1"/>
    <w:basedOn w:val="Normal"/>
    <w:next w:val="Normal"/>
    <w:autoRedefine/>
    <w:uiPriority w:val="39"/>
    <w:unhideWhenUsed/>
    <w:rsid w:val="00CA0D0A"/>
    <w:pPr>
      <w:tabs>
        <w:tab w:val="right" w:leader="dot" w:pos="8630"/>
      </w:tabs>
      <w:spacing w:after="100"/>
    </w:pPr>
    <w:rPr>
      <w:rFonts w:cs="Arial"/>
      <w:sz w:val="28"/>
      <w:szCs w:val="36"/>
    </w:rPr>
  </w:style>
  <w:style w:type="character" w:customStyle="1" w:styleId="Titre2Car">
    <w:name w:val="Titre 2 Car"/>
    <w:basedOn w:val="Policepardfaut"/>
    <w:link w:val="Titre2"/>
    <w:uiPriority w:val="9"/>
    <w:rsid w:val="00EF3421"/>
    <w:rPr>
      <w:rFonts w:asciiTheme="majorHAnsi" w:eastAsiaTheme="majorEastAsia" w:hAnsiTheme="majorHAnsi" w:cstheme="majorBidi"/>
      <w:b/>
      <w:bCs/>
      <w:color w:val="4F81BD" w:themeColor="accent1"/>
      <w:sz w:val="26"/>
      <w:szCs w:val="26"/>
    </w:rPr>
  </w:style>
  <w:style w:type="character" w:customStyle="1" w:styleId="tags">
    <w:name w:val="tags"/>
    <w:basedOn w:val="Policepardfaut"/>
    <w:rsid w:val="00EF3421"/>
  </w:style>
  <w:style w:type="character" w:customStyle="1" w:styleId="user">
    <w:name w:val="user"/>
    <w:basedOn w:val="Policepardfaut"/>
    <w:rsid w:val="00EF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511">
      <w:bodyDiv w:val="1"/>
      <w:marLeft w:val="0"/>
      <w:marRight w:val="0"/>
      <w:marTop w:val="0"/>
      <w:marBottom w:val="0"/>
      <w:divBdr>
        <w:top w:val="none" w:sz="0" w:space="0" w:color="auto"/>
        <w:left w:val="none" w:sz="0" w:space="0" w:color="auto"/>
        <w:bottom w:val="none" w:sz="0" w:space="0" w:color="auto"/>
        <w:right w:val="none" w:sz="0" w:space="0" w:color="auto"/>
      </w:divBdr>
      <w:divsChild>
        <w:div w:id="907808807">
          <w:marLeft w:val="0"/>
          <w:marRight w:val="0"/>
          <w:marTop w:val="0"/>
          <w:marBottom w:val="0"/>
          <w:divBdr>
            <w:top w:val="none" w:sz="0" w:space="0" w:color="auto"/>
            <w:left w:val="none" w:sz="0" w:space="0" w:color="auto"/>
            <w:bottom w:val="none" w:sz="0" w:space="0" w:color="auto"/>
            <w:right w:val="none" w:sz="0" w:space="0" w:color="auto"/>
          </w:divBdr>
        </w:div>
        <w:div w:id="1094133422">
          <w:marLeft w:val="0"/>
          <w:marRight w:val="0"/>
          <w:marTop w:val="0"/>
          <w:marBottom w:val="0"/>
          <w:divBdr>
            <w:top w:val="none" w:sz="0" w:space="0" w:color="auto"/>
            <w:left w:val="none" w:sz="0" w:space="0" w:color="auto"/>
            <w:bottom w:val="none" w:sz="0" w:space="0" w:color="auto"/>
            <w:right w:val="none" w:sz="0" w:space="0" w:color="auto"/>
          </w:divBdr>
        </w:div>
      </w:divsChild>
    </w:div>
    <w:div w:id="116022485">
      <w:bodyDiv w:val="1"/>
      <w:marLeft w:val="0"/>
      <w:marRight w:val="0"/>
      <w:marTop w:val="0"/>
      <w:marBottom w:val="0"/>
      <w:divBdr>
        <w:top w:val="none" w:sz="0" w:space="0" w:color="auto"/>
        <w:left w:val="none" w:sz="0" w:space="0" w:color="auto"/>
        <w:bottom w:val="none" w:sz="0" w:space="0" w:color="auto"/>
        <w:right w:val="none" w:sz="0" w:space="0" w:color="auto"/>
      </w:divBdr>
      <w:divsChild>
        <w:div w:id="1763263665">
          <w:marLeft w:val="0"/>
          <w:marRight w:val="0"/>
          <w:marTop w:val="0"/>
          <w:marBottom w:val="0"/>
          <w:divBdr>
            <w:top w:val="none" w:sz="0" w:space="0" w:color="auto"/>
            <w:left w:val="none" w:sz="0" w:space="0" w:color="auto"/>
            <w:bottom w:val="none" w:sz="0" w:space="0" w:color="auto"/>
            <w:right w:val="none" w:sz="0" w:space="0" w:color="auto"/>
          </w:divBdr>
        </w:div>
        <w:div w:id="1709447970">
          <w:marLeft w:val="0"/>
          <w:marRight w:val="0"/>
          <w:marTop w:val="0"/>
          <w:marBottom w:val="0"/>
          <w:divBdr>
            <w:top w:val="none" w:sz="0" w:space="0" w:color="auto"/>
            <w:left w:val="none" w:sz="0" w:space="0" w:color="auto"/>
            <w:bottom w:val="none" w:sz="0" w:space="0" w:color="auto"/>
            <w:right w:val="none" w:sz="0" w:space="0" w:color="auto"/>
          </w:divBdr>
        </w:div>
      </w:divsChild>
    </w:div>
    <w:div w:id="228811233">
      <w:bodyDiv w:val="1"/>
      <w:marLeft w:val="0"/>
      <w:marRight w:val="0"/>
      <w:marTop w:val="0"/>
      <w:marBottom w:val="0"/>
      <w:divBdr>
        <w:top w:val="none" w:sz="0" w:space="0" w:color="auto"/>
        <w:left w:val="none" w:sz="0" w:space="0" w:color="auto"/>
        <w:bottom w:val="none" w:sz="0" w:space="0" w:color="auto"/>
        <w:right w:val="none" w:sz="0" w:space="0" w:color="auto"/>
      </w:divBdr>
      <w:divsChild>
        <w:div w:id="882903686">
          <w:marLeft w:val="0"/>
          <w:marRight w:val="0"/>
          <w:marTop w:val="0"/>
          <w:marBottom w:val="0"/>
          <w:divBdr>
            <w:top w:val="none" w:sz="0" w:space="0" w:color="auto"/>
            <w:left w:val="none" w:sz="0" w:space="0" w:color="auto"/>
            <w:bottom w:val="none" w:sz="0" w:space="0" w:color="auto"/>
            <w:right w:val="none" w:sz="0" w:space="0" w:color="auto"/>
          </w:divBdr>
        </w:div>
        <w:div w:id="841513172">
          <w:marLeft w:val="0"/>
          <w:marRight w:val="0"/>
          <w:marTop w:val="0"/>
          <w:marBottom w:val="0"/>
          <w:divBdr>
            <w:top w:val="none" w:sz="0" w:space="0" w:color="auto"/>
            <w:left w:val="none" w:sz="0" w:space="0" w:color="auto"/>
            <w:bottom w:val="none" w:sz="0" w:space="0" w:color="auto"/>
            <w:right w:val="none" w:sz="0" w:space="0" w:color="auto"/>
          </w:divBdr>
        </w:div>
      </w:divsChild>
    </w:div>
    <w:div w:id="234821995">
      <w:bodyDiv w:val="1"/>
      <w:marLeft w:val="0"/>
      <w:marRight w:val="0"/>
      <w:marTop w:val="0"/>
      <w:marBottom w:val="0"/>
      <w:divBdr>
        <w:top w:val="none" w:sz="0" w:space="0" w:color="auto"/>
        <w:left w:val="none" w:sz="0" w:space="0" w:color="auto"/>
        <w:bottom w:val="none" w:sz="0" w:space="0" w:color="auto"/>
        <w:right w:val="none" w:sz="0" w:space="0" w:color="auto"/>
      </w:divBdr>
    </w:div>
    <w:div w:id="341515259">
      <w:bodyDiv w:val="1"/>
      <w:marLeft w:val="0"/>
      <w:marRight w:val="0"/>
      <w:marTop w:val="0"/>
      <w:marBottom w:val="0"/>
      <w:divBdr>
        <w:top w:val="none" w:sz="0" w:space="0" w:color="auto"/>
        <w:left w:val="none" w:sz="0" w:space="0" w:color="auto"/>
        <w:bottom w:val="none" w:sz="0" w:space="0" w:color="auto"/>
        <w:right w:val="none" w:sz="0" w:space="0" w:color="auto"/>
      </w:divBdr>
      <w:divsChild>
        <w:div w:id="407731109">
          <w:marLeft w:val="0"/>
          <w:marRight w:val="0"/>
          <w:marTop w:val="0"/>
          <w:marBottom w:val="0"/>
          <w:divBdr>
            <w:top w:val="none" w:sz="0" w:space="0" w:color="auto"/>
            <w:left w:val="none" w:sz="0" w:space="0" w:color="auto"/>
            <w:bottom w:val="none" w:sz="0" w:space="0" w:color="auto"/>
            <w:right w:val="none" w:sz="0" w:space="0" w:color="auto"/>
          </w:divBdr>
        </w:div>
      </w:divsChild>
    </w:div>
    <w:div w:id="627248394">
      <w:bodyDiv w:val="1"/>
      <w:marLeft w:val="0"/>
      <w:marRight w:val="0"/>
      <w:marTop w:val="0"/>
      <w:marBottom w:val="0"/>
      <w:divBdr>
        <w:top w:val="none" w:sz="0" w:space="0" w:color="auto"/>
        <w:left w:val="none" w:sz="0" w:space="0" w:color="auto"/>
        <w:bottom w:val="none" w:sz="0" w:space="0" w:color="auto"/>
        <w:right w:val="none" w:sz="0" w:space="0" w:color="auto"/>
      </w:divBdr>
      <w:divsChild>
        <w:div w:id="1426877318">
          <w:marLeft w:val="0"/>
          <w:marRight w:val="0"/>
          <w:marTop w:val="0"/>
          <w:marBottom w:val="0"/>
          <w:divBdr>
            <w:top w:val="none" w:sz="0" w:space="0" w:color="auto"/>
            <w:left w:val="none" w:sz="0" w:space="0" w:color="auto"/>
            <w:bottom w:val="none" w:sz="0" w:space="0" w:color="auto"/>
            <w:right w:val="none" w:sz="0" w:space="0" w:color="auto"/>
          </w:divBdr>
          <w:divsChild>
            <w:div w:id="1697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2726">
      <w:bodyDiv w:val="1"/>
      <w:marLeft w:val="0"/>
      <w:marRight w:val="0"/>
      <w:marTop w:val="0"/>
      <w:marBottom w:val="0"/>
      <w:divBdr>
        <w:top w:val="none" w:sz="0" w:space="0" w:color="auto"/>
        <w:left w:val="none" w:sz="0" w:space="0" w:color="auto"/>
        <w:bottom w:val="none" w:sz="0" w:space="0" w:color="auto"/>
        <w:right w:val="none" w:sz="0" w:space="0" w:color="auto"/>
      </w:divBdr>
    </w:div>
    <w:div w:id="760100383">
      <w:bodyDiv w:val="1"/>
      <w:marLeft w:val="0"/>
      <w:marRight w:val="0"/>
      <w:marTop w:val="0"/>
      <w:marBottom w:val="0"/>
      <w:divBdr>
        <w:top w:val="none" w:sz="0" w:space="0" w:color="auto"/>
        <w:left w:val="none" w:sz="0" w:space="0" w:color="auto"/>
        <w:bottom w:val="none" w:sz="0" w:space="0" w:color="auto"/>
        <w:right w:val="none" w:sz="0" w:space="0" w:color="auto"/>
      </w:divBdr>
      <w:divsChild>
        <w:div w:id="1774863812">
          <w:marLeft w:val="0"/>
          <w:marRight w:val="0"/>
          <w:marTop w:val="0"/>
          <w:marBottom w:val="0"/>
          <w:divBdr>
            <w:top w:val="none" w:sz="0" w:space="0" w:color="auto"/>
            <w:left w:val="none" w:sz="0" w:space="0" w:color="auto"/>
            <w:bottom w:val="none" w:sz="0" w:space="0" w:color="auto"/>
            <w:right w:val="none" w:sz="0" w:space="0" w:color="auto"/>
          </w:divBdr>
        </w:div>
        <w:div w:id="455608679">
          <w:marLeft w:val="0"/>
          <w:marRight w:val="0"/>
          <w:marTop w:val="0"/>
          <w:marBottom w:val="0"/>
          <w:divBdr>
            <w:top w:val="none" w:sz="0" w:space="0" w:color="auto"/>
            <w:left w:val="none" w:sz="0" w:space="0" w:color="auto"/>
            <w:bottom w:val="none" w:sz="0" w:space="0" w:color="auto"/>
            <w:right w:val="none" w:sz="0" w:space="0" w:color="auto"/>
          </w:divBdr>
        </w:div>
      </w:divsChild>
    </w:div>
    <w:div w:id="1403024918">
      <w:bodyDiv w:val="1"/>
      <w:marLeft w:val="0"/>
      <w:marRight w:val="0"/>
      <w:marTop w:val="0"/>
      <w:marBottom w:val="0"/>
      <w:divBdr>
        <w:top w:val="none" w:sz="0" w:space="0" w:color="auto"/>
        <w:left w:val="none" w:sz="0" w:space="0" w:color="auto"/>
        <w:bottom w:val="none" w:sz="0" w:space="0" w:color="auto"/>
        <w:right w:val="none" w:sz="0" w:space="0" w:color="auto"/>
      </w:divBdr>
      <w:divsChild>
        <w:div w:id="787091231">
          <w:marLeft w:val="0"/>
          <w:marRight w:val="0"/>
          <w:marTop w:val="0"/>
          <w:marBottom w:val="0"/>
          <w:divBdr>
            <w:top w:val="none" w:sz="0" w:space="0" w:color="auto"/>
            <w:left w:val="none" w:sz="0" w:space="0" w:color="auto"/>
            <w:bottom w:val="none" w:sz="0" w:space="0" w:color="auto"/>
            <w:right w:val="none" w:sz="0" w:space="0" w:color="auto"/>
          </w:divBdr>
        </w:div>
        <w:div w:id="636684744">
          <w:marLeft w:val="0"/>
          <w:marRight w:val="0"/>
          <w:marTop w:val="0"/>
          <w:marBottom w:val="0"/>
          <w:divBdr>
            <w:top w:val="none" w:sz="0" w:space="0" w:color="auto"/>
            <w:left w:val="none" w:sz="0" w:space="0" w:color="auto"/>
            <w:bottom w:val="none" w:sz="0" w:space="0" w:color="auto"/>
            <w:right w:val="none" w:sz="0" w:space="0" w:color="auto"/>
          </w:divBdr>
        </w:div>
      </w:divsChild>
    </w:div>
    <w:div w:id="1684283983">
      <w:bodyDiv w:val="1"/>
      <w:marLeft w:val="0"/>
      <w:marRight w:val="0"/>
      <w:marTop w:val="0"/>
      <w:marBottom w:val="0"/>
      <w:divBdr>
        <w:top w:val="none" w:sz="0" w:space="0" w:color="auto"/>
        <w:left w:val="none" w:sz="0" w:space="0" w:color="auto"/>
        <w:bottom w:val="none" w:sz="0" w:space="0" w:color="auto"/>
        <w:right w:val="none" w:sz="0" w:space="0" w:color="auto"/>
      </w:divBdr>
    </w:div>
    <w:div w:id="1794667682">
      <w:bodyDiv w:val="1"/>
      <w:marLeft w:val="0"/>
      <w:marRight w:val="0"/>
      <w:marTop w:val="0"/>
      <w:marBottom w:val="0"/>
      <w:divBdr>
        <w:top w:val="none" w:sz="0" w:space="0" w:color="auto"/>
        <w:left w:val="none" w:sz="0" w:space="0" w:color="auto"/>
        <w:bottom w:val="none" w:sz="0" w:space="0" w:color="auto"/>
        <w:right w:val="none" w:sz="0" w:space="0" w:color="auto"/>
      </w:divBdr>
    </w:div>
    <w:div w:id="1813523089">
      <w:bodyDiv w:val="1"/>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 w:id="238247781">
          <w:marLeft w:val="0"/>
          <w:marRight w:val="0"/>
          <w:marTop w:val="0"/>
          <w:marBottom w:val="0"/>
          <w:divBdr>
            <w:top w:val="none" w:sz="0" w:space="0" w:color="auto"/>
            <w:left w:val="none" w:sz="0" w:space="0" w:color="auto"/>
            <w:bottom w:val="none" w:sz="0" w:space="0" w:color="auto"/>
            <w:right w:val="none" w:sz="0" w:space="0" w:color="auto"/>
          </w:divBdr>
        </w:div>
        <w:div w:id="1443845624">
          <w:marLeft w:val="0"/>
          <w:marRight w:val="0"/>
          <w:marTop w:val="0"/>
          <w:marBottom w:val="0"/>
          <w:divBdr>
            <w:top w:val="none" w:sz="0" w:space="0" w:color="auto"/>
            <w:left w:val="none" w:sz="0" w:space="0" w:color="auto"/>
            <w:bottom w:val="none" w:sz="0" w:space="0" w:color="auto"/>
            <w:right w:val="none" w:sz="0" w:space="0" w:color="auto"/>
          </w:divBdr>
        </w:div>
        <w:div w:id="1020165564">
          <w:marLeft w:val="0"/>
          <w:marRight w:val="0"/>
          <w:marTop w:val="0"/>
          <w:marBottom w:val="0"/>
          <w:divBdr>
            <w:top w:val="none" w:sz="0" w:space="0" w:color="auto"/>
            <w:left w:val="none" w:sz="0" w:space="0" w:color="auto"/>
            <w:bottom w:val="none" w:sz="0" w:space="0" w:color="auto"/>
            <w:right w:val="none" w:sz="0" w:space="0" w:color="auto"/>
          </w:divBdr>
        </w:div>
        <w:div w:id="1358970930">
          <w:marLeft w:val="0"/>
          <w:marRight w:val="0"/>
          <w:marTop w:val="0"/>
          <w:marBottom w:val="0"/>
          <w:divBdr>
            <w:top w:val="none" w:sz="0" w:space="0" w:color="auto"/>
            <w:left w:val="none" w:sz="0" w:space="0" w:color="auto"/>
            <w:bottom w:val="none" w:sz="0" w:space="0" w:color="auto"/>
            <w:right w:val="none" w:sz="0" w:space="0" w:color="auto"/>
          </w:divBdr>
        </w:div>
      </w:divsChild>
    </w:div>
    <w:div w:id="1975596401">
      <w:bodyDiv w:val="1"/>
      <w:marLeft w:val="0"/>
      <w:marRight w:val="0"/>
      <w:marTop w:val="0"/>
      <w:marBottom w:val="0"/>
      <w:divBdr>
        <w:top w:val="none" w:sz="0" w:space="0" w:color="auto"/>
        <w:left w:val="none" w:sz="0" w:space="0" w:color="auto"/>
        <w:bottom w:val="none" w:sz="0" w:space="0" w:color="auto"/>
        <w:right w:val="none" w:sz="0" w:space="0" w:color="auto"/>
      </w:divBdr>
      <w:divsChild>
        <w:div w:id="909074523">
          <w:marLeft w:val="0"/>
          <w:marRight w:val="0"/>
          <w:marTop w:val="0"/>
          <w:marBottom w:val="0"/>
          <w:divBdr>
            <w:top w:val="none" w:sz="0" w:space="0" w:color="auto"/>
            <w:left w:val="none" w:sz="0" w:space="0" w:color="auto"/>
            <w:bottom w:val="none" w:sz="0" w:space="0" w:color="auto"/>
            <w:right w:val="none" w:sz="0" w:space="0" w:color="auto"/>
          </w:divBdr>
        </w:div>
        <w:div w:id="725186164">
          <w:marLeft w:val="0"/>
          <w:marRight w:val="0"/>
          <w:marTop w:val="0"/>
          <w:marBottom w:val="0"/>
          <w:divBdr>
            <w:top w:val="none" w:sz="0" w:space="0" w:color="auto"/>
            <w:left w:val="none" w:sz="0" w:space="0" w:color="auto"/>
            <w:bottom w:val="none" w:sz="0" w:space="0" w:color="auto"/>
            <w:right w:val="none" w:sz="0" w:space="0" w:color="auto"/>
          </w:divBdr>
        </w:div>
      </w:divsChild>
    </w:div>
    <w:div w:id="2085298110">
      <w:bodyDiv w:val="1"/>
      <w:marLeft w:val="0"/>
      <w:marRight w:val="0"/>
      <w:marTop w:val="0"/>
      <w:marBottom w:val="0"/>
      <w:divBdr>
        <w:top w:val="none" w:sz="0" w:space="0" w:color="auto"/>
        <w:left w:val="none" w:sz="0" w:space="0" w:color="auto"/>
        <w:bottom w:val="none" w:sz="0" w:space="0" w:color="auto"/>
        <w:right w:val="none" w:sz="0" w:space="0" w:color="auto"/>
      </w:divBdr>
      <w:divsChild>
        <w:div w:id="181614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versaldesign.ie/useandapply/ict/itprocurementtoolk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ilconstructo.com/infoconstructo/appel_d%E2%80%99offres_ramq_battu_breche_lecons_tirer" TargetMode="External"/><Relationship Id="rId17" Type="http://schemas.openxmlformats.org/officeDocument/2006/relationships/hyperlink" Target="http://en.copian.ca/library/research/landscape/cover.htm" TargetMode="External"/><Relationship Id="rId2" Type="http://schemas.openxmlformats.org/officeDocument/2006/relationships/numbering" Target="numbering.xml"/><Relationship Id="rId16" Type="http://schemas.openxmlformats.org/officeDocument/2006/relationships/hyperlink" Target="http://www.iso.org/iso/home/store/catalogue_tc/catalogue_detail.htm?csnumber=513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sor.gouv.qc.ca/faire-affaire-avec-letat/cadre-normatif-de-la-gestion-contractuelle/autres-exigences/developpement-durable-et-environnement/" TargetMode="External"/><Relationship Id="rId5" Type="http://schemas.openxmlformats.org/officeDocument/2006/relationships/webSettings" Target="webSettings.xml"/><Relationship Id="rId15" Type="http://schemas.openxmlformats.org/officeDocument/2006/relationships/hyperlink" Target="http://www.ap-toolkit.info/ap15000E.asp?t=1" TargetMode="External"/><Relationship Id="rId10" Type="http://schemas.openxmlformats.org/officeDocument/2006/relationships/hyperlink" Target="http://www.criq.qc.ca/le-criq-en-bref.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iresias.org/research/guidelines/checklists/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dt.oqlf.gouv.qc.ca/ficheOqlf.aspx?Id_Fiche=17090192" TargetMode="External"/><Relationship Id="rId2" Type="http://schemas.openxmlformats.org/officeDocument/2006/relationships/hyperlink" Target="http://app.buyaccessible.gov/baw/Quick-Links/index.jsp" TargetMode="External"/><Relationship Id="rId1" Type="http://schemas.openxmlformats.org/officeDocument/2006/relationships/hyperlink" Target="http://app.buyaccessible.gov/baw/Main.j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4E62F-0BF0-4792-90E5-A0D04E4C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3542</Words>
  <Characters>19482</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Camille Desforges</cp:lastModifiedBy>
  <cp:revision>9</cp:revision>
  <cp:lastPrinted>2013-11-20T15:14:00Z</cp:lastPrinted>
  <dcterms:created xsi:type="dcterms:W3CDTF">2013-11-20T16:53:00Z</dcterms:created>
  <dcterms:modified xsi:type="dcterms:W3CDTF">2019-09-10T16:54:00Z</dcterms:modified>
</cp:coreProperties>
</file>