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6A" w:rsidRPr="004C194C" w:rsidRDefault="0005266A" w:rsidP="00884A23">
      <w:pPr>
        <w:spacing w:line="276" w:lineRule="auto"/>
      </w:pPr>
      <w:r w:rsidRPr="004C194C">
        <w:rPr>
          <w:noProof/>
          <w:lang w:eastAsia="fr-CA"/>
        </w:rPr>
        <w:drawing>
          <wp:inline distT="0" distB="0" distL="0" distR="0" wp14:anchorId="593F97C1" wp14:editId="77ADAF1C">
            <wp:extent cx="4810125" cy="1228725"/>
            <wp:effectExtent l="0" t="0" r="9525" b="9525"/>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1" name="Image 1" title="Logo de la COPHAN"/>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rsidR="0005266A" w:rsidRPr="004C194C" w:rsidRDefault="0005266A" w:rsidP="00884A23">
      <w:pPr>
        <w:spacing w:line="276" w:lineRule="auto"/>
      </w:pPr>
    </w:p>
    <w:p w:rsidR="0005266A" w:rsidRPr="004C194C" w:rsidRDefault="0005266A" w:rsidP="00884A23">
      <w:pPr>
        <w:spacing w:line="276" w:lineRule="auto"/>
      </w:pPr>
    </w:p>
    <w:p w:rsidR="0005266A" w:rsidRPr="004C194C" w:rsidRDefault="0005266A" w:rsidP="00884A23">
      <w:pPr>
        <w:spacing w:line="276" w:lineRule="auto"/>
      </w:pPr>
    </w:p>
    <w:p w:rsidR="0005266A" w:rsidRPr="004C194C" w:rsidRDefault="0005266A" w:rsidP="00884A23">
      <w:pPr>
        <w:spacing w:line="276" w:lineRule="auto"/>
      </w:pPr>
    </w:p>
    <w:p w:rsidR="0005266A" w:rsidRPr="004C194C" w:rsidRDefault="0005266A" w:rsidP="00884A23">
      <w:pPr>
        <w:spacing w:line="276" w:lineRule="auto"/>
      </w:pPr>
    </w:p>
    <w:p w:rsidR="0005266A" w:rsidRPr="00610543" w:rsidRDefault="0005266A" w:rsidP="00884A23">
      <w:pPr>
        <w:pStyle w:val="Titre"/>
        <w:pBdr>
          <w:bottom w:val="single" w:sz="6" w:space="1" w:color="auto"/>
        </w:pBdr>
        <w:rPr>
          <w:b/>
        </w:rPr>
      </w:pPr>
      <w:r w:rsidRPr="00610543">
        <w:rPr>
          <w:b/>
        </w:rPr>
        <w:t xml:space="preserve">Commentaires sur </w:t>
      </w:r>
      <w:r>
        <w:rPr>
          <w:b/>
        </w:rPr>
        <w:t>le Règlement sur les restrictions applicables aux promoteurs du crédit d’im</w:t>
      </w:r>
      <w:r w:rsidR="005C722B">
        <w:rPr>
          <w:b/>
        </w:rPr>
        <w:t>pôt pour personnes handicapées</w:t>
      </w:r>
    </w:p>
    <w:p w:rsidR="0005266A" w:rsidRPr="004C194C" w:rsidRDefault="0005266A" w:rsidP="00884A23">
      <w:pPr>
        <w:spacing w:line="276" w:lineRule="auto"/>
      </w:pPr>
    </w:p>
    <w:p w:rsidR="0005266A" w:rsidRPr="004C194C" w:rsidRDefault="0005266A" w:rsidP="00884A23">
      <w:pPr>
        <w:spacing w:line="276" w:lineRule="auto"/>
      </w:pPr>
    </w:p>
    <w:p w:rsidR="0005266A" w:rsidRPr="00516A5F" w:rsidRDefault="00765B9D" w:rsidP="00884A23">
      <w:pPr>
        <w:spacing w:line="276" w:lineRule="auto"/>
        <w:rPr>
          <w:sz w:val="28"/>
          <w:szCs w:val="28"/>
        </w:rPr>
      </w:pPr>
      <w:r w:rsidRPr="00765B9D">
        <w:rPr>
          <w:sz w:val="28"/>
          <w:szCs w:val="28"/>
        </w:rPr>
        <w:t>Remis à</w:t>
      </w:r>
      <w:r w:rsidR="0005266A" w:rsidRPr="00765B9D">
        <w:rPr>
          <w:sz w:val="28"/>
          <w:szCs w:val="28"/>
        </w:rPr>
        <w:t xml:space="preserve"> l’Agence du revenu du Canada par la</w:t>
      </w:r>
      <w:r w:rsidR="0005266A" w:rsidRPr="00516A5F">
        <w:rPr>
          <w:sz w:val="28"/>
          <w:szCs w:val="28"/>
        </w:rPr>
        <w:t xml:space="preserve"> Confédération des organismes de personnes handicapées du Québec (COPHAN)</w:t>
      </w:r>
    </w:p>
    <w:p w:rsidR="0005266A" w:rsidRPr="004C194C" w:rsidRDefault="0005266A" w:rsidP="00884A23">
      <w:pPr>
        <w:spacing w:line="276" w:lineRule="auto"/>
      </w:pPr>
    </w:p>
    <w:p w:rsidR="0005266A" w:rsidRPr="004C194C" w:rsidRDefault="0005266A" w:rsidP="00884A23">
      <w:pPr>
        <w:spacing w:line="276" w:lineRule="auto"/>
      </w:pPr>
    </w:p>
    <w:p w:rsidR="0005266A" w:rsidRPr="004C194C" w:rsidRDefault="0005266A" w:rsidP="00884A23">
      <w:pPr>
        <w:spacing w:line="276" w:lineRule="auto"/>
      </w:pPr>
    </w:p>
    <w:p w:rsidR="0005266A" w:rsidRPr="004C194C" w:rsidRDefault="0005266A" w:rsidP="00884A23">
      <w:pPr>
        <w:spacing w:line="276" w:lineRule="auto"/>
      </w:pPr>
    </w:p>
    <w:p w:rsidR="0005266A" w:rsidRPr="004C194C" w:rsidRDefault="0005266A" w:rsidP="00884A23">
      <w:pPr>
        <w:spacing w:line="276" w:lineRule="auto"/>
      </w:pPr>
    </w:p>
    <w:p w:rsidR="0005266A" w:rsidRPr="004C194C" w:rsidRDefault="0005266A" w:rsidP="00884A23">
      <w:pPr>
        <w:spacing w:line="276" w:lineRule="auto"/>
      </w:pPr>
    </w:p>
    <w:p w:rsidR="0005266A" w:rsidRPr="004C194C" w:rsidRDefault="0005266A" w:rsidP="00884A23">
      <w:pPr>
        <w:spacing w:line="276" w:lineRule="auto"/>
      </w:pPr>
    </w:p>
    <w:p w:rsidR="00817693" w:rsidRDefault="0005266A" w:rsidP="00884A23">
      <w:pPr>
        <w:spacing w:line="276" w:lineRule="auto"/>
        <w:rPr>
          <w:b/>
          <w:sz w:val="40"/>
          <w:szCs w:val="40"/>
        </w:rPr>
        <w:sectPr w:rsidR="00817693" w:rsidSect="003E2035">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08" w:footer="708" w:gutter="0"/>
          <w:cols w:space="708"/>
          <w:docGrid w:linePitch="360"/>
        </w:sectPr>
      </w:pPr>
      <w:r>
        <w:rPr>
          <w:b/>
          <w:sz w:val="40"/>
          <w:szCs w:val="40"/>
        </w:rPr>
        <w:t>Juin 2019</w:t>
      </w:r>
    </w:p>
    <w:p w:rsidR="0030780C" w:rsidRPr="005C56FD" w:rsidRDefault="005C56FD" w:rsidP="00884A23">
      <w:pPr>
        <w:spacing w:line="276" w:lineRule="auto"/>
        <w:rPr>
          <w:rFonts w:ascii="Arial" w:hAnsi="Arial" w:cs="Arial"/>
          <w:i/>
          <w:sz w:val="24"/>
          <w:szCs w:val="24"/>
        </w:rPr>
      </w:pPr>
      <w:r w:rsidRPr="005C56FD">
        <w:rPr>
          <w:rFonts w:ascii="Arial" w:hAnsi="Arial" w:cs="Arial"/>
          <w:i/>
          <w:sz w:val="24"/>
          <w:szCs w:val="24"/>
        </w:rPr>
        <w:lastRenderedPageBreak/>
        <w:t>La Confédération des organismes de personnes handicapées du Québec (COPHAN), organisme à but non lucratif incorporé en 1985, a pour mission de rendre le Québec inclusif afin d’assurer la participation sociale pleine et entière des personnes ayant des limitations fonctionnelles et de leur famille. Elle regroupe plus de 50 organismes et regroupements nationaux et régionaux de personnes ayant tout type de limitations fonctionnelles.</w:t>
      </w:r>
    </w:p>
    <w:p w:rsidR="0005266A" w:rsidRPr="00CB241D" w:rsidRDefault="00765B9D" w:rsidP="00884A23">
      <w:pPr>
        <w:spacing w:line="276" w:lineRule="auto"/>
      </w:pPr>
      <w:r w:rsidRPr="00014E92">
        <w:rPr>
          <w:rFonts w:ascii="Arial" w:hAnsi="Arial" w:cs="Arial"/>
          <w:sz w:val="24"/>
          <w:szCs w:val="24"/>
        </w:rPr>
        <w:t xml:space="preserve">La </w:t>
      </w:r>
      <w:r w:rsidR="005C56FD">
        <w:rPr>
          <w:rFonts w:ascii="Arial" w:hAnsi="Arial" w:cs="Arial"/>
          <w:sz w:val="24"/>
          <w:szCs w:val="24"/>
        </w:rPr>
        <w:t>COPHAN</w:t>
      </w:r>
      <w:r w:rsidR="00CB241D" w:rsidRPr="00014E92">
        <w:rPr>
          <w:rFonts w:ascii="Arial" w:hAnsi="Arial" w:cs="Arial"/>
          <w:sz w:val="24"/>
          <w:szCs w:val="24"/>
        </w:rPr>
        <w:t xml:space="preserve"> tient à</w:t>
      </w:r>
      <w:r w:rsidR="00CB241D" w:rsidRPr="00CB241D">
        <w:rPr>
          <w:rFonts w:ascii="Arial" w:hAnsi="Arial" w:cs="Arial"/>
          <w:sz w:val="24"/>
          <w:szCs w:val="24"/>
        </w:rPr>
        <w:t xml:space="preserve"> soumettre ses commentaires en vue de bonifier le </w:t>
      </w:r>
      <w:r w:rsidR="00923458" w:rsidRPr="00CB241D">
        <w:rPr>
          <w:rFonts w:ascii="Arial" w:hAnsi="Arial" w:cs="Arial"/>
          <w:sz w:val="24"/>
          <w:szCs w:val="24"/>
        </w:rPr>
        <w:t xml:space="preserve">projet de </w:t>
      </w:r>
      <w:r w:rsidR="00923458" w:rsidRPr="00CB241D">
        <w:rPr>
          <w:rFonts w:ascii="Arial" w:hAnsi="Arial" w:cs="Arial"/>
          <w:i/>
          <w:sz w:val="24"/>
          <w:szCs w:val="24"/>
        </w:rPr>
        <w:t>Règlement sur les restrictions applicables aux promoteurs du crédit d’impôt pour personnes</w:t>
      </w:r>
      <w:r w:rsidR="00923458" w:rsidRPr="00923458">
        <w:rPr>
          <w:rFonts w:ascii="Arial" w:hAnsi="Arial" w:cs="Arial"/>
          <w:i/>
          <w:sz w:val="24"/>
          <w:szCs w:val="24"/>
        </w:rPr>
        <w:t xml:space="preserve"> handicapées</w:t>
      </w:r>
      <w:r w:rsidR="00923458">
        <w:rPr>
          <w:rFonts w:ascii="Arial" w:hAnsi="Arial" w:cs="Arial"/>
          <w:sz w:val="24"/>
          <w:szCs w:val="24"/>
        </w:rPr>
        <w:t xml:space="preserve"> (ci-après le </w:t>
      </w:r>
      <w:r w:rsidR="00D11F5D">
        <w:rPr>
          <w:rFonts w:ascii="Arial" w:hAnsi="Arial" w:cs="Arial"/>
          <w:sz w:val="24"/>
          <w:szCs w:val="24"/>
        </w:rPr>
        <w:t>« </w:t>
      </w:r>
      <w:r w:rsidR="00923458">
        <w:rPr>
          <w:rFonts w:ascii="Arial" w:hAnsi="Arial" w:cs="Arial"/>
          <w:sz w:val="24"/>
          <w:szCs w:val="24"/>
        </w:rPr>
        <w:t>projet de règlement</w:t>
      </w:r>
      <w:r w:rsidR="00D11F5D">
        <w:rPr>
          <w:rFonts w:ascii="Arial" w:hAnsi="Arial" w:cs="Arial"/>
          <w:sz w:val="24"/>
          <w:szCs w:val="24"/>
        </w:rPr>
        <w:t> »</w:t>
      </w:r>
      <w:r w:rsidR="00CB241D">
        <w:rPr>
          <w:rFonts w:ascii="Arial" w:hAnsi="Arial" w:cs="Arial"/>
          <w:sz w:val="24"/>
          <w:szCs w:val="24"/>
        </w:rPr>
        <w:t xml:space="preserve">), qui </w:t>
      </w:r>
      <w:r w:rsidR="00923458">
        <w:rPr>
          <w:rFonts w:ascii="Arial" w:hAnsi="Arial" w:cs="Arial"/>
          <w:sz w:val="24"/>
          <w:szCs w:val="24"/>
        </w:rPr>
        <w:t xml:space="preserve">vise à fixer un montant maximal que les promoteurs pourront réclamer aux personnes ayant des limitations fonctionnelles lorsqu’elles se tournent vers </w:t>
      </w:r>
      <w:r w:rsidR="00AE79CF">
        <w:rPr>
          <w:rFonts w:ascii="Arial" w:hAnsi="Arial" w:cs="Arial"/>
          <w:sz w:val="24"/>
          <w:szCs w:val="24"/>
        </w:rPr>
        <w:t>l’un d’entre eux</w:t>
      </w:r>
      <w:r w:rsidR="00923458">
        <w:rPr>
          <w:rFonts w:ascii="Arial" w:hAnsi="Arial" w:cs="Arial"/>
          <w:sz w:val="24"/>
          <w:szCs w:val="24"/>
        </w:rPr>
        <w:t xml:space="preserve"> pour effectuer leurs demandes de crédit d’</w:t>
      </w:r>
      <w:r w:rsidR="002946D5">
        <w:rPr>
          <w:rFonts w:ascii="Arial" w:hAnsi="Arial" w:cs="Arial"/>
          <w:sz w:val="24"/>
          <w:szCs w:val="24"/>
        </w:rPr>
        <w:t xml:space="preserve">impôt pour personnes </w:t>
      </w:r>
      <w:r w:rsidR="00923458">
        <w:rPr>
          <w:rFonts w:ascii="Arial" w:hAnsi="Arial" w:cs="Arial"/>
          <w:sz w:val="24"/>
          <w:szCs w:val="24"/>
        </w:rPr>
        <w:t>handicapées</w:t>
      </w:r>
      <w:r w:rsidR="00D11F5D">
        <w:rPr>
          <w:rFonts w:ascii="Arial" w:hAnsi="Arial" w:cs="Arial"/>
          <w:sz w:val="24"/>
          <w:szCs w:val="24"/>
        </w:rPr>
        <w:t xml:space="preserve"> (ci-après « CIPH »)</w:t>
      </w:r>
      <w:r w:rsidR="00923458">
        <w:rPr>
          <w:rFonts w:ascii="Arial" w:hAnsi="Arial" w:cs="Arial"/>
          <w:sz w:val="24"/>
          <w:szCs w:val="24"/>
        </w:rPr>
        <w:t xml:space="preserve">. </w:t>
      </w:r>
    </w:p>
    <w:p w:rsidR="000412C2" w:rsidRPr="000412C2" w:rsidRDefault="00376E27" w:rsidP="00884A23">
      <w:pPr>
        <w:spacing w:line="276" w:lineRule="auto"/>
        <w:rPr>
          <w:rFonts w:ascii="Arial" w:hAnsi="Arial" w:cs="Arial"/>
          <w:sz w:val="24"/>
          <w:szCs w:val="24"/>
          <w:highlight w:val="yellow"/>
        </w:rPr>
      </w:pPr>
      <w:r>
        <w:rPr>
          <w:rFonts w:ascii="Arial" w:hAnsi="Arial" w:cs="Arial"/>
          <w:sz w:val="24"/>
          <w:szCs w:val="24"/>
        </w:rPr>
        <w:t xml:space="preserve">Pour la COPHAN, établir </w:t>
      </w:r>
      <w:r w:rsidR="007C7DBA">
        <w:rPr>
          <w:rFonts w:ascii="Arial" w:hAnsi="Arial" w:cs="Arial"/>
          <w:sz w:val="24"/>
          <w:szCs w:val="24"/>
        </w:rPr>
        <w:t>des honoraires</w:t>
      </w:r>
      <w:r>
        <w:rPr>
          <w:rFonts w:ascii="Arial" w:hAnsi="Arial" w:cs="Arial"/>
          <w:sz w:val="24"/>
          <w:szCs w:val="24"/>
        </w:rPr>
        <w:t xml:space="preserve"> </w:t>
      </w:r>
      <w:r w:rsidR="00207C13">
        <w:rPr>
          <w:rFonts w:ascii="Arial" w:hAnsi="Arial" w:cs="Arial"/>
          <w:sz w:val="24"/>
          <w:szCs w:val="24"/>
        </w:rPr>
        <w:t>de 100 $ pour une personne qui</w:t>
      </w:r>
      <w:r w:rsidR="007F409D">
        <w:rPr>
          <w:rFonts w:ascii="Arial" w:hAnsi="Arial" w:cs="Arial"/>
          <w:sz w:val="24"/>
          <w:szCs w:val="24"/>
        </w:rPr>
        <w:t xml:space="preserve"> fait une demande </w:t>
      </w:r>
      <w:r w:rsidR="007C7DBA">
        <w:rPr>
          <w:rFonts w:ascii="Arial" w:hAnsi="Arial" w:cs="Arial"/>
          <w:sz w:val="24"/>
          <w:szCs w:val="24"/>
        </w:rPr>
        <w:t xml:space="preserve">de CIPH </w:t>
      </w:r>
      <w:r w:rsidR="00207C13">
        <w:rPr>
          <w:rFonts w:ascii="Arial" w:hAnsi="Arial" w:cs="Arial"/>
          <w:sz w:val="24"/>
          <w:szCs w:val="24"/>
        </w:rPr>
        <w:t xml:space="preserve">semble </w:t>
      </w:r>
      <w:r w:rsidR="00D11F5D">
        <w:rPr>
          <w:rFonts w:ascii="Arial" w:hAnsi="Arial" w:cs="Arial"/>
          <w:sz w:val="24"/>
          <w:szCs w:val="24"/>
        </w:rPr>
        <w:t xml:space="preserve">être un </w:t>
      </w:r>
      <w:r w:rsidR="00FA2050">
        <w:rPr>
          <w:rFonts w:ascii="Arial" w:hAnsi="Arial" w:cs="Arial"/>
          <w:sz w:val="24"/>
          <w:szCs w:val="24"/>
        </w:rPr>
        <w:t xml:space="preserve">prix </w:t>
      </w:r>
      <w:r w:rsidR="00E11119">
        <w:rPr>
          <w:rFonts w:ascii="Arial" w:hAnsi="Arial" w:cs="Arial"/>
          <w:sz w:val="24"/>
          <w:szCs w:val="24"/>
        </w:rPr>
        <w:t xml:space="preserve">qui </w:t>
      </w:r>
      <w:r w:rsidR="00E11119" w:rsidRPr="009B113D">
        <w:rPr>
          <w:rFonts w:ascii="Arial" w:hAnsi="Arial" w:cs="Arial"/>
          <w:sz w:val="24"/>
          <w:szCs w:val="24"/>
        </w:rPr>
        <w:t xml:space="preserve">peut être élevé selon </w:t>
      </w:r>
      <w:r w:rsidR="00481B38">
        <w:rPr>
          <w:rFonts w:ascii="Arial" w:hAnsi="Arial" w:cs="Arial"/>
          <w:sz w:val="24"/>
          <w:szCs w:val="24"/>
        </w:rPr>
        <w:t xml:space="preserve">la situation de la personne et </w:t>
      </w:r>
      <w:r w:rsidR="00E11119" w:rsidRPr="009B113D">
        <w:rPr>
          <w:rFonts w:ascii="Arial" w:hAnsi="Arial" w:cs="Arial"/>
          <w:sz w:val="24"/>
          <w:szCs w:val="24"/>
        </w:rPr>
        <w:t>les résultats de la demande</w:t>
      </w:r>
      <w:r w:rsidR="00D11F5D" w:rsidRPr="009B113D">
        <w:rPr>
          <w:rFonts w:ascii="Arial" w:hAnsi="Arial" w:cs="Arial"/>
          <w:sz w:val="24"/>
          <w:szCs w:val="24"/>
        </w:rPr>
        <w:t xml:space="preserve">. </w:t>
      </w:r>
      <w:r w:rsidR="00C31745" w:rsidRPr="009B113D">
        <w:rPr>
          <w:rFonts w:ascii="Arial" w:hAnsi="Arial" w:cs="Arial"/>
          <w:sz w:val="24"/>
          <w:szCs w:val="24"/>
        </w:rPr>
        <w:t xml:space="preserve">Il faut se rappeler que « le CIPH </w:t>
      </w:r>
      <w:r w:rsidR="009B113D" w:rsidRPr="009B113D">
        <w:rPr>
          <w:rFonts w:ascii="Arial" w:hAnsi="Arial" w:cs="Arial"/>
          <w:sz w:val="24"/>
          <w:szCs w:val="24"/>
        </w:rPr>
        <w:t xml:space="preserve">[… a été créé] </w:t>
      </w:r>
      <w:r w:rsidR="00C31745" w:rsidRPr="009B113D">
        <w:rPr>
          <w:rFonts w:ascii="Arial" w:hAnsi="Arial" w:cs="Arial"/>
          <w:sz w:val="24"/>
          <w:szCs w:val="24"/>
        </w:rPr>
        <w:t>pour compenser</w:t>
      </w:r>
      <w:r w:rsidR="00C31745" w:rsidRPr="00852423">
        <w:rPr>
          <w:rFonts w:ascii="Arial" w:hAnsi="Arial" w:cs="Arial"/>
          <w:sz w:val="24"/>
          <w:szCs w:val="24"/>
        </w:rPr>
        <w:t xml:space="preserve"> les coûts élevés et les obstacles financiers auxquels font face les personnes atteintes d’une incapacité grave »</w:t>
      </w:r>
      <w:r w:rsidR="00C31745" w:rsidRPr="00852423">
        <w:rPr>
          <w:rStyle w:val="Appelnotedebasdep"/>
          <w:rFonts w:ascii="Arial" w:hAnsi="Arial" w:cs="Arial"/>
          <w:sz w:val="24"/>
          <w:szCs w:val="24"/>
        </w:rPr>
        <w:footnoteReference w:id="1"/>
      </w:r>
      <w:r w:rsidR="00C31745" w:rsidRPr="00852423">
        <w:rPr>
          <w:rFonts w:ascii="Arial" w:hAnsi="Arial" w:cs="Arial"/>
          <w:sz w:val="24"/>
          <w:szCs w:val="24"/>
        </w:rPr>
        <w:t>.</w:t>
      </w:r>
      <w:r w:rsidR="00C31745">
        <w:rPr>
          <w:rFonts w:ascii="Arial" w:hAnsi="Arial" w:cs="Arial"/>
          <w:sz w:val="24"/>
          <w:szCs w:val="24"/>
        </w:rPr>
        <w:t xml:space="preserve"> </w:t>
      </w:r>
      <w:r w:rsidR="00E06C74">
        <w:rPr>
          <w:rFonts w:ascii="Arial" w:hAnsi="Arial" w:cs="Arial"/>
          <w:sz w:val="24"/>
          <w:szCs w:val="24"/>
        </w:rPr>
        <w:t xml:space="preserve">Nous comprenons qu’actuellement, n’ayant aucune balise, les promoteurs peuvent demander n’importe quel montant aux personnes qui font une demande de CIPH via leurs services. Toutefois, </w:t>
      </w:r>
      <w:r w:rsidR="00D11F5D">
        <w:rPr>
          <w:rFonts w:ascii="Arial" w:hAnsi="Arial" w:cs="Arial"/>
          <w:sz w:val="24"/>
          <w:szCs w:val="24"/>
        </w:rPr>
        <w:t xml:space="preserve">est-ce un montant justifié pour les personnes qui en </w:t>
      </w:r>
      <w:r w:rsidR="00D11F5D" w:rsidRPr="004546C2">
        <w:rPr>
          <w:rFonts w:ascii="Arial" w:hAnsi="Arial" w:cs="Arial"/>
          <w:sz w:val="24"/>
          <w:szCs w:val="24"/>
        </w:rPr>
        <w:t xml:space="preserve">feront la demande et qui n’obtiendront pas leur accès au </w:t>
      </w:r>
      <w:r w:rsidR="00434C7F" w:rsidRPr="004546C2">
        <w:rPr>
          <w:rFonts w:ascii="Arial" w:hAnsi="Arial" w:cs="Arial"/>
          <w:sz w:val="24"/>
          <w:szCs w:val="24"/>
        </w:rPr>
        <w:t xml:space="preserve">CIPH ou même pour les personnes </w:t>
      </w:r>
      <w:r w:rsidR="00B16F23" w:rsidRPr="004546C2">
        <w:rPr>
          <w:rFonts w:ascii="Arial" w:hAnsi="Arial" w:cs="Arial"/>
          <w:sz w:val="24"/>
          <w:szCs w:val="24"/>
        </w:rPr>
        <w:t xml:space="preserve">à faible revenu </w:t>
      </w:r>
      <w:r w:rsidR="000412C2" w:rsidRPr="004546C2">
        <w:rPr>
          <w:rFonts w:ascii="Arial" w:hAnsi="Arial" w:cs="Arial"/>
          <w:sz w:val="24"/>
          <w:szCs w:val="24"/>
        </w:rPr>
        <w:t xml:space="preserve">qui seront </w:t>
      </w:r>
      <w:r w:rsidR="004546C2" w:rsidRPr="004546C2">
        <w:rPr>
          <w:rFonts w:ascii="Arial" w:hAnsi="Arial" w:cs="Arial"/>
          <w:sz w:val="24"/>
          <w:szCs w:val="24"/>
        </w:rPr>
        <w:t>admissibles</w:t>
      </w:r>
      <w:r w:rsidR="000412C2" w:rsidRPr="004546C2">
        <w:rPr>
          <w:rFonts w:ascii="Arial" w:hAnsi="Arial" w:cs="Arial"/>
          <w:sz w:val="24"/>
          <w:szCs w:val="24"/>
        </w:rPr>
        <w:t xml:space="preserve"> au CIPH mais n’en verron</w:t>
      </w:r>
      <w:r w:rsidR="001F13A4">
        <w:rPr>
          <w:rFonts w:ascii="Arial" w:hAnsi="Arial" w:cs="Arial"/>
          <w:sz w:val="24"/>
          <w:szCs w:val="24"/>
        </w:rPr>
        <w:t>t</w:t>
      </w:r>
      <w:r w:rsidR="000412C2" w:rsidRPr="004546C2">
        <w:rPr>
          <w:rFonts w:ascii="Arial" w:hAnsi="Arial" w:cs="Arial"/>
          <w:sz w:val="24"/>
          <w:szCs w:val="24"/>
        </w:rPr>
        <w:t xml:space="preserve"> pas les </w:t>
      </w:r>
      <w:r w:rsidR="004546C2" w:rsidRPr="004546C2">
        <w:rPr>
          <w:rFonts w:ascii="Arial" w:hAnsi="Arial" w:cs="Arial"/>
          <w:sz w:val="24"/>
          <w:szCs w:val="24"/>
        </w:rPr>
        <w:t>avantages</w:t>
      </w:r>
      <w:r w:rsidR="000412C2" w:rsidRPr="004546C2">
        <w:rPr>
          <w:rFonts w:ascii="Arial" w:hAnsi="Arial" w:cs="Arial"/>
          <w:sz w:val="24"/>
          <w:szCs w:val="24"/>
        </w:rPr>
        <w:t xml:space="preserve"> puisque le crédit est non </w:t>
      </w:r>
      <w:r w:rsidR="004546C2" w:rsidRPr="004546C2">
        <w:rPr>
          <w:rFonts w:ascii="Arial" w:hAnsi="Arial" w:cs="Arial"/>
          <w:sz w:val="24"/>
          <w:szCs w:val="24"/>
        </w:rPr>
        <w:t xml:space="preserve">remboursable, </w:t>
      </w:r>
      <w:r w:rsidR="00481B38">
        <w:rPr>
          <w:rFonts w:ascii="Arial" w:hAnsi="Arial" w:cs="Arial"/>
          <w:sz w:val="24"/>
          <w:szCs w:val="24"/>
        </w:rPr>
        <w:t xml:space="preserve">puisqu’ils </w:t>
      </w:r>
      <w:r w:rsidR="004546C2" w:rsidRPr="004546C2">
        <w:rPr>
          <w:rFonts w:ascii="Arial" w:hAnsi="Arial" w:cs="Arial"/>
          <w:sz w:val="24"/>
          <w:szCs w:val="24"/>
        </w:rPr>
        <w:t>bénéficier</w:t>
      </w:r>
      <w:r w:rsidR="00481B38">
        <w:rPr>
          <w:rFonts w:ascii="Arial" w:hAnsi="Arial" w:cs="Arial"/>
          <w:sz w:val="24"/>
          <w:szCs w:val="24"/>
        </w:rPr>
        <w:t>ont seulement</w:t>
      </w:r>
      <w:r w:rsidR="000412C2" w:rsidRPr="004546C2">
        <w:rPr>
          <w:rFonts w:ascii="Arial" w:hAnsi="Arial" w:cs="Arial"/>
          <w:sz w:val="24"/>
          <w:szCs w:val="24"/>
        </w:rPr>
        <w:t xml:space="preserve"> des bons d’</w:t>
      </w:r>
      <w:r w:rsidR="004546C2" w:rsidRPr="004546C2">
        <w:rPr>
          <w:rFonts w:ascii="Arial" w:hAnsi="Arial" w:cs="Arial"/>
          <w:sz w:val="24"/>
          <w:szCs w:val="24"/>
        </w:rPr>
        <w:t>épargne du REEI</w:t>
      </w:r>
      <w:r w:rsidR="00481B38">
        <w:rPr>
          <w:rFonts w:ascii="Arial" w:hAnsi="Arial" w:cs="Arial"/>
          <w:sz w:val="24"/>
          <w:szCs w:val="24"/>
        </w:rPr>
        <w:t xml:space="preserve"> s’ils le demandent</w:t>
      </w:r>
      <w:r w:rsidR="004546C2" w:rsidRPr="004546C2">
        <w:rPr>
          <w:rFonts w:ascii="Arial" w:hAnsi="Arial" w:cs="Arial"/>
          <w:sz w:val="24"/>
          <w:szCs w:val="24"/>
        </w:rPr>
        <w:t xml:space="preserve">. </w:t>
      </w:r>
    </w:p>
    <w:p w:rsidR="00884A23" w:rsidRPr="00163DC9" w:rsidRDefault="00093FAE" w:rsidP="00884A23">
      <w:pPr>
        <w:spacing w:line="276" w:lineRule="auto"/>
        <w:rPr>
          <w:rFonts w:ascii="Arial" w:hAnsi="Arial" w:cs="Arial"/>
          <w:sz w:val="24"/>
          <w:szCs w:val="24"/>
        </w:rPr>
      </w:pPr>
      <w:r>
        <w:rPr>
          <w:rFonts w:ascii="Arial" w:hAnsi="Arial" w:cs="Arial"/>
          <w:sz w:val="24"/>
          <w:szCs w:val="24"/>
        </w:rPr>
        <w:t xml:space="preserve">Comme mentionné dans nos </w:t>
      </w:r>
      <w:hyperlink r:id="rId15" w:history="1">
        <w:r w:rsidRPr="00376E27">
          <w:rPr>
            <w:rStyle w:val="Lienhypertexte"/>
            <w:rFonts w:ascii="Arial" w:hAnsi="Arial" w:cs="Arial"/>
            <w:sz w:val="24"/>
            <w:szCs w:val="24"/>
          </w:rPr>
          <w:t>commentaires sur les mesures fiscales pour personnes handicapées et le REEI</w:t>
        </w:r>
      </w:hyperlink>
      <w:r>
        <w:rPr>
          <w:rFonts w:ascii="Arial" w:hAnsi="Arial" w:cs="Arial"/>
          <w:sz w:val="24"/>
          <w:szCs w:val="24"/>
        </w:rPr>
        <w:t xml:space="preserve"> transmis en septembre 2018, </w:t>
      </w:r>
      <w:r w:rsidR="00FA2050">
        <w:rPr>
          <w:rFonts w:ascii="Arial" w:hAnsi="Arial" w:cs="Arial"/>
          <w:sz w:val="24"/>
          <w:szCs w:val="24"/>
        </w:rPr>
        <w:t>plusieurs raisons contribuent au faible taux de demande</w:t>
      </w:r>
      <w:r w:rsidR="00AE79CF">
        <w:rPr>
          <w:rFonts w:ascii="Arial" w:hAnsi="Arial" w:cs="Arial"/>
          <w:sz w:val="24"/>
          <w:szCs w:val="24"/>
        </w:rPr>
        <w:t>s</w:t>
      </w:r>
      <w:r w:rsidR="00FA2050">
        <w:rPr>
          <w:rFonts w:ascii="Arial" w:hAnsi="Arial" w:cs="Arial"/>
          <w:sz w:val="24"/>
          <w:szCs w:val="24"/>
        </w:rPr>
        <w:t xml:space="preserve"> d’accès au CIPH. </w:t>
      </w:r>
      <w:r w:rsidR="008B503E">
        <w:rPr>
          <w:rFonts w:ascii="Arial" w:hAnsi="Arial" w:cs="Arial"/>
          <w:sz w:val="24"/>
          <w:szCs w:val="24"/>
        </w:rPr>
        <w:t>Nous avions indiqué</w:t>
      </w:r>
      <w:r w:rsidR="00861562">
        <w:rPr>
          <w:rFonts w:ascii="Arial" w:hAnsi="Arial" w:cs="Arial"/>
          <w:sz w:val="24"/>
          <w:szCs w:val="24"/>
        </w:rPr>
        <w:t>,</w:t>
      </w:r>
      <w:r w:rsidR="008B503E">
        <w:rPr>
          <w:rFonts w:ascii="Arial" w:hAnsi="Arial" w:cs="Arial"/>
          <w:sz w:val="24"/>
          <w:szCs w:val="24"/>
        </w:rPr>
        <w:t xml:space="preserve"> et nous réaffirmons encore</w:t>
      </w:r>
      <w:r w:rsidR="00861562">
        <w:rPr>
          <w:rFonts w:ascii="Arial" w:hAnsi="Arial" w:cs="Arial"/>
          <w:sz w:val="24"/>
          <w:szCs w:val="24"/>
        </w:rPr>
        <w:t>, que</w:t>
      </w:r>
      <w:r w:rsidR="008B503E">
        <w:rPr>
          <w:rFonts w:ascii="Arial" w:hAnsi="Arial" w:cs="Arial"/>
          <w:sz w:val="24"/>
          <w:szCs w:val="24"/>
        </w:rPr>
        <w:t xml:space="preserve"> les personnes à faible revenu n’ont pas le réflexe de se prémunir du CIPH, étant un crédit d’impôt non remboursable, se privant ainsi des bons d’épargne du REEI. </w:t>
      </w:r>
      <w:r w:rsidR="008B503E" w:rsidRPr="00163DC9">
        <w:rPr>
          <w:rFonts w:ascii="Arial" w:hAnsi="Arial" w:cs="Arial"/>
          <w:sz w:val="24"/>
          <w:szCs w:val="24"/>
        </w:rPr>
        <w:t>Si les personnes doivent en plus débourser un montant de 100$ à titre d’honoraires professionnels si elles font affaire avec un promoteur, ceci ajoute une barr</w:t>
      </w:r>
      <w:r w:rsidR="004A5FF4">
        <w:rPr>
          <w:rFonts w:ascii="Arial" w:hAnsi="Arial" w:cs="Arial"/>
          <w:sz w:val="24"/>
          <w:szCs w:val="24"/>
        </w:rPr>
        <w:t>ière financière supplémentaire.</w:t>
      </w:r>
    </w:p>
    <w:p w:rsidR="009B47B5" w:rsidRPr="007B558E" w:rsidRDefault="00A6688D" w:rsidP="007B558E">
      <w:pPr>
        <w:spacing w:line="276" w:lineRule="auto"/>
        <w:rPr>
          <w:rFonts w:ascii="Arial" w:hAnsi="Arial" w:cs="Arial"/>
          <w:sz w:val="24"/>
          <w:szCs w:val="24"/>
        </w:rPr>
      </w:pPr>
      <w:r>
        <w:rPr>
          <w:rFonts w:ascii="Arial" w:hAnsi="Arial" w:cs="Arial"/>
          <w:sz w:val="24"/>
          <w:szCs w:val="24"/>
        </w:rPr>
        <w:t xml:space="preserve">D’après notre compréhension, </w:t>
      </w:r>
      <w:r w:rsidR="009B47B5">
        <w:rPr>
          <w:rFonts w:ascii="Arial" w:hAnsi="Arial" w:cs="Arial"/>
          <w:sz w:val="24"/>
          <w:szCs w:val="24"/>
        </w:rPr>
        <w:t xml:space="preserve">le </w:t>
      </w:r>
      <w:r w:rsidR="009B47B5" w:rsidRPr="004F41AC">
        <w:rPr>
          <w:rFonts w:ascii="Arial" w:hAnsi="Arial" w:cs="Arial"/>
          <w:sz w:val="24"/>
          <w:szCs w:val="24"/>
        </w:rPr>
        <w:t xml:space="preserve">règlement ne s’appliquera qu’aux demandes de CIPH </w:t>
      </w:r>
      <w:r w:rsidR="00060FF6" w:rsidRPr="004F41AC">
        <w:rPr>
          <w:rFonts w:ascii="Arial" w:hAnsi="Arial" w:cs="Arial"/>
          <w:sz w:val="24"/>
          <w:szCs w:val="24"/>
        </w:rPr>
        <w:t xml:space="preserve">du niveau </w:t>
      </w:r>
      <w:r w:rsidR="009B47B5" w:rsidRPr="004F41AC">
        <w:rPr>
          <w:rFonts w:ascii="Arial" w:hAnsi="Arial" w:cs="Arial"/>
          <w:sz w:val="24"/>
          <w:szCs w:val="24"/>
        </w:rPr>
        <w:t xml:space="preserve">fédéral. Or, au Québec, </w:t>
      </w:r>
      <w:r w:rsidR="00D202A5" w:rsidRPr="004F41AC">
        <w:rPr>
          <w:rFonts w:ascii="Arial" w:hAnsi="Arial" w:cs="Arial"/>
          <w:sz w:val="24"/>
          <w:szCs w:val="24"/>
        </w:rPr>
        <w:t>les personnes ayant des limitations fonctionnelles sont dans une situation exceptionnelle, devant demander tant le CIPH au gouvernement fédéral que le crédit d’impôt pour déficiences graves et prolongé</w:t>
      </w:r>
      <w:r w:rsidR="00861562">
        <w:rPr>
          <w:rFonts w:ascii="Arial" w:hAnsi="Arial" w:cs="Arial"/>
          <w:sz w:val="24"/>
          <w:szCs w:val="24"/>
        </w:rPr>
        <w:t>e</w:t>
      </w:r>
      <w:r w:rsidR="00D202A5" w:rsidRPr="004F41AC">
        <w:rPr>
          <w:rFonts w:ascii="Arial" w:hAnsi="Arial" w:cs="Arial"/>
          <w:sz w:val="24"/>
          <w:szCs w:val="24"/>
        </w:rPr>
        <w:t xml:space="preserve">s des fonctions mentales ou physiques au gouvernement provincial. </w:t>
      </w:r>
      <w:r w:rsidR="004F41AC" w:rsidRPr="004F41AC">
        <w:rPr>
          <w:rFonts w:ascii="Arial" w:hAnsi="Arial" w:cs="Arial"/>
          <w:sz w:val="24"/>
          <w:szCs w:val="24"/>
        </w:rPr>
        <w:t>Il n’existe actuellement aucun</w:t>
      </w:r>
      <w:r w:rsidR="001F13A4">
        <w:rPr>
          <w:rFonts w:ascii="Arial" w:hAnsi="Arial" w:cs="Arial"/>
          <w:sz w:val="24"/>
          <w:szCs w:val="24"/>
        </w:rPr>
        <w:t>s</w:t>
      </w:r>
      <w:r w:rsidR="004F41AC" w:rsidRPr="004F41AC">
        <w:rPr>
          <w:rFonts w:ascii="Arial" w:hAnsi="Arial" w:cs="Arial"/>
          <w:sz w:val="24"/>
          <w:szCs w:val="24"/>
        </w:rPr>
        <w:t xml:space="preserve"> frais prescrit</w:t>
      </w:r>
      <w:r w:rsidR="001F13A4">
        <w:rPr>
          <w:rFonts w:ascii="Arial" w:hAnsi="Arial" w:cs="Arial"/>
          <w:sz w:val="24"/>
          <w:szCs w:val="24"/>
        </w:rPr>
        <w:t>s</w:t>
      </w:r>
      <w:r w:rsidR="004F41AC" w:rsidRPr="004F41AC">
        <w:rPr>
          <w:rFonts w:ascii="Arial" w:hAnsi="Arial" w:cs="Arial"/>
          <w:sz w:val="24"/>
          <w:szCs w:val="24"/>
        </w:rPr>
        <w:t xml:space="preserve"> par le gouvernement </w:t>
      </w:r>
      <w:r w:rsidR="004A5FF4">
        <w:rPr>
          <w:rFonts w:ascii="Arial" w:hAnsi="Arial" w:cs="Arial"/>
          <w:sz w:val="24"/>
          <w:szCs w:val="24"/>
        </w:rPr>
        <w:t xml:space="preserve">québécois </w:t>
      </w:r>
      <w:r w:rsidR="004F41AC" w:rsidRPr="004F41AC">
        <w:rPr>
          <w:rFonts w:ascii="Arial" w:hAnsi="Arial" w:cs="Arial"/>
          <w:sz w:val="24"/>
          <w:szCs w:val="24"/>
        </w:rPr>
        <w:t xml:space="preserve">concernant un montant maximal que les promoteurs peuvent demander lorsqu’une </w:t>
      </w:r>
      <w:r w:rsidR="004F41AC" w:rsidRPr="004F41AC">
        <w:rPr>
          <w:rFonts w:ascii="Arial" w:hAnsi="Arial" w:cs="Arial"/>
          <w:sz w:val="24"/>
          <w:szCs w:val="24"/>
        </w:rPr>
        <w:lastRenderedPageBreak/>
        <w:t xml:space="preserve">personne fait la demande de leur crédit d’impôt provincial auprès d’eux. </w:t>
      </w:r>
      <w:r w:rsidR="004A5FF4">
        <w:rPr>
          <w:rFonts w:ascii="Arial" w:hAnsi="Arial" w:cs="Arial"/>
          <w:sz w:val="24"/>
          <w:szCs w:val="24"/>
        </w:rPr>
        <w:t>N</w:t>
      </w:r>
      <w:r w:rsidR="009B47B5" w:rsidRPr="009B47B5">
        <w:rPr>
          <w:rFonts w:ascii="Arial" w:hAnsi="Arial" w:cs="Arial"/>
          <w:sz w:val="24"/>
          <w:szCs w:val="24"/>
        </w:rPr>
        <w:t xml:space="preserve">otons qu’il existe une possibilité pour que le formulaire du CIPH </w:t>
      </w:r>
      <w:r w:rsidR="004A5FF4">
        <w:rPr>
          <w:rFonts w:ascii="Arial" w:hAnsi="Arial" w:cs="Arial"/>
          <w:sz w:val="24"/>
          <w:szCs w:val="24"/>
        </w:rPr>
        <w:t xml:space="preserve">soit utilisé pour demander une admissibilité au </w:t>
      </w:r>
      <w:r w:rsidR="009B47B5" w:rsidRPr="009B47B5">
        <w:rPr>
          <w:rFonts w:ascii="Arial" w:hAnsi="Arial" w:cs="Arial"/>
          <w:sz w:val="24"/>
          <w:szCs w:val="24"/>
        </w:rPr>
        <w:t xml:space="preserve">crédit d’impôt du Québec. Cette mesure est toutefois très méconnue et un promoteur pourrait faire payer en </w:t>
      </w:r>
      <w:r w:rsidR="009B47B5" w:rsidRPr="007B558E">
        <w:rPr>
          <w:rFonts w:ascii="Arial" w:hAnsi="Arial" w:cs="Arial"/>
          <w:sz w:val="24"/>
          <w:szCs w:val="24"/>
        </w:rPr>
        <w:t xml:space="preserve">double les frais du formulaire fédéral et du formulaire provincial. </w:t>
      </w:r>
    </w:p>
    <w:p w:rsidR="004A5FF4" w:rsidRDefault="00060FF6" w:rsidP="007B558E">
      <w:pPr>
        <w:spacing w:line="276" w:lineRule="auto"/>
        <w:ind w:left="708"/>
        <w:rPr>
          <w:rFonts w:ascii="Arial" w:hAnsi="Arial" w:cs="Arial"/>
          <w:sz w:val="24"/>
          <w:szCs w:val="24"/>
        </w:rPr>
      </w:pPr>
      <w:r w:rsidRPr="007B558E">
        <w:rPr>
          <w:rFonts w:ascii="Arial" w:hAnsi="Arial" w:cs="Arial"/>
          <w:b/>
          <w:sz w:val="24"/>
          <w:szCs w:val="24"/>
        </w:rPr>
        <w:t>Recommandation</w:t>
      </w:r>
      <w:r w:rsidR="007B558E" w:rsidRPr="007B558E">
        <w:rPr>
          <w:rFonts w:ascii="Arial" w:hAnsi="Arial" w:cs="Arial"/>
          <w:b/>
          <w:sz w:val="24"/>
          <w:szCs w:val="24"/>
        </w:rPr>
        <w:t>s</w:t>
      </w:r>
      <w:r w:rsidRPr="007B558E">
        <w:rPr>
          <w:rFonts w:ascii="Arial" w:hAnsi="Arial" w:cs="Arial"/>
          <w:sz w:val="24"/>
          <w:szCs w:val="24"/>
        </w:rPr>
        <w:t xml:space="preserve"> : </w:t>
      </w:r>
    </w:p>
    <w:p w:rsidR="007B558E" w:rsidRPr="007B558E" w:rsidRDefault="007B558E" w:rsidP="007B558E">
      <w:pPr>
        <w:spacing w:line="276" w:lineRule="auto"/>
        <w:ind w:left="708"/>
        <w:rPr>
          <w:rFonts w:ascii="Arial" w:hAnsi="Arial" w:cs="Arial"/>
          <w:sz w:val="24"/>
          <w:szCs w:val="24"/>
        </w:rPr>
      </w:pPr>
      <w:r w:rsidRPr="007B558E">
        <w:rPr>
          <w:rFonts w:ascii="Arial" w:hAnsi="Arial" w:cs="Arial"/>
          <w:sz w:val="24"/>
          <w:szCs w:val="24"/>
        </w:rPr>
        <w:t>Qu’un échange entre les deux paliers de gouvernement se fasse pour qu’une restriction financière similaire soit déployée au Québec</w:t>
      </w:r>
      <w:r w:rsidR="00861562">
        <w:rPr>
          <w:rFonts w:ascii="Arial" w:hAnsi="Arial" w:cs="Arial"/>
          <w:sz w:val="24"/>
          <w:szCs w:val="24"/>
        </w:rPr>
        <w:t> </w:t>
      </w:r>
      <w:r w:rsidRPr="007B558E">
        <w:rPr>
          <w:rFonts w:ascii="Arial" w:hAnsi="Arial" w:cs="Arial"/>
          <w:sz w:val="24"/>
          <w:szCs w:val="24"/>
        </w:rPr>
        <w:t xml:space="preserve">; </w:t>
      </w:r>
    </w:p>
    <w:p w:rsidR="007B558E" w:rsidRPr="007B558E" w:rsidRDefault="00861562" w:rsidP="007B558E">
      <w:pPr>
        <w:spacing w:line="276" w:lineRule="auto"/>
        <w:ind w:left="708"/>
        <w:rPr>
          <w:rFonts w:ascii="Arial" w:hAnsi="Arial" w:cs="Arial"/>
          <w:sz w:val="24"/>
          <w:szCs w:val="24"/>
          <w:highlight w:val="yellow"/>
        </w:rPr>
      </w:pPr>
      <w:r>
        <w:rPr>
          <w:rFonts w:ascii="Arial" w:hAnsi="Arial" w:cs="Arial"/>
          <w:sz w:val="24"/>
          <w:szCs w:val="24"/>
        </w:rPr>
        <w:t>Qu’il y ait une indication claire,</w:t>
      </w:r>
      <w:r w:rsidR="004A5FF4">
        <w:rPr>
          <w:rFonts w:ascii="Arial" w:hAnsi="Arial" w:cs="Arial"/>
          <w:sz w:val="24"/>
          <w:szCs w:val="24"/>
        </w:rPr>
        <w:t xml:space="preserve"> s</w:t>
      </w:r>
      <w:r w:rsidR="007B558E" w:rsidRPr="007B558E">
        <w:rPr>
          <w:rFonts w:ascii="Arial" w:hAnsi="Arial" w:cs="Arial"/>
          <w:sz w:val="24"/>
          <w:szCs w:val="24"/>
        </w:rPr>
        <w:t>ur le formulaire donnant accès au CIPH, précisant que le formulaire est aussi valide au Québec pour dem</w:t>
      </w:r>
      <w:r w:rsidR="007B558E">
        <w:rPr>
          <w:rFonts w:ascii="Arial" w:hAnsi="Arial" w:cs="Arial"/>
          <w:sz w:val="24"/>
          <w:szCs w:val="24"/>
        </w:rPr>
        <w:t xml:space="preserve">ander le crédit d’impôt associé afin d’éviter que les promoteurs chargent en double les personnes. </w:t>
      </w:r>
    </w:p>
    <w:p w:rsidR="00F1434E" w:rsidRPr="00F1434E" w:rsidRDefault="00F67754" w:rsidP="00884A23">
      <w:pPr>
        <w:spacing w:line="276" w:lineRule="auto"/>
        <w:rPr>
          <w:rFonts w:ascii="Arial" w:hAnsi="Arial" w:cs="Arial"/>
          <w:sz w:val="24"/>
          <w:szCs w:val="24"/>
        </w:rPr>
      </w:pPr>
      <w:r w:rsidRPr="00F1434E">
        <w:rPr>
          <w:rFonts w:ascii="Arial" w:hAnsi="Arial" w:cs="Arial"/>
          <w:sz w:val="24"/>
          <w:szCs w:val="24"/>
        </w:rPr>
        <w:t xml:space="preserve">Finalement, </w:t>
      </w:r>
      <w:r w:rsidR="00F1434E" w:rsidRPr="00F1434E">
        <w:rPr>
          <w:rFonts w:ascii="Arial" w:hAnsi="Arial" w:cs="Arial"/>
          <w:sz w:val="24"/>
          <w:szCs w:val="24"/>
        </w:rPr>
        <w:t xml:space="preserve">certains détails techniques du règlement n’avantagent pas les personnes elles-mêmes à savoir : </w:t>
      </w:r>
    </w:p>
    <w:p w:rsidR="00F1434E" w:rsidRPr="00F1434E" w:rsidRDefault="00F1434E" w:rsidP="00F1434E">
      <w:pPr>
        <w:pStyle w:val="Paragraphedeliste"/>
        <w:numPr>
          <w:ilvl w:val="0"/>
          <w:numId w:val="3"/>
        </w:numPr>
        <w:spacing w:line="276" w:lineRule="auto"/>
        <w:rPr>
          <w:rFonts w:ascii="Arial" w:hAnsi="Arial" w:cs="Arial"/>
          <w:sz w:val="24"/>
          <w:szCs w:val="24"/>
        </w:rPr>
      </w:pPr>
      <w:r w:rsidRPr="00F1434E">
        <w:rPr>
          <w:rFonts w:ascii="Arial" w:hAnsi="Arial" w:cs="Arial"/>
          <w:sz w:val="24"/>
          <w:szCs w:val="24"/>
        </w:rPr>
        <w:t>L</w:t>
      </w:r>
      <w:r w:rsidR="00F67754" w:rsidRPr="00F1434E">
        <w:rPr>
          <w:rFonts w:ascii="Arial" w:hAnsi="Arial" w:cs="Arial"/>
          <w:sz w:val="24"/>
          <w:szCs w:val="24"/>
        </w:rPr>
        <w:t>es honoraires de 100$ ne comprennent pas les frais associés à une contestation d’</w:t>
      </w:r>
      <w:r w:rsidRPr="00F1434E">
        <w:rPr>
          <w:rFonts w:ascii="Arial" w:hAnsi="Arial" w:cs="Arial"/>
          <w:sz w:val="24"/>
          <w:szCs w:val="24"/>
        </w:rPr>
        <w:t>une décision</w:t>
      </w:r>
      <w:r w:rsidR="00D64A14">
        <w:rPr>
          <w:rFonts w:ascii="Arial" w:hAnsi="Arial" w:cs="Arial"/>
          <w:sz w:val="24"/>
          <w:szCs w:val="24"/>
        </w:rPr>
        <w:t> </w:t>
      </w:r>
      <w:r w:rsidRPr="00F1434E">
        <w:rPr>
          <w:rFonts w:ascii="Arial" w:hAnsi="Arial" w:cs="Arial"/>
          <w:sz w:val="24"/>
          <w:szCs w:val="24"/>
        </w:rPr>
        <w:t xml:space="preserve">; </w:t>
      </w:r>
    </w:p>
    <w:p w:rsidR="00F1434E" w:rsidRDefault="00F1434E" w:rsidP="00F1434E">
      <w:pPr>
        <w:pStyle w:val="Paragraphedeliste"/>
        <w:numPr>
          <w:ilvl w:val="0"/>
          <w:numId w:val="3"/>
        </w:numPr>
        <w:spacing w:line="276" w:lineRule="auto"/>
        <w:rPr>
          <w:rFonts w:ascii="Arial" w:hAnsi="Arial" w:cs="Arial"/>
          <w:sz w:val="24"/>
          <w:szCs w:val="24"/>
        </w:rPr>
      </w:pPr>
      <w:r w:rsidRPr="00F1434E">
        <w:rPr>
          <w:rFonts w:ascii="Arial" w:hAnsi="Arial" w:cs="Arial"/>
          <w:sz w:val="24"/>
          <w:szCs w:val="24"/>
        </w:rPr>
        <w:t>Un promoteur</w:t>
      </w:r>
      <w:r>
        <w:rPr>
          <w:rFonts w:ascii="Arial" w:hAnsi="Arial" w:cs="Arial"/>
          <w:sz w:val="24"/>
          <w:szCs w:val="24"/>
        </w:rPr>
        <w:t xml:space="preserve"> peut exiger le paiement des frais avant la </w:t>
      </w:r>
      <w:r w:rsidR="0065303E">
        <w:rPr>
          <w:rFonts w:ascii="Arial" w:hAnsi="Arial" w:cs="Arial"/>
          <w:sz w:val="24"/>
          <w:szCs w:val="24"/>
        </w:rPr>
        <w:t>confirmation de l’admissibilité au CIPH et le cas échéant au crédit lié à celui-ci</w:t>
      </w:r>
      <w:r w:rsidR="00D64A14">
        <w:rPr>
          <w:rFonts w:ascii="Arial" w:hAnsi="Arial" w:cs="Arial"/>
          <w:sz w:val="24"/>
          <w:szCs w:val="24"/>
        </w:rPr>
        <w:t> </w:t>
      </w:r>
      <w:r>
        <w:rPr>
          <w:rFonts w:ascii="Arial" w:hAnsi="Arial" w:cs="Arial"/>
          <w:sz w:val="24"/>
          <w:szCs w:val="24"/>
        </w:rPr>
        <w:t xml:space="preserve">; </w:t>
      </w:r>
    </w:p>
    <w:p w:rsidR="00B26C86" w:rsidRDefault="00B26C86" w:rsidP="00F1434E">
      <w:pPr>
        <w:pStyle w:val="Paragraphedeliste"/>
        <w:numPr>
          <w:ilvl w:val="0"/>
          <w:numId w:val="3"/>
        </w:numPr>
        <w:spacing w:line="276" w:lineRule="auto"/>
        <w:rPr>
          <w:rFonts w:ascii="Arial" w:hAnsi="Arial" w:cs="Arial"/>
          <w:sz w:val="24"/>
          <w:szCs w:val="24"/>
        </w:rPr>
      </w:pPr>
      <w:r>
        <w:rPr>
          <w:rFonts w:ascii="Arial" w:hAnsi="Arial" w:cs="Arial"/>
          <w:sz w:val="24"/>
          <w:szCs w:val="24"/>
        </w:rPr>
        <w:t>La charge de dénonciation dans le cas de frais excessif</w:t>
      </w:r>
      <w:r w:rsidR="00BA3E60">
        <w:rPr>
          <w:rFonts w:ascii="Arial" w:hAnsi="Arial" w:cs="Arial"/>
          <w:sz w:val="24"/>
          <w:szCs w:val="24"/>
        </w:rPr>
        <w:t>s</w:t>
      </w:r>
      <w:r>
        <w:rPr>
          <w:rFonts w:ascii="Arial" w:hAnsi="Arial" w:cs="Arial"/>
          <w:sz w:val="24"/>
          <w:szCs w:val="24"/>
        </w:rPr>
        <w:t xml:space="preserve"> est à la charge de la personne ou du promoteur.</w:t>
      </w:r>
    </w:p>
    <w:p w:rsidR="004A5FF4" w:rsidRDefault="004A5FF4" w:rsidP="004A5FF4">
      <w:pPr>
        <w:spacing w:line="276" w:lineRule="auto"/>
        <w:ind w:left="360"/>
        <w:rPr>
          <w:rFonts w:ascii="Arial" w:hAnsi="Arial" w:cs="Arial"/>
          <w:b/>
          <w:sz w:val="24"/>
          <w:szCs w:val="24"/>
        </w:rPr>
      </w:pPr>
      <w:r w:rsidRPr="007B558E">
        <w:rPr>
          <w:rFonts w:ascii="Arial" w:hAnsi="Arial" w:cs="Arial"/>
          <w:b/>
          <w:sz w:val="24"/>
          <w:szCs w:val="24"/>
        </w:rPr>
        <w:t>Recommandations</w:t>
      </w:r>
      <w:r>
        <w:rPr>
          <w:rFonts w:ascii="Arial" w:hAnsi="Arial" w:cs="Arial"/>
          <w:b/>
          <w:sz w:val="24"/>
          <w:szCs w:val="24"/>
        </w:rPr>
        <w:t> :</w:t>
      </w:r>
    </w:p>
    <w:p w:rsidR="004A5FF4" w:rsidRDefault="004A5FF4" w:rsidP="004A5FF4">
      <w:pPr>
        <w:spacing w:line="276" w:lineRule="auto"/>
        <w:ind w:left="426"/>
        <w:rPr>
          <w:rFonts w:ascii="Arial" w:hAnsi="Arial" w:cs="Arial"/>
          <w:sz w:val="24"/>
          <w:szCs w:val="24"/>
        </w:rPr>
      </w:pPr>
      <w:r>
        <w:rPr>
          <w:rFonts w:ascii="Arial" w:hAnsi="Arial" w:cs="Arial"/>
          <w:sz w:val="24"/>
          <w:szCs w:val="24"/>
        </w:rPr>
        <w:t>Que l</w:t>
      </w:r>
      <w:r w:rsidR="00996404" w:rsidRPr="004A5FF4">
        <w:rPr>
          <w:rFonts w:ascii="Arial" w:hAnsi="Arial" w:cs="Arial"/>
          <w:sz w:val="24"/>
          <w:szCs w:val="24"/>
        </w:rPr>
        <w:t xml:space="preserve">es frais </w:t>
      </w:r>
      <w:r>
        <w:rPr>
          <w:rFonts w:ascii="Arial" w:hAnsi="Arial" w:cs="Arial"/>
          <w:sz w:val="24"/>
          <w:szCs w:val="24"/>
        </w:rPr>
        <w:t>incluent</w:t>
      </w:r>
      <w:r w:rsidR="00996404" w:rsidRPr="004A5FF4">
        <w:rPr>
          <w:rFonts w:ascii="Arial" w:hAnsi="Arial" w:cs="Arial"/>
          <w:sz w:val="24"/>
          <w:szCs w:val="24"/>
        </w:rPr>
        <w:t xml:space="preserve"> les démarches de contestation puisque souvent les différents documents médicaux peuvent avoir été mal rempli</w:t>
      </w:r>
      <w:r w:rsidR="00BA3E60" w:rsidRPr="004A5FF4">
        <w:rPr>
          <w:rFonts w:ascii="Arial" w:hAnsi="Arial" w:cs="Arial"/>
          <w:sz w:val="24"/>
          <w:szCs w:val="24"/>
        </w:rPr>
        <w:t>s</w:t>
      </w:r>
      <w:r w:rsidR="00996404" w:rsidRPr="004A5FF4">
        <w:rPr>
          <w:rFonts w:ascii="Arial" w:hAnsi="Arial" w:cs="Arial"/>
          <w:sz w:val="24"/>
          <w:szCs w:val="24"/>
        </w:rPr>
        <w:t xml:space="preserve"> par les professionnels de la santé et la charge financière ne doit pas être transmise aux personnes elles-mêmes</w:t>
      </w:r>
      <w:r w:rsidR="00D64A14">
        <w:rPr>
          <w:rFonts w:ascii="Arial" w:hAnsi="Arial" w:cs="Arial"/>
          <w:sz w:val="24"/>
          <w:szCs w:val="24"/>
        </w:rPr>
        <w:t> </w:t>
      </w:r>
      <w:r w:rsidR="00996404" w:rsidRPr="004A5FF4">
        <w:rPr>
          <w:rFonts w:ascii="Arial" w:hAnsi="Arial" w:cs="Arial"/>
          <w:sz w:val="24"/>
          <w:szCs w:val="24"/>
        </w:rPr>
        <w:t xml:space="preserve">; </w:t>
      </w:r>
    </w:p>
    <w:p w:rsidR="004A5FF4" w:rsidRDefault="004A5FF4" w:rsidP="004A5FF4">
      <w:pPr>
        <w:spacing w:line="276" w:lineRule="auto"/>
        <w:ind w:left="426"/>
        <w:rPr>
          <w:rFonts w:ascii="Arial" w:hAnsi="Arial" w:cs="Arial"/>
          <w:sz w:val="24"/>
          <w:szCs w:val="24"/>
        </w:rPr>
      </w:pPr>
      <w:r>
        <w:rPr>
          <w:rFonts w:ascii="Arial" w:hAnsi="Arial" w:cs="Arial"/>
          <w:sz w:val="24"/>
          <w:szCs w:val="24"/>
        </w:rPr>
        <w:t>Qu’u</w:t>
      </w:r>
      <w:r w:rsidR="00996404" w:rsidRPr="004A5FF4">
        <w:rPr>
          <w:rFonts w:ascii="Arial" w:hAnsi="Arial" w:cs="Arial"/>
          <w:sz w:val="24"/>
          <w:szCs w:val="24"/>
        </w:rPr>
        <w:t xml:space="preserve">n prometteur </w:t>
      </w:r>
      <w:r>
        <w:rPr>
          <w:rFonts w:ascii="Arial" w:hAnsi="Arial" w:cs="Arial"/>
          <w:sz w:val="24"/>
          <w:szCs w:val="24"/>
        </w:rPr>
        <w:t>ne puisse pas</w:t>
      </w:r>
      <w:r w:rsidR="00996404" w:rsidRPr="004A5FF4">
        <w:rPr>
          <w:rFonts w:ascii="Arial" w:hAnsi="Arial" w:cs="Arial"/>
          <w:sz w:val="24"/>
          <w:szCs w:val="24"/>
        </w:rPr>
        <w:t xml:space="preserve"> exiger le paiement avant que la perso</w:t>
      </w:r>
      <w:r>
        <w:rPr>
          <w:rFonts w:ascii="Arial" w:hAnsi="Arial" w:cs="Arial"/>
          <w:sz w:val="24"/>
          <w:szCs w:val="24"/>
        </w:rPr>
        <w:t>nne ait reçu son remboursement</w:t>
      </w:r>
      <w:r w:rsidR="00D64A14">
        <w:rPr>
          <w:rFonts w:ascii="Arial" w:hAnsi="Arial" w:cs="Arial"/>
          <w:sz w:val="24"/>
          <w:szCs w:val="24"/>
        </w:rPr>
        <w:t> ;</w:t>
      </w:r>
    </w:p>
    <w:p w:rsidR="00216D5F" w:rsidRPr="004A5FF4" w:rsidRDefault="00B77D2E" w:rsidP="004A5FF4">
      <w:pPr>
        <w:spacing w:line="276" w:lineRule="auto"/>
        <w:ind w:left="426"/>
        <w:rPr>
          <w:rFonts w:ascii="Arial" w:hAnsi="Arial" w:cs="Arial"/>
          <w:sz w:val="24"/>
          <w:szCs w:val="24"/>
        </w:rPr>
      </w:pPr>
      <w:r w:rsidRPr="004A5FF4">
        <w:rPr>
          <w:rFonts w:ascii="Arial" w:hAnsi="Arial" w:cs="Arial"/>
          <w:sz w:val="24"/>
          <w:szCs w:val="24"/>
        </w:rPr>
        <w:t>Q</w:t>
      </w:r>
      <w:r w:rsidR="00996404" w:rsidRPr="004A5FF4">
        <w:rPr>
          <w:rFonts w:ascii="Arial" w:hAnsi="Arial" w:cs="Arial"/>
          <w:sz w:val="24"/>
          <w:szCs w:val="24"/>
        </w:rPr>
        <w:t xml:space="preserve">ue l’Agence du revenu du Canada </w:t>
      </w:r>
      <w:r w:rsidR="004A5FF4">
        <w:rPr>
          <w:rFonts w:ascii="Arial" w:hAnsi="Arial" w:cs="Arial"/>
          <w:sz w:val="24"/>
          <w:szCs w:val="24"/>
        </w:rPr>
        <w:t>fasse</w:t>
      </w:r>
      <w:r w:rsidR="00996404" w:rsidRPr="004A5FF4">
        <w:rPr>
          <w:rFonts w:ascii="Arial" w:hAnsi="Arial" w:cs="Arial"/>
          <w:sz w:val="24"/>
          <w:szCs w:val="24"/>
        </w:rPr>
        <w:t xml:space="preserve"> des enquêtes </w:t>
      </w:r>
      <w:r w:rsidR="007B558E" w:rsidRPr="004A5FF4">
        <w:rPr>
          <w:rFonts w:ascii="Arial" w:hAnsi="Arial" w:cs="Arial"/>
          <w:sz w:val="24"/>
          <w:szCs w:val="24"/>
        </w:rPr>
        <w:t>aléatoires</w:t>
      </w:r>
      <w:r w:rsidR="00996404" w:rsidRPr="004A5FF4">
        <w:rPr>
          <w:rFonts w:ascii="Arial" w:hAnsi="Arial" w:cs="Arial"/>
          <w:sz w:val="24"/>
          <w:szCs w:val="24"/>
        </w:rPr>
        <w:t xml:space="preserve"> sans qu’il y ait nécessairement eu dénonciation. </w:t>
      </w:r>
    </w:p>
    <w:p w:rsidR="00F37938" w:rsidRPr="00926C33" w:rsidRDefault="00F37938" w:rsidP="00884A23">
      <w:pPr>
        <w:spacing w:line="276" w:lineRule="auto"/>
        <w:rPr>
          <w:rFonts w:ascii="Arial" w:hAnsi="Arial" w:cs="Arial"/>
          <w:sz w:val="24"/>
          <w:szCs w:val="24"/>
        </w:rPr>
      </w:pPr>
      <w:r w:rsidRPr="00926C33">
        <w:rPr>
          <w:rFonts w:ascii="Arial" w:hAnsi="Arial" w:cs="Arial"/>
          <w:sz w:val="24"/>
          <w:szCs w:val="24"/>
        </w:rPr>
        <w:t>Bref, exiger</w:t>
      </w:r>
      <w:r w:rsidR="00717298" w:rsidRPr="00926C33">
        <w:rPr>
          <w:rFonts w:ascii="Arial" w:hAnsi="Arial" w:cs="Arial"/>
          <w:sz w:val="24"/>
          <w:szCs w:val="24"/>
        </w:rPr>
        <w:t xml:space="preserve"> des frais supplémentaires de l’ordre de 100 $ lorsque les personnes se tournent vers un promoteur pour compléter leur demande de CIPH nous semble limiter encore davantage l’accès au CIPH et ultimement au REEI. </w:t>
      </w:r>
      <w:r w:rsidRPr="00926C33">
        <w:rPr>
          <w:rFonts w:ascii="Arial" w:hAnsi="Arial" w:cs="Arial"/>
          <w:sz w:val="24"/>
          <w:szCs w:val="24"/>
        </w:rPr>
        <w:t xml:space="preserve">C’est pourquoi les démarches requises pour s’en prévaloir ne doivent en aucun cas générer des frais supplémentaires trop élevés. </w:t>
      </w:r>
    </w:p>
    <w:p w:rsidR="005F6E79" w:rsidRDefault="004E25F0" w:rsidP="00884A23">
      <w:pPr>
        <w:spacing w:line="276" w:lineRule="auto"/>
        <w:rPr>
          <w:rFonts w:ascii="Arial" w:hAnsi="Arial" w:cs="Arial"/>
          <w:sz w:val="24"/>
          <w:szCs w:val="24"/>
        </w:rPr>
      </w:pPr>
      <w:r w:rsidRPr="00926C33">
        <w:rPr>
          <w:rFonts w:ascii="Arial" w:hAnsi="Arial" w:cs="Arial"/>
          <w:sz w:val="24"/>
          <w:szCs w:val="24"/>
        </w:rPr>
        <w:t xml:space="preserve">Ainsi, plusieurs raisons contribuent déjà à créer des barrières à l’accès au CIPH, </w:t>
      </w:r>
      <w:r w:rsidR="00D64D5C">
        <w:rPr>
          <w:rFonts w:ascii="Arial" w:hAnsi="Arial" w:cs="Arial"/>
          <w:sz w:val="24"/>
          <w:szCs w:val="24"/>
        </w:rPr>
        <w:t>ajouter</w:t>
      </w:r>
      <w:r w:rsidRPr="00926C33">
        <w:rPr>
          <w:rFonts w:ascii="Arial" w:hAnsi="Arial" w:cs="Arial"/>
          <w:sz w:val="24"/>
          <w:szCs w:val="24"/>
        </w:rPr>
        <w:t xml:space="preserve"> un montant de 100$ à chaque demande </w:t>
      </w:r>
      <w:r w:rsidR="00AE79CF" w:rsidRPr="00926C33">
        <w:rPr>
          <w:rFonts w:ascii="Arial" w:hAnsi="Arial" w:cs="Arial"/>
          <w:sz w:val="24"/>
          <w:szCs w:val="24"/>
        </w:rPr>
        <w:t>constitu</w:t>
      </w:r>
      <w:r w:rsidR="005F6E79">
        <w:rPr>
          <w:rFonts w:ascii="Arial" w:hAnsi="Arial" w:cs="Arial"/>
          <w:sz w:val="24"/>
          <w:szCs w:val="24"/>
        </w:rPr>
        <w:t>era un obstacle supplémentaire.</w:t>
      </w:r>
    </w:p>
    <w:p w:rsidR="00F11213" w:rsidRPr="00F11213" w:rsidRDefault="00AD6660" w:rsidP="00884A23">
      <w:pPr>
        <w:spacing w:line="276" w:lineRule="auto"/>
        <w:ind w:left="708"/>
        <w:rPr>
          <w:rFonts w:ascii="Arial" w:hAnsi="Arial" w:cs="Arial"/>
          <w:sz w:val="24"/>
          <w:szCs w:val="24"/>
        </w:rPr>
      </w:pPr>
      <w:r w:rsidRPr="00F11213">
        <w:rPr>
          <w:rFonts w:ascii="Arial" w:hAnsi="Arial" w:cs="Arial"/>
          <w:b/>
          <w:sz w:val="24"/>
          <w:szCs w:val="24"/>
        </w:rPr>
        <w:lastRenderedPageBreak/>
        <w:t>Recommandation</w:t>
      </w:r>
      <w:r w:rsidRPr="00F11213">
        <w:rPr>
          <w:rFonts w:ascii="Arial" w:hAnsi="Arial" w:cs="Arial"/>
          <w:sz w:val="24"/>
          <w:szCs w:val="24"/>
        </w:rPr>
        <w:t xml:space="preserve"> : </w:t>
      </w:r>
      <w:r w:rsidR="00F11213" w:rsidRPr="00F11213">
        <w:rPr>
          <w:rFonts w:ascii="Arial" w:hAnsi="Arial" w:cs="Arial"/>
          <w:sz w:val="24"/>
          <w:szCs w:val="24"/>
        </w:rPr>
        <w:t xml:space="preserve">Qu’un montant de 100 $ soit fixé comme montant plafond et qu’un pourcentage de 10 % soit fixé si une personne retire des sommes liées à son admissibilité du CIPH. </w:t>
      </w:r>
    </w:p>
    <w:p w:rsidR="00811F0B" w:rsidRDefault="00CD7E2B" w:rsidP="00884A23">
      <w:pPr>
        <w:spacing w:line="276" w:lineRule="auto"/>
        <w:rPr>
          <w:rFonts w:ascii="Arial" w:hAnsi="Arial" w:cs="Arial"/>
          <w:sz w:val="24"/>
          <w:szCs w:val="24"/>
        </w:rPr>
      </w:pPr>
      <w:r w:rsidRPr="006843BA">
        <w:rPr>
          <w:rFonts w:ascii="Arial" w:hAnsi="Arial" w:cs="Arial"/>
          <w:sz w:val="24"/>
          <w:szCs w:val="24"/>
        </w:rPr>
        <w:t xml:space="preserve">À la </w:t>
      </w:r>
      <w:r w:rsidR="00F11213" w:rsidRPr="006843BA">
        <w:rPr>
          <w:rFonts w:ascii="Arial" w:hAnsi="Arial" w:cs="Arial"/>
          <w:sz w:val="24"/>
          <w:szCs w:val="24"/>
        </w:rPr>
        <w:t>lecture du document « Questions et réponses à la suite de la publication du Règlement sur les restrictions applicables aux promoteurs</w:t>
      </w:r>
      <w:bookmarkStart w:id="0" w:name="_GoBack"/>
      <w:bookmarkEnd w:id="0"/>
      <w:r w:rsidR="00F11213" w:rsidRPr="006843BA">
        <w:rPr>
          <w:rFonts w:ascii="Arial" w:hAnsi="Arial" w:cs="Arial"/>
          <w:sz w:val="24"/>
          <w:szCs w:val="24"/>
        </w:rPr>
        <w:t xml:space="preserve"> du crédit d’impôt »</w:t>
      </w:r>
      <w:r w:rsidRPr="006843BA">
        <w:rPr>
          <w:rFonts w:ascii="Arial" w:hAnsi="Arial" w:cs="Arial"/>
          <w:sz w:val="24"/>
          <w:szCs w:val="24"/>
        </w:rPr>
        <w:t xml:space="preserve">, nous avons constaté que les promoteurs pourraient </w:t>
      </w:r>
      <w:r w:rsidR="00F11213" w:rsidRPr="006843BA">
        <w:rPr>
          <w:rFonts w:ascii="Arial" w:hAnsi="Arial" w:cs="Arial"/>
          <w:sz w:val="24"/>
          <w:szCs w:val="24"/>
        </w:rPr>
        <w:t>également réclam</w:t>
      </w:r>
      <w:r w:rsidR="001F13A4">
        <w:rPr>
          <w:rFonts w:ascii="Arial" w:hAnsi="Arial" w:cs="Arial"/>
          <w:sz w:val="24"/>
          <w:szCs w:val="24"/>
        </w:rPr>
        <w:t>er</w:t>
      </w:r>
      <w:r w:rsidR="00F11213" w:rsidRPr="006843BA">
        <w:rPr>
          <w:rFonts w:ascii="Arial" w:hAnsi="Arial" w:cs="Arial"/>
          <w:sz w:val="24"/>
          <w:szCs w:val="24"/>
        </w:rPr>
        <w:t xml:space="preserve"> des frais quant à la gestion du REEI. </w:t>
      </w:r>
    </w:p>
    <w:p w:rsidR="00CD7E2B" w:rsidRPr="006843BA" w:rsidRDefault="00811F0B" w:rsidP="00811F0B">
      <w:pPr>
        <w:spacing w:line="276" w:lineRule="auto"/>
        <w:ind w:left="851"/>
        <w:rPr>
          <w:rFonts w:ascii="Arial" w:hAnsi="Arial" w:cs="Arial"/>
          <w:sz w:val="24"/>
          <w:szCs w:val="24"/>
        </w:rPr>
      </w:pPr>
      <w:r w:rsidRPr="00F11213">
        <w:rPr>
          <w:rFonts w:ascii="Arial" w:hAnsi="Arial" w:cs="Arial"/>
          <w:b/>
          <w:sz w:val="24"/>
          <w:szCs w:val="24"/>
        </w:rPr>
        <w:t>Recommandation</w:t>
      </w:r>
      <w:r w:rsidRPr="00F11213">
        <w:rPr>
          <w:rFonts w:ascii="Arial" w:hAnsi="Arial" w:cs="Arial"/>
          <w:sz w:val="24"/>
          <w:szCs w:val="24"/>
        </w:rPr>
        <w:t xml:space="preserve"> : </w:t>
      </w:r>
      <w:r>
        <w:rPr>
          <w:rFonts w:ascii="Arial" w:hAnsi="Arial" w:cs="Arial"/>
          <w:sz w:val="24"/>
          <w:szCs w:val="24"/>
        </w:rPr>
        <w:t>Que le</w:t>
      </w:r>
      <w:r w:rsidR="00CD7E2B" w:rsidRPr="006843BA">
        <w:rPr>
          <w:rFonts w:ascii="Arial" w:hAnsi="Arial" w:cs="Arial"/>
          <w:sz w:val="24"/>
          <w:szCs w:val="24"/>
        </w:rPr>
        <w:t xml:space="preserve"> gouvernement </w:t>
      </w:r>
      <w:r>
        <w:rPr>
          <w:rFonts w:ascii="Arial" w:hAnsi="Arial" w:cs="Arial"/>
          <w:sz w:val="24"/>
          <w:szCs w:val="24"/>
        </w:rPr>
        <w:t>statue</w:t>
      </w:r>
      <w:r w:rsidR="00CD7E2B" w:rsidRPr="006843BA">
        <w:rPr>
          <w:rFonts w:ascii="Arial" w:hAnsi="Arial" w:cs="Arial"/>
          <w:sz w:val="24"/>
          <w:szCs w:val="24"/>
        </w:rPr>
        <w:t xml:space="preserve"> sur </w:t>
      </w:r>
      <w:r w:rsidR="001F13A4">
        <w:rPr>
          <w:rFonts w:ascii="Arial" w:hAnsi="Arial" w:cs="Arial"/>
          <w:sz w:val="24"/>
          <w:szCs w:val="24"/>
        </w:rPr>
        <w:t>des</w:t>
      </w:r>
      <w:r w:rsidR="00CD7E2B" w:rsidRPr="006843BA">
        <w:rPr>
          <w:rFonts w:ascii="Arial" w:hAnsi="Arial" w:cs="Arial"/>
          <w:sz w:val="24"/>
          <w:szCs w:val="24"/>
        </w:rPr>
        <w:t xml:space="preserve"> frais maxima</w:t>
      </w:r>
      <w:r w:rsidR="001F13A4">
        <w:rPr>
          <w:rFonts w:ascii="Arial" w:hAnsi="Arial" w:cs="Arial"/>
          <w:sz w:val="24"/>
          <w:szCs w:val="24"/>
        </w:rPr>
        <w:t>ux</w:t>
      </w:r>
      <w:r w:rsidR="00CD7E2B" w:rsidRPr="006843BA">
        <w:rPr>
          <w:rFonts w:ascii="Arial" w:hAnsi="Arial" w:cs="Arial"/>
          <w:sz w:val="24"/>
          <w:szCs w:val="24"/>
        </w:rPr>
        <w:t xml:space="preserve"> pouvant </w:t>
      </w:r>
      <w:r w:rsidR="00F11213" w:rsidRPr="006843BA">
        <w:rPr>
          <w:rFonts w:ascii="Arial" w:hAnsi="Arial" w:cs="Arial"/>
          <w:sz w:val="24"/>
          <w:szCs w:val="24"/>
        </w:rPr>
        <w:t>être</w:t>
      </w:r>
      <w:r w:rsidR="00CD7E2B" w:rsidRPr="006843BA">
        <w:rPr>
          <w:rFonts w:ascii="Arial" w:hAnsi="Arial" w:cs="Arial"/>
          <w:sz w:val="24"/>
          <w:szCs w:val="24"/>
        </w:rPr>
        <w:t xml:space="preserve"> chargé</w:t>
      </w:r>
      <w:r w:rsidR="001F13A4">
        <w:rPr>
          <w:rFonts w:ascii="Arial" w:hAnsi="Arial" w:cs="Arial"/>
          <w:sz w:val="24"/>
          <w:szCs w:val="24"/>
        </w:rPr>
        <w:t>s</w:t>
      </w:r>
      <w:r w:rsidR="00CD7E2B" w:rsidRPr="006843BA">
        <w:rPr>
          <w:rFonts w:ascii="Arial" w:hAnsi="Arial" w:cs="Arial"/>
          <w:sz w:val="24"/>
          <w:szCs w:val="24"/>
        </w:rPr>
        <w:t xml:space="preserve"> </w:t>
      </w:r>
      <w:r w:rsidR="00F11213" w:rsidRPr="006843BA">
        <w:rPr>
          <w:rFonts w:ascii="Arial" w:hAnsi="Arial" w:cs="Arial"/>
          <w:sz w:val="24"/>
          <w:szCs w:val="24"/>
        </w:rPr>
        <w:t>aux personnes ayant des limitations fonctionnelles</w:t>
      </w:r>
      <w:r>
        <w:rPr>
          <w:rFonts w:ascii="Arial" w:hAnsi="Arial" w:cs="Arial"/>
          <w:sz w:val="24"/>
          <w:szCs w:val="24"/>
        </w:rPr>
        <w:t>, qui font la demande du REEI.</w:t>
      </w:r>
    </w:p>
    <w:p w:rsidR="00923458" w:rsidRDefault="006843BA" w:rsidP="00884A23">
      <w:pPr>
        <w:spacing w:line="276" w:lineRule="auto"/>
        <w:rPr>
          <w:rFonts w:ascii="Arial" w:hAnsi="Arial" w:cs="Arial"/>
          <w:sz w:val="24"/>
          <w:szCs w:val="24"/>
        </w:rPr>
      </w:pPr>
      <w:r>
        <w:rPr>
          <w:rFonts w:ascii="Arial" w:hAnsi="Arial" w:cs="Arial"/>
          <w:sz w:val="24"/>
          <w:szCs w:val="24"/>
        </w:rPr>
        <w:t>Finalement, n</w:t>
      </w:r>
      <w:r w:rsidR="006D45C7" w:rsidRPr="006843BA">
        <w:rPr>
          <w:rFonts w:ascii="Arial" w:hAnsi="Arial" w:cs="Arial"/>
          <w:sz w:val="24"/>
          <w:szCs w:val="24"/>
        </w:rPr>
        <w:t>ous croyons que le gouvernement devrait publiciser cette démarche afin que tant les</w:t>
      </w:r>
      <w:r w:rsidR="006D45C7" w:rsidRPr="00926C33">
        <w:rPr>
          <w:rFonts w:ascii="Arial" w:hAnsi="Arial" w:cs="Arial"/>
          <w:sz w:val="24"/>
          <w:szCs w:val="24"/>
        </w:rPr>
        <w:t xml:space="preserve"> prometteurs que les personnes que nous représentons qui voudront se prémunir du CIPH connaissent les nouveaux montants maximums que les uns peuvent demander et que les autres devront débourser afin d’éviter qu’il y ait des situations frauduleuses.</w:t>
      </w:r>
      <w:r w:rsidR="006D45C7" w:rsidRPr="006D45C7">
        <w:rPr>
          <w:rFonts w:ascii="Arial" w:hAnsi="Arial" w:cs="Arial"/>
          <w:sz w:val="24"/>
          <w:szCs w:val="24"/>
        </w:rPr>
        <w:t xml:space="preserve"> </w:t>
      </w:r>
    </w:p>
    <w:sectPr w:rsidR="00923458" w:rsidSect="00817693">
      <w:footerReference w:type="default" r:id="rId16"/>
      <w:pgSz w:w="12240" w:h="15840"/>
      <w:pgMar w:top="1440" w:right="1080" w:bottom="1440" w:left="108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859" w:rsidRDefault="00311859" w:rsidP="00D9140A">
      <w:pPr>
        <w:spacing w:after="0" w:line="240" w:lineRule="auto"/>
      </w:pPr>
      <w:r>
        <w:separator/>
      </w:r>
    </w:p>
  </w:endnote>
  <w:endnote w:type="continuationSeparator" w:id="0">
    <w:p w:rsidR="00311859" w:rsidRDefault="00311859" w:rsidP="00D91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98" w:rsidRDefault="0071729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693" w:rsidRDefault="00817693">
    <w:pPr>
      <w:pStyle w:val="Pieddepage"/>
      <w:jc w:val="right"/>
    </w:pPr>
  </w:p>
  <w:p w:rsidR="008E45F2" w:rsidRDefault="00311859" w:rsidP="00773F09">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98" w:rsidRDefault="00717298">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0053886"/>
      <w:docPartObj>
        <w:docPartGallery w:val="Page Numbers (Bottom of Page)"/>
        <w:docPartUnique/>
      </w:docPartObj>
    </w:sdtPr>
    <w:sdtEndPr/>
    <w:sdtContent>
      <w:p w:rsidR="00817693" w:rsidRDefault="00817693">
        <w:pPr>
          <w:pStyle w:val="Pieddepage"/>
          <w:jc w:val="right"/>
        </w:pPr>
        <w:r>
          <w:fldChar w:fldCharType="begin"/>
        </w:r>
        <w:r>
          <w:instrText>PAGE   \* MERGEFORMAT</w:instrText>
        </w:r>
        <w:r>
          <w:fldChar w:fldCharType="separate"/>
        </w:r>
        <w:r w:rsidR="00D64A14" w:rsidRPr="00D64A14">
          <w:rPr>
            <w:noProof/>
            <w:lang w:val="fr-FR"/>
          </w:rPr>
          <w:t>3</w:t>
        </w:r>
        <w:r>
          <w:fldChar w:fldCharType="end"/>
        </w:r>
      </w:p>
    </w:sdtContent>
  </w:sdt>
  <w:p w:rsidR="00817693" w:rsidRDefault="00817693" w:rsidP="00773F09">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859" w:rsidRDefault="00311859" w:rsidP="00D9140A">
      <w:pPr>
        <w:spacing w:after="0" w:line="240" w:lineRule="auto"/>
      </w:pPr>
      <w:r>
        <w:separator/>
      </w:r>
    </w:p>
  </w:footnote>
  <w:footnote w:type="continuationSeparator" w:id="0">
    <w:p w:rsidR="00311859" w:rsidRDefault="00311859" w:rsidP="00D9140A">
      <w:pPr>
        <w:spacing w:after="0" w:line="240" w:lineRule="auto"/>
      </w:pPr>
      <w:r>
        <w:continuationSeparator/>
      </w:r>
    </w:p>
  </w:footnote>
  <w:footnote w:id="1">
    <w:p w:rsidR="00C31745" w:rsidRDefault="00C31745" w:rsidP="00C31745">
      <w:pPr>
        <w:pStyle w:val="Notedebasdepage"/>
      </w:pPr>
      <w:r>
        <w:rPr>
          <w:rStyle w:val="Appelnotedebasdep"/>
        </w:rPr>
        <w:footnoteRef/>
      </w:r>
      <w:r>
        <w:t xml:space="preserve"> Canada, Comité sénatorial permanent des affaires sociales, des sciences et de la technologie, « Éliminer les obstacles – Analyse critique du Crédit d’impôt pour personnes handicapées et du Régime enregistré d’épargne-invalidité », juin 2018, p. 3. En ligne : </w:t>
      </w:r>
      <w:hyperlink r:id="rId1" w:history="1">
        <w:r w:rsidRPr="00662E80">
          <w:rPr>
            <w:rStyle w:val="Lienhypertexte"/>
          </w:rPr>
          <w:t>https://sencanada.ca/fr/info-page/parl-42-1/soci-eliminer-les-obstacles/</w:t>
        </w:r>
      </w:hyperlink>
      <w: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98" w:rsidRDefault="00717298">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98" w:rsidRDefault="00717298">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298" w:rsidRDefault="00717298">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2DE5"/>
    <w:multiLevelType w:val="hybridMultilevel"/>
    <w:tmpl w:val="1D5A7B14"/>
    <w:lvl w:ilvl="0" w:tplc="37A2B4FE">
      <w:numFmt w:val="bullet"/>
      <w:lvlText w:val="-"/>
      <w:lvlJc w:val="left"/>
      <w:pPr>
        <w:ind w:left="720" w:hanging="360"/>
      </w:pPr>
      <w:rPr>
        <w:rFonts w:ascii="Calibri" w:eastAsiaTheme="minorHAnsi" w:hAnsi="Calibri"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C7A3850"/>
    <w:multiLevelType w:val="hybridMultilevel"/>
    <w:tmpl w:val="456CAA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6C041FD"/>
    <w:multiLevelType w:val="hybridMultilevel"/>
    <w:tmpl w:val="810872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6D3A0E0C"/>
    <w:multiLevelType w:val="hybridMultilevel"/>
    <w:tmpl w:val="17C09A74"/>
    <w:lvl w:ilvl="0" w:tplc="0102EEAE">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0AA"/>
    <w:rsid w:val="000033C8"/>
    <w:rsid w:val="00014E92"/>
    <w:rsid w:val="000412C2"/>
    <w:rsid w:val="0005266A"/>
    <w:rsid w:val="000550D8"/>
    <w:rsid w:val="00060FF6"/>
    <w:rsid w:val="0006212E"/>
    <w:rsid w:val="00093FAE"/>
    <w:rsid w:val="000E26B4"/>
    <w:rsid w:val="000F597E"/>
    <w:rsid w:val="0012139A"/>
    <w:rsid w:val="00163DC9"/>
    <w:rsid w:val="00190A1C"/>
    <w:rsid w:val="00197D17"/>
    <w:rsid w:val="001B0924"/>
    <w:rsid w:val="001F13A4"/>
    <w:rsid w:val="00207C13"/>
    <w:rsid w:val="0021263D"/>
    <w:rsid w:val="00216D5F"/>
    <w:rsid w:val="00235D4C"/>
    <w:rsid w:val="002946D5"/>
    <w:rsid w:val="002B2E4A"/>
    <w:rsid w:val="0030780C"/>
    <w:rsid w:val="00311859"/>
    <w:rsid w:val="00376E27"/>
    <w:rsid w:val="003920AA"/>
    <w:rsid w:val="003A3066"/>
    <w:rsid w:val="003A6556"/>
    <w:rsid w:val="003C1654"/>
    <w:rsid w:val="003E2035"/>
    <w:rsid w:val="003F17B1"/>
    <w:rsid w:val="00434C7F"/>
    <w:rsid w:val="00436C20"/>
    <w:rsid w:val="004456C1"/>
    <w:rsid w:val="00446ECA"/>
    <w:rsid w:val="004546C2"/>
    <w:rsid w:val="00481B38"/>
    <w:rsid w:val="004A5FF4"/>
    <w:rsid w:val="004B34B7"/>
    <w:rsid w:val="004B42E7"/>
    <w:rsid w:val="004E25F0"/>
    <w:rsid w:val="004F41AC"/>
    <w:rsid w:val="00527028"/>
    <w:rsid w:val="00533078"/>
    <w:rsid w:val="0059271B"/>
    <w:rsid w:val="005A00CA"/>
    <w:rsid w:val="005B0F0A"/>
    <w:rsid w:val="005B481B"/>
    <w:rsid w:val="005C56FD"/>
    <w:rsid w:val="005C722B"/>
    <w:rsid w:val="005F6E79"/>
    <w:rsid w:val="0063061F"/>
    <w:rsid w:val="006374C0"/>
    <w:rsid w:val="00637AD4"/>
    <w:rsid w:val="00645DD7"/>
    <w:rsid w:val="0065303E"/>
    <w:rsid w:val="006843BA"/>
    <w:rsid w:val="006A54FD"/>
    <w:rsid w:val="006D45C7"/>
    <w:rsid w:val="006E05C8"/>
    <w:rsid w:val="00717298"/>
    <w:rsid w:val="00745601"/>
    <w:rsid w:val="00765B9D"/>
    <w:rsid w:val="007B558E"/>
    <w:rsid w:val="007C7DBA"/>
    <w:rsid w:val="007F409D"/>
    <w:rsid w:val="00811F0B"/>
    <w:rsid w:val="00817693"/>
    <w:rsid w:val="00827D06"/>
    <w:rsid w:val="00852423"/>
    <w:rsid w:val="00861562"/>
    <w:rsid w:val="00884A23"/>
    <w:rsid w:val="008B503E"/>
    <w:rsid w:val="008D08A7"/>
    <w:rsid w:val="008F6DFB"/>
    <w:rsid w:val="00923458"/>
    <w:rsid w:val="00926C33"/>
    <w:rsid w:val="00996404"/>
    <w:rsid w:val="009B113D"/>
    <w:rsid w:val="009B47B5"/>
    <w:rsid w:val="00A27E02"/>
    <w:rsid w:val="00A6688D"/>
    <w:rsid w:val="00AB6C4F"/>
    <w:rsid w:val="00AB73B9"/>
    <w:rsid w:val="00AD6660"/>
    <w:rsid w:val="00AE79CF"/>
    <w:rsid w:val="00B12C42"/>
    <w:rsid w:val="00B16F23"/>
    <w:rsid w:val="00B26C86"/>
    <w:rsid w:val="00B271A9"/>
    <w:rsid w:val="00B60B84"/>
    <w:rsid w:val="00B61A07"/>
    <w:rsid w:val="00B77D2E"/>
    <w:rsid w:val="00BA3E60"/>
    <w:rsid w:val="00BB444B"/>
    <w:rsid w:val="00BE0772"/>
    <w:rsid w:val="00C31745"/>
    <w:rsid w:val="00C57464"/>
    <w:rsid w:val="00C6015A"/>
    <w:rsid w:val="00CB241D"/>
    <w:rsid w:val="00CD7E2B"/>
    <w:rsid w:val="00D11F5D"/>
    <w:rsid w:val="00D202A5"/>
    <w:rsid w:val="00D30007"/>
    <w:rsid w:val="00D64A14"/>
    <w:rsid w:val="00D64D5C"/>
    <w:rsid w:val="00D9140A"/>
    <w:rsid w:val="00DD5F85"/>
    <w:rsid w:val="00DD7E36"/>
    <w:rsid w:val="00DF75BB"/>
    <w:rsid w:val="00E06C74"/>
    <w:rsid w:val="00E1106D"/>
    <w:rsid w:val="00E11119"/>
    <w:rsid w:val="00F04525"/>
    <w:rsid w:val="00F11213"/>
    <w:rsid w:val="00F1434E"/>
    <w:rsid w:val="00F15339"/>
    <w:rsid w:val="00F33905"/>
    <w:rsid w:val="00F37938"/>
    <w:rsid w:val="00F55F29"/>
    <w:rsid w:val="00F67754"/>
    <w:rsid w:val="00F90734"/>
    <w:rsid w:val="00FA2050"/>
    <w:rsid w:val="00FC708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62EEB"/>
  <w15:chartTrackingRefBased/>
  <w15:docId w15:val="{AAFA93D1-1C0A-434B-8CA4-E13EE7C9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F112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0AA"/>
    <w:pPr>
      <w:ind w:left="720"/>
      <w:contextualSpacing/>
    </w:pPr>
  </w:style>
  <w:style w:type="paragraph" w:styleId="En-tte">
    <w:name w:val="header"/>
    <w:basedOn w:val="Normal"/>
    <w:link w:val="En-tteCar"/>
    <w:uiPriority w:val="99"/>
    <w:unhideWhenUsed/>
    <w:rsid w:val="0005266A"/>
    <w:pPr>
      <w:tabs>
        <w:tab w:val="center" w:pos="4320"/>
        <w:tab w:val="right" w:pos="8640"/>
      </w:tabs>
      <w:spacing w:after="0" w:line="276" w:lineRule="auto"/>
    </w:pPr>
    <w:rPr>
      <w:sz w:val="24"/>
      <w:szCs w:val="24"/>
    </w:rPr>
  </w:style>
  <w:style w:type="character" w:customStyle="1" w:styleId="En-tteCar">
    <w:name w:val="En-tête Car"/>
    <w:basedOn w:val="Policepardfaut"/>
    <w:link w:val="En-tte"/>
    <w:uiPriority w:val="99"/>
    <w:rsid w:val="0005266A"/>
    <w:rPr>
      <w:sz w:val="24"/>
      <w:szCs w:val="24"/>
    </w:rPr>
  </w:style>
  <w:style w:type="paragraph" w:styleId="Pieddepage">
    <w:name w:val="footer"/>
    <w:basedOn w:val="Normal"/>
    <w:link w:val="PieddepageCar"/>
    <w:uiPriority w:val="99"/>
    <w:unhideWhenUsed/>
    <w:rsid w:val="0005266A"/>
    <w:pPr>
      <w:tabs>
        <w:tab w:val="center" w:pos="4320"/>
        <w:tab w:val="right" w:pos="8640"/>
      </w:tabs>
      <w:spacing w:after="0" w:line="276" w:lineRule="auto"/>
    </w:pPr>
    <w:rPr>
      <w:sz w:val="24"/>
      <w:szCs w:val="24"/>
    </w:rPr>
  </w:style>
  <w:style w:type="character" w:customStyle="1" w:styleId="PieddepageCar">
    <w:name w:val="Pied de page Car"/>
    <w:basedOn w:val="Policepardfaut"/>
    <w:link w:val="Pieddepage"/>
    <w:uiPriority w:val="99"/>
    <w:rsid w:val="0005266A"/>
    <w:rPr>
      <w:sz w:val="24"/>
      <w:szCs w:val="24"/>
    </w:rPr>
  </w:style>
  <w:style w:type="paragraph" w:styleId="Titre">
    <w:name w:val="Title"/>
    <w:basedOn w:val="Normal"/>
    <w:next w:val="Normal"/>
    <w:link w:val="TitreCar"/>
    <w:uiPriority w:val="10"/>
    <w:qFormat/>
    <w:rsid w:val="0005266A"/>
    <w:pPr>
      <w:spacing w:after="0" w:line="276"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05266A"/>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unhideWhenUsed/>
    <w:rsid w:val="00376E27"/>
    <w:rPr>
      <w:color w:val="0563C1" w:themeColor="hyperlink"/>
      <w:u w:val="single"/>
    </w:rPr>
  </w:style>
  <w:style w:type="paragraph" w:styleId="Notedebasdepage">
    <w:name w:val="footnote text"/>
    <w:basedOn w:val="Normal"/>
    <w:link w:val="NotedebasdepageCar"/>
    <w:uiPriority w:val="99"/>
    <w:semiHidden/>
    <w:unhideWhenUsed/>
    <w:rsid w:val="00D9140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9140A"/>
    <w:rPr>
      <w:sz w:val="20"/>
      <w:szCs w:val="20"/>
    </w:rPr>
  </w:style>
  <w:style w:type="character" w:styleId="Appelnotedebasdep">
    <w:name w:val="footnote reference"/>
    <w:basedOn w:val="Policepardfaut"/>
    <w:uiPriority w:val="99"/>
    <w:semiHidden/>
    <w:unhideWhenUsed/>
    <w:rsid w:val="00D9140A"/>
    <w:rPr>
      <w:vertAlign w:val="superscript"/>
    </w:rPr>
  </w:style>
  <w:style w:type="paragraph" w:styleId="NormalWeb">
    <w:name w:val="Normal (Web)"/>
    <w:basedOn w:val="Normal"/>
    <w:uiPriority w:val="99"/>
    <w:semiHidden/>
    <w:unhideWhenUsed/>
    <w:rsid w:val="0063061F"/>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Titre1Car">
    <w:name w:val="Titre 1 Car"/>
    <w:basedOn w:val="Policepardfaut"/>
    <w:link w:val="Titre1"/>
    <w:uiPriority w:val="9"/>
    <w:rsid w:val="00F11213"/>
    <w:rPr>
      <w:rFonts w:ascii="Times New Roman" w:eastAsia="Times New Roman" w:hAnsi="Times New Roman" w:cs="Times New Roman"/>
      <w:b/>
      <w:bCs/>
      <w:kern w:val="36"/>
      <w:sz w:val="48"/>
      <w:szCs w:val="48"/>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99142">
      <w:bodyDiv w:val="1"/>
      <w:marLeft w:val="0"/>
      <w:marRight w:val="0"/>
      <w:marTop w:val="0"/>
      <w:marBottom w:val="0"/>
      <w:divBdr>
        <w:top w:val="none" w:sz="0" w:space="0" w:color="auto"/>
        <w:left w:val="none" w:sz="0" w:space="0" w:color="auto"/>
        <w:bottom w:val="none" w:sz="0" w:space="0" w:color="auto"/>
        <w:right w:val="none" w:sz="0" w:space="0" w:color="auto"/>
      </w:divBdr>
      <w:divsChild>
        <w:div w:id="1810248245">
          <w:marLeft w:val="0"/>
          <w:marRight w:val="0"/>
          <w:marTop w:val="0"/>
          <w:marBottom w:val="0"/>
          <w:divBdr>
            <w:top w:val="none" w:sz="0" w:space="0" w:color="auto"/>
            <w:left w:val="none" w:sz="0" w:space="0" w:color="auto"/>
            <w:bottom w:val="none" w:sz="0" w:space="0" w:color="auto"/>
            <w:right w:val="none" w:sz="0" w:space="0" w:color="auto"/>
          </w:divBdr>
          <w:divsChild>
            <w:div w:id="1320424286">
              <w:marLeft w:val="0"/>
              <w:marRight w:val="0"/>
              <w:marTop w:val="0"/>
              <w:marBottom w:val="0"/>
              <w:divBdr>
                <w:top w:val="none" w:sz="0" w:space="0" w:color="auto"/>
                <w:left w:val="none" w:sz="0" w:space="0" w:color="auto"/>
                <w:bottom w:val="none" w:sz="0" w:space="0" w:color="auto"/>
                <w:right w:val="none" w:sz="0" w:space="0" w:color="auto"/>
              </w:divBdr>
            </w:div>
          </w:divsChild>
        </w:div>
        <w:div w:id="433332807">
          <w:marLeft w:val="0"/>
          <w:marRight w:val="0"/>
          <w:marTop w:val="0"/>
          <w:marBottom w:val="0"/>
          <w:divBdr>
            <w:top w:val="none" w:sz="0" w:space="0" w:color="auto"/>
            <w:left w:val="none" w:sz="0" w:space="0" w:color="auto"/>
            <w:bottom w:val="none" w:sz="0" w:space="0" w:color="auto"/>
            <w:right w:val="none" w:sz="0" w:space="0" w:color="auto"/>
          </w:divBdr>
          <w:divsChild>
            <w:div w:id="1118374530">
              <w:marLeft w:val="-225"/>
              <w:marRight w:val="-225"/>
              <w:marTop w:val="0"/>
              <w:marBottom w:val="0"/>
              <w:divBdr>
                <w:top w:val="none" w:sz="0" w:space="0" w:color="auto"/>
                <w:left w:val="none" w:sz="0" w:space="0" w:color="auto"/>
                <w:bottom w:val="none" w:sz="0" w:space="0" w:color="auto"/>
                <w:right w:val="none" w:sz="0" w:space="0" w:color="auto"/>
              </w:divBdr>
              <w:divsChild>
                <w:div w:id="876042177">
                  <w:marLeft w:val="0"/>
                  <w:marRight w:val="0"/>
                  <w:marTop w:val="0"/>
                  <w:marBottom w:val="0"/>
                  <w:divBdr>
                    <w:top w:val="none" w:sz="0" w:space="0" w:color="auto"/>
                    <w:left w:val="none" w:sz="0" w:space="0" w:color="auto"/>
                    <w:bottom w:val="none" w:sz="0" w:space="0" w:color="auto"/>
                    <w:right w:val="none" w:sz="0" w:space="0" w:color="auto"/>
                  </w:divBdr>
                </w:div>
                <w:div w:id="1568491043">
                  <w:marLeft w:val="7313"/>
                  <w:marRight w:val="0"/>
                  <w:marTop w:val="0"/>
                  <w:marBottom w:val="0"/>
                  <w:divBdr>
                    <w:top w:val="none" w:sz="0" w:space="0" w:color="auto"/>
                    <w:left w:val="none" w:sz="0" w:space="0" w:color="auto"/>
                    <w:bottom w:val="none" w:sz="0" w:space="0" w:color="auto"/>
                    <w:right w:val="none" w:sz="0" w:space="0" w:color="auto"/>
                  </w:divBdr>
                  <w:divsChild>
                    <w:div w:id="4560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6573841">
          <w:marLeft w:val="0"/>
          <w:marRight w:val="0"/>
          <w:marTop w:val="0"/>
          <w:marBottom w:val="0"/>
          <w:divBdr>
            <w:top w:val="none" w:sz="0" w:space="0" w:color="auto"/>
            <w:left w:val="none" w:sz="0" w:space="0" w:color="auto"/>
            <w:bottom w:val="none" w:sz="0" w:space="0" w:color="auto"/>
            <w:right w:val="none" w:sz="0" w:space="0" w:color="auto"/>
          </w:divBdr>
          <w:divsChild>
            <w:div w:id="1963151208">
              <w:marLeft w:val="0"/>
              <w:marRight w:val="0"/>
              <w:marTop w:val="0"/>
              <w:marBottom w:val="0"/>
              <w:divBdr>
                <w:top w:val="none" w:sz="0" w:space="0" w:color="auto"/>
                <w:left w:val="none" w:sz="0" w:space="0" w:color="auto"/>
                <w:bottom w:val="none" w:sz="0" w:space="0" w:color="auto"/>
                <w:right w:val="none" w:sz="0" w:space="0" w:color="auto"/>
              </w:divBdr>
              <w:divsChild>
                <w:div w:id="209457373">
                  <w:marLeft w:val="0"/>
                  <w:marRight w:val="0"/>
                  <w:marTop w:val="0"/>
                  <w:marBottom w:val="0"/>
                  <w:divBdr>
                    <w:top w:val="none" w:sz="0" w:space="0" w:color="auto"/>
                    <w:left w:val="none" w:sz="0" w:space="0" w:color="auto"/>
                    <w:bottom w:val="none" w:sz="0" w:space="0" w:color="auto"/>
                    <w:right w:val="none" w:sz="0" w:space="0" w:color="auto"/>
                  </w:divBdr>
                </w:div>
                <w:div w:id="246813603">
                  <w:marLeft w:val="0"/>
                  <w:marRight w:val="0"/>
                  <w:marTop w:val="0"/>
                  <w:marBottom w:val="0"/>
                  <w:divBdr>
                    <w:top w:val="none" w:sz="0" w:space="0" w:color="auto"/>
                    <w:left w:val="none" w:sz="0" w:space="0" w:color="auto"/>
                    <w:bottom w:val="none" w:sz="0" w:space="0" w:color="auto"/>
                    <w:right w:val="none" w:sz="0" w:space="0" w:color="auto"/>
                  </w:divBdr>
                  <w:divsChild>
                    <w:div w:id="1061171447">
                      <w:marLeft w:val="0"/>
                      <w:marRight w:val="0"/>
                      <w:marTop w:val="0"/>
                      <w:marBottom w:val="0"/>
                      <w:divBdr>
                        <w:top w:val="none" w:sz="0" w:space="0" w:color="auto"/>
                        <w:left w:val="none" w:sz="0" w:space="0" w:color="auto"/>
                        <w:bottom w:val="none" w:sz="0" w:space="0" w:color="auto"/>
                        <w:right w:val="none" w:sz="0" w:space="0" w:color="auto"/>
                      </w:divBdr>
                      <w:divsChild>
                        <w:div w:id="12654549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4995453">
      <w:bodyDiv w:val="1"/>
      <w:marLeft w:val="0"/>
      <w:marRight w:val="0"/>
      <w:marTop w:val="0"/>
      <w:marBottom w:val="0"/>
      <w:divBdr>
        <w:top w:val="none" w:sz="0" w:space="0" w:color="auto"/>
        <w:left w:val="none" w:sz="0" w:space="0" w:color="auto"/>
        <w:bottom w:val="none" w:sz="0" w:space="0" w:color="auto"/>
        <w:right w:val="none" w:sz="0" w:space="0" w:color="auto"/>
      </w:divBdr>
    </w:div>
    <w:div w:id="15356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cophan.org/wp-content/uploads/2018/09/2018-09-12-MEM-COPHAN-CIPH.pdf"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sencanada.ca/fr/info-page/parl-42-1/soci-eliminer-les-obstacl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C9F69-B60C-4B52-B6EF-434E99AE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1002</Words>
  <Characters>5512</Characters>
  <Application>Microsoft Office Word</Application>
  <DocSecurity>0</DocSecurity>
  <Lines>45</Lines>
  <Paragraphs>13</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COPHAN</cp:lastModifiedBy>
  <cp:revision>80</cp:revision>
  <dcterms:created xsi:type="dcterms:W3CDTF">2019-06-25T15:04:00Z</dcterms:created>
  <dcterms:modified xsi:type="dcterms:W3CDTF">2019-07-02T19:26:00Z</dcterms:modified>
</cp:coreProperties>
</file>