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78" w:rsidRPr="00FE54FF" w:rsidRDefault="0026241F" w:rsidP="00987CB6">
      <w:pPr>
        <w:rPr>
          <w:rFonts w:ascii="Arial" w:hAnsi="Arial" w:cs="Arial"/>
          <w:sz w:val="24"/>
          <w:szCs w:val="24"/>
        </w:rPr>
      </w:pPr>
      <w:r>
        <w:rPr>
          <w:rFonts w:ascii="Arial" w:hAnsi="Arial" w:cs="Arial"/>
          <w:sz w:val="24"/>
          <w:szCs w:val="24"/>
        </w:rPr>
        <w:t xml:space="preserve"> </w:t>
      </w:r>
      <w:r w:rsidR="00636078" w:rsidRPr="00FE54FF">
        <w:rPr>
          <w:rFonts w:ascii="Arial" w:hAnsi="Arial" w:cs="Arial"/>
          <w:noProof/>
          <w:lang w:eastAsia="fr-CA"/>
        </w:rPr>
        <w:drawing>
          <wp:inline distT="0" distB="0" distL="0" distR="0" wp14:anchorId="16CB9874" wp14:editId="1BA463A6">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rsidR="00636078" w:rsidRDefault="00636078" w:rsidP="00987CB6">
      <w:pPr>
        <w:rPr>
          <w:rFonts w:ascii="Arial" w:hAnsi="Arial" w:cs="Arial"/>
        </w:rPr>
      </w:pPr>
    </w:p>
    <w:p w:rsidR="00873E36" w:rsidRDefault="00873E36" w:rsidP="00987CB6">
      <w:pPr>
        <w:rPr>
          <w:rFonts w:ascii="Arial" w:hAnsi="Arial" w:cs="Arial"/>
          <w:b/>
          <w:sz w:val="36"/>
          <w:szCs w:val="36"/>
        </w:rPr>
      </w:pPr>
    </w:p>
    <w:p w:rsidR="00883FF5" w:rsidRPr="00636078" w:rsidRDefault="00883FF5" w:rsidP="00987CB6">
      <w:pPr>
        <w:rPr>
          <w:rFonts w:ascii="Arial" w:hAnsi="Arial" w:cs="Arial"/>
          <w:b/>
          <w:sz w:val="36"/>
          <w:szCs w:val="36"/>
        </w:rPr>
      </w:pPr>
    </w:p>
    <w:p w:rsidR="00636078" w:rsidRPr="00CD1828" w:rsidRDefault="00636078" w:rsidP="00987CB6">
      <w:pPr>
        <w:pBdr>
          <w:bottom w:val="single" w:sz="4" w:space="1" w:color="auto"/>
        </w:pBdr>
        <w:rPr>
          <w:rFonts w:ascii="Arial" w:hAnsi="Arial" w:cs="Arial"/>
          <w:b/>
          <w:i/>
          <w:sz w:val="36"/>
          <w:szCs w:val="36"/>
        </w:rPr>
      </w:pPr>
      <w:r w:rsidRPr="00636078">
        <w:rPr>
          <w:rFonts w:ascii="Arial" w:hAnsi="Arial" w:cs="Arial"/>
          <w:b/>
          <w:sz w:val="36"/>
          <w:szCs w:val="36"/>
        </w:rPr>
        <w:t xml:space="preserve">Mémoire sur le projet </w:t>
      </w:r>
      <w:r>
        <w:rPr>
          <w:rFonts w:ascii="Arial" w:hAnsi="Arial" w:cs="Arial"/>
          <w:b/>
          <w:sz w:val="36"/>
          <w:szCs w:val="36"/>
        </w:rPr>
        <w:t xml:space="preserve">C-81 – </w:t>
      </w:r>
      <w:r w:rsidRPr="00CD1828">
        <w:rPr>
          <w:rFonts w:ascii="Arial" w:hAnsi="Arial" w:cs="Arial"/>
          <w:b/>
          <w:i/>
          <w:sz w:val="36"/>
          <w:szCs w:val="36"/>
        </w:rPr>
        <w:t xml:space="preserve">Loi visant à faire du Canada un pays exempt d’obstacles </w:t>
      </w:r>
    </w:p>
    <w:p w:rsidR="00636078" w:rsidRPr="00FE54FF" w:rsidRDefault="00636078" w:rsidP="00987CB6">
      <w:pPr>
        <w:rPr>
          <w:rFonts w:ascii="Arial" w:hAnsi="Arial" w:cs="Arial"/>
          <w:sz w:val="32"/>
        </w:rPr>
      </w:pPr>
    </w:p>
    <w:p w:rsidR="00636078" w:rsidRPr="00FE54FF" w:rsidRDefault="00636078" w:rsidP="00987CB6">
      <w:pPr>
        <w:rPr>
          <w:rFonts w:ascii="Arial" w:hAnsi="Arial" w:cs="Arial"/>
          <w:sz w:val="32"/>
          <w:szCs w:val="32"/>
        </w:rPr>
      </w:pPr>
      <w:r w:rsidRPr="00D03562">
        <w:rPr>
          <w:rFonts w:ascii="Arial" w:hAnsi="Arial" w:cs="Arial"/>
          <w:sz w:val="32"/>
        </w:rPr>
        <w:t>Remis par la Confédérat</w:t>
      </w:r>
      <w:r w:rsidR="0060476F" w:rsidRPr="00D03562">
        <w:rPr>
          <w:rFonts w:ascii="Arial" w:hAnsi="Arial" w:cs="Arial"/>
          <w:sz w:val="32"/>
        </w:rPr>
        <w:t xml:space="preserve">ion des organismes de personnes </w:t>
      </w:r>
      <w:bookmarkStart w:id="0" w:name="_GoBack"/>
      <w:r w:rsidRPr="00D03562">
        <w:rPr>
          <w:rFonts w:ascii="Arial" w:hAnsi="Arial" w:cs="Arial"/>
          <w:sz w:val="32"/>
        </w:rPr>
        <w:t>handicapées</w:t>
      </w:r>
      <w:bookmarkEnd w:id="0"/>
      <w:r w:rsidRPr="00D03562">
        <w:rPr>
          <w:rFonts w:ascii="Arial" w:hAnsi="Arial" w:cs="Arial"/>
          <w:sz w:val="32"/>
        </w:rPr>
        <w:t xml:space="preserve"> du </w:t>
      </w:r>
      <w:r w:rsidRPr="00D03562">
        <w:rPr>
          <w:rFonts w:ascii="Arial" w:hAnsi="Arial" w:cs="Arial"/>
          <w:sz w:val="32"/>
          <w:szCs w:val="32"/>
        </w:rPr>
        <w:t xml:space="preserve">Québec (« COPHAN ») </w:t>
      </w:r>
      <w:r w:rsidR="00394259" w:rsidRPr="00D03562">
        <w:rPr>
          <w:rFonts w:ascii="Arial" w:hAnsi="Arial" w:cs="Arial"/>
          <w:sz w:val="32"/>
          <w:szCs w:val="32"/>
        </w:rPr>
        <w:t>au Comité permanent des ressources humaines, du développement des compétences, du développement social et de la condition des personnes handicapées</w:t>
      </w:r>
      <w:r w:rsidR="00394259">
        <w:rPr>
          <w:rFonts w:ascii="Arial" w:hAnsi="Arial" w:cs="Arial"/>
          <w:sz w:val="32"/>
          <w:szCs w:val="32"/>
        </w:rPr>
        <w:t xml:space="preserve"> </w:t>
      </w:r>
    </w:p>
    <w:p w:rsidR="00636078" w:rsidRPr="00FE54FF" w:rsidRDefault="00636078" w:rsidP="00987CB6">
      <w:pPr>
        <w:rPr>
          <w:rFonts w:ascii="Arial" w:hAnsi="Arial" w:cs="Arial"/>
          <w:sz w:val="24"/>
          <w:szCs w:val="24"/>
        </w:rPr>
      </w:pPr>
    </w:p>
    <w:p w:rsidR="00636078" w:rsidRDefault="00636078" w:rsidP="00987CB6">
      <w:pPr>
        <w:rPr>
          <w:rFonts w:ascii="Arial" w:hAnsi="Arial" w:cs="Arial"/>
          <w:sz w:val="24"/>
          <w:szCs w:val="24"/>
        </w:rPr>
      </w:pPr>
    </w:p>
    <w:p w:rsidR="00636078" w:rsidRDefault="00636078" w:rsidP="00987CB6">
      <w:pPr>
        <w:rPr>
          <w:rFonts w:ascii="Arial" w:hAnsi="Arial" w:cs="Arial"/>
          <w:sz w:val="24"/>
          <w:szCs w:val="24"/>
        </w:rPr>
      </w:pPr>
    </w:p>
    <w:p w:rsidR="00636078" w:rsidRDefault="00636078" w:rsidP="00987CB6">
      <w:pPr>
        <w:rPr>
          <w:rFonts w:ascii="Arial" w:hAnsi="Arial" w:cs="Arial"/>
          <w:sz w:val="24"/>
          <w:szCs w:val="24"/>
        </w:rPr>
      </w:pPr>
    </w:p>
    <w:p w:rsidR="00B24679" w:rsidRDefault="00B24679" w:rsidP="00987CB6">
      <w:pPr>
        <w:rPr>
          <w:rFonts w:ascii="Arial" w:hAnsi="Arial" w:cs="Arial"/>
          <w:sz w:val="24"/>
          <w:szCs w:val="24"/>
        </w:rPr>
      </w:pPr>
    </w:p>
    <w:p w:rsidR="00B24679" w:rsidRPr="00FE54FF" w:rsidRDefault="00B24679" w:rsidP="00987CB6">
      <w:pPr>
        <w:rPr>
          <w:rFonts w:ascii="Arial" w:hAnsi="Arial" w:cs="Arial"/>
          <w:sz w:val="24"/>
          <w:szCs w:val="24"/>
        </w:rPr>
      </w:pPr>
    </w:p>
    <w:p w:rsidR="00636078" w:rsidRDefault="00636078" w:rsidP="00987CB6">
      <w:pPr>
        <w:rPr>
          <w:rFonts w:ascii="Arial" w:hAnsi="Arial" w:cs="Arial"/>
          <w:b/>
          <w:sz w:val="36"/>
          <w:szCs w:val="36"/>
        </w:rPr>
      </w:pPr>
    </w:p>
    <w:p w:rsidR="00BA2598" w:rsidRDefault="00394259" w:rsidP="00987CB6">
      <w:pPr>
        <w:rPr>
          <w:rFonts w:ascii="Arial" w:hAnsi="Arial" w:cs="Arial"/>
          <w:b/>
          <w:sz w:val="36"/>
          <w:szCs w:val="36"/>
        </w:rPr>
        <w:sectPr w:rsidR="00BA2598" w:rsidSect="001E488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r>
        <w:rPr>
          <w:rFonts w:ascii="Arial" w:hAnsi="Arial" w:cs="Arial"/>
          <w:b/>
          <w:sz w:val="36"/>
          <w:szCs w:val="36"/>
        </w:rPr>
        <w:t>Octobre</w:t>
      </w:r>
      <w:r w:rsidR="00636078" w:rsidRPr="00FE54FF">
        <w:rPr>
          <w:rFonts w:ascii="Arial" w:hAnsi="Arial" w:cs="Arial"/>
          <w:b/>
          <w:sz w:val="36"/>
          <w:szCs w:val="36"/>
        </w:rPr>
        <w:t xml:space="preserve"> 2018</w:t>
      </w:r>
    </w:p>
    <w:p w:rsidR="003250F5" w:rsidRPr="003250F5" w:rsidRDefault="00B24679" w:rsidP="00987CB6">
      <w:pPr>
        <w:pStyle w:val="Titre1"/>
        <w:spacing w:line="276" w:lineRule="auto"/>
        <w:rPr>
          <w:b/>
          <w:color w:val="auto"/>
        </w:rPr>
      </w:pPr>
      <w:r>
        <w:rPr>
          <w:b/>
          <w:color w:val="auto"/>
        </w:rPr>
        <w:lastRenderedPageBreak/>
        <w:t>I</w:t>
      </w:r>
      <w:r w:rsidR="003250F5" w:rsidRPr="003250F5">
        <w:rPr>
          <w:b/>
          <w:color w:val="auto"/>
        </w:rPr>
        <w:t xml:space="preserve">ntroduction </w:t>
      </w:r>
    </w:p>
    <w:p w:rsidR="000A4247" w:rsidRDefault="00B044C2" w:rsidP="00987CB6">
      <w:pPr>
        <w:rPr>
          <w:rFonts w:ascii="Arial" w:hAnsi="Arial" w:cs="Arial"/>
          <w:sz w:val="24"/>
          <w:szCs w:val="24"/>
        </w:rPr>
      </w:pPr>
      <w:r w:rsidRPr="00B044C2">
        <w:rPr>
          <w:rFonts w:ascii="Arial" w:hAnsi="Arial" w:cs="Arial"/>
          <w:sz w:val="24"/>
          <w:szCs w:val="24"/>
        </w:rPr>
        <w:t>Le présent document contient les commentaires de la Confédération des organismes de personnes handicapées du Québec (</w:t>
      </w:r>
      <w:r w:rsidR="00CD1828">
        <w:rPr>
          <w:rFonts w:ascii="Arial" w:hAnsi="Arial" w:cs="Arial"/>
          <w:sz w:val="24"/>
          <w:szCs w:val="24"/>
        </w:rPr>
        <w:t xml:space="preserve">COPHAN) concernant </w:t>
      </w:r>
      <w:r w:rsidR="00514974">
        <w:rPr>
          <w:rFonts w:ascii="Arial" w:hAnsi="Arial" w:cs="Arial"/>
          <w:sz w:val="24"/>
          <w:szCs w:val="24"/>
        </w:rPr>
        <w:t xml:space="preserve">la </w:t>
      </w:r>
      <w:r w:rsidR="00CD1828">
        <w:rPr>
          <w:rFonts w:ascii="Arial" w:hAnsi="Arial" w:cs="Arial"/>
          <w:sz w:val="24"/>
          <w:szCs w:val="24"/>
        </w:rPr>
        <w:t>« Loi visant à faire du Canad</w:t>
      </w:r>
      <w:r w:rsidR="005F3EFA">
        <w:rPr>
          <w:rFonts w:ascii="Arial" w:hAnsi="Arial" w:cs="Arial"/>
          <w:sz w:val="24"/>
          <w:szCs w:val="24"/>
        </w:rPr>
        <w:t>a un pays exempt d’obstacles »</w:t>
      </w:r>
      <w:r w:rsidR="00F6110E">
        <w:rPr>
          <w:rFonts w:ascii="Arial" w:hAnsi="Arial" w:cs="Arial"/>
          <w:sz w:val="24"/>
          <w:szCs w:val="24"/>
        </w:rPr>
        <w:t xml:space="preserve"> (ci-après « Loi »)</w:t>
      </w:r>
      <w:r w:rsidR="005F3EFA">
        <w:rPr>
          <w:rFonts w:ascii="Arial" w:hAnsi="Arial" w:cs="Arial"/>
          <w:sz w:val="24"/>
          <w:szCs w:val="24"/>
        </w:rPr>
        <w:t>.</w:t>
      </w:r>
      <w:r w:rsidR="0001368B">
        <w:rPr>
          <w:rFonts w:ascii="Arial" w:hAnsi="Arial" w:cs="Arial"/>
          <w:sz w:val="24"/>
          <w:szCs w:val="24"/>
        </w:rPr>
        <w:t xml:space="preserve"> </w:t>
      </w:r>
      <w:r w:rsidR="00CD1828">
        <w:rPr>
          <w:rFonts w:ascii="Arial" w:hAnsi="Arial" w:cs="Arial"/>
          <w:sz w:val="24"/>
          <w:szCs w:val="24"/>
        </w:rPr>
        <w:t>L</w:t>
      </w:r>
      <w:r w:rsidR="00D03562">
        <w:rPr>
          <w:rFonts w:ascii="Arial" w:hAnsi="Arial" w:cs="Arial"/>
          <w:sz w:val="24"/>
          <w:szCs w:val="24"/>
        </w:rPr>
        <w:t>es recommandations contenues dans ce mémoire sont basées sur l’ensemble des consultations des deux dernières années</w:t>
      </w:r>
      <w:r w:rsidR="005F3EFA">
        <w:rPr>
          <w:rStyle w:val="Appelnotedebasdep"/>
          <w:rFonts w:ascii="Arial" w:hAnsi="Arial" w:cs="Arial"/>
          <w:sz w:val="24"/>
          <w:szCs w:val="24"/>
        </w:rPr>
        <w:footnoteReference w:id="1"/>
      </w:r>
      <w:r w:rsidR="0060476F">
        <w:rPr>
          <w:rFonts w:ascii="Arial" w:hAnsi="Arial" w:cs="Arial"/>
          <w:sz w:val="24"/>
          <w:szCs w:val="24"/>
        </w:rPr>
        <w:t xml:space="preserve">. </w:t>
      </w:r>
    </w:p>
    <w:p w:rsidR="00987CB6" w:rsidRPr="00987CB6" w:rsidRDefault="00A252BA" w:rsidP="00987CB6">
      <w:pPr>
        <w:pStyle w:val="Titre1"/>
        <w:spacing w:line="276" w:lineRule="auto"/>
        <w:rPr>
          <w:b/>
          <w:color w:val="auto"/>
        </w:rPr>
      </w:pPr>
      <w:r>
        <w:rPr>
          <w:b/>
          <w:color w:val="auto"/>
        </w:rPr>
        <w:t xml:space="preserve">Définitions </w:t>
      </w:r>
    </w:p>
    <w:p w:rsidR="00987CB6" w:rsidRDefault="00324FE9" w:rsidP="00987CB6">
      <w:pPr>
        <w:rPr>
          <w:rFonts w:ascii="Arial" w:hAnsi="Arial" w:cs="Arial"/>
          <w:sz w:val="24"/>
          <w:szCs w:val="24"/>
        </w:rPr>
      </w:pPr>
      <w:r w:rsidRPr="009D379E">
        <w:rPr>
          <w:rFonts w:ascii="Arial" w:hAnsi="Arial" w:cs="Arial"/>
          <w:sz w:val="24"/>
          <w:szCs w:val="24"/>
        </w:rPr>
        <w:t xml:space="preserve">D’abord, </w:t>
      </w:r>
      <w:r w:rsidR="00883D81" w:rsidRPr="009D379E">
        <w:rPr>
          <w:rFonts w:ascii="Arial" w:hAnsi="Arial" w:cs="Arial"/>
          <w:sz w:val="24"/>
          <w:szCs w:val="24"/>
        </w:rPr>
        <w:t>le titre doit</w:t>
      </w:r>
      <w:r w:rsidR="006E431E">
        <w:rPr>
          <w:rFonts w:ascii="Arial" w:hAnsi="Arial" w:cs="Arial"/>
          <w:sz w:val="24"/>
          <w:szCs w:val="24"/>
        </w:rPr>
        <w:t xml:space="preserve"> nécessairement</w:t>
      </w:r>
      <w:r w:rsidR="00883D81" w:rsidRPr="009D379E">
        <w:rPr>
          <w:rFonts w:ascii="Arial" w:hAnsi="Arial" w:cs="Arial"/>
          <w:sz w:val="24"/>
          <w:szCs w:val="24"/>
        </w:rPr>
        <w:t xml:space="preserve"> inclure le terme « handicap », sans quoi cela cré</w:t>
      </w:r>
      <w:r w:rsidR="0021514F">
        <w:rPr>
          <w:rFonts w:ascii="Arial" w:hAnsi="Arial" w:cs="Arial"/>
          <w:sz w:val="24"/>
          <w:szCs w:val="24"/>
        </w:rPr>
        <w:t>e</w:t>
      </w:r>
      <w:r w:rsidR="00883D81" w:rsidRPr="009D379E">
        <w:rPr>
          <w:rFonts w:ascii="Arial" w:hAnsi="Arial" w:cs="Arial"/>
          <w:sz w:val="24"/>
          <w:szCs w:val="24"/>
        </w:rPr>
        <w:t xml:space="preserve"> un flou dès le départ sur l’objet </w:t>
      </w:r>
      <w:r w:rsidR="002352E0">
        <w:rPr>
          <w:rFonts w:ascii="Arial" w:hAnsi="Arial" w:cs="Arial"/>
          <w:sz w:val="24"/>
          <w:szCs w:val="24"/>
        </w:rPr>
        <w:t xml:space="preserve">de la Loi. </w:t>
      </w:r>
    </w:p>
    <w:p w:rsidR="000667C0" w:rsidRDefault="004142E9" w:rsidP="00987CB6">
      <w:pPr>
        <w:rPr>
          <w:rFonts w:ascii="Arial" w:hAnsi="Arial" w:cs="Arial"/>
          <w:sz w:val="24"/>
          <w:szCs w:val="24"/>
        </w:rPr>
      </w:pPr>
      <w:r>
        <w:rPr>
          <w:rFonts w:ascii="Arial" w:hAnsi="Arial" w:cs="Arial"/>
          <w:sz w:val="24"/>
          <w:szCs w:val="24"/>
        </w:rPr>
        <w:t xml:space="preserve">La COPHAN demande à ce que la définition de « handicap » </w:t>
      </w:r>
      <w:r w:rsidR="00DC526C">
        <w:rPr>
          <w:rFonts w:ascii="Arial" w:hAnsi="Arial" w:cs="Arial"/>
          <w:sz w:val="24"/>
          <w:szCs w:val="24"/>
        </w:rPr>
        <w:t>réfère</w:t>
      </w:r>
      <w:r w:rsidR="00F6110E">
        <w:rPr>
          <w:rFonts w:ascii="Arial" w:hAnsi="Arial" w:cs="Arial"/>
          <w:sz w:val="24"/>
          <w:szCs w:val="24"/>
        </w:rPr>
        <w:t xml:space="preserve"> davantag</w:t>
      </w:r>
      <w:r w:rsidR="00F455EF">
        <w:rPr>
          <w:rFonts w:ascii="Arial" w:hAnsi="Arial" w:cs="Arial"/>
          <w:sz w:val="24"/>
          <w:szCs w:val="24"/>
        </w:rPr>
        <w:t>e à la notion du</w:t>
      </w:r>
      <w:r w:rsidR="00F6110E">
        <w:rPr>
          <w:rFonts w:ascii="Arial" w:hAnsi="Arial" w:cs="Arial"/>
          <w:sz w:val="24"/>
          <w:szCs w:val="24"/>
        </w:rPr>
        <w:t xml:space="preserve"> r</w:t>
      </w:r>
      <w:r w:rsidR="00CD17D6">
        <w:rPr>
          <w:rFonts w:ascii="Arial" w:hAnsi="Arial" w:cs="Arial"/>
          <w:sz w:val="24"/>
          <w:szCs w:val="24"/>
        </w:rPr>
        <w:t>ésultat de l’interaction entre l</w:t>
      </w:r>
      <w:r w:rsidR="00F6110E">
        <w:rPr>
          <w:rFonts w:ascii="Arial" w:hAnsi="Arial" w:cs="Arial"/>
          <w:sz w:val="24"/>
          <w:szCs w:val="24"/>
        </w:rPr>
        <w:t>es personnes ayant des limitations fonctionnelles et les barrières comportementales et environnementales</w:t>
      </w:r>
      <w:r w:rsidR="00F455EF">
        <w:rPr>
          <w:rFonts w:ascii="Arial" w:hAnsi="Arial" w:cs="Arial"/>
          <w:sz w:val="24"/>
          <w:szCs w:val="24"/>
        </w:rPr>
        <w:t xml:space="preserve">, </w:t>
      </w:r>
      <w:r w:rsidR="0021514F">
        <w:rPr>
          <w:rFonts w:ascii="Arial" w:hAnsi="Arial" w:cs="Arial"/>
          <w:sz w:val="24"/>
          <w:szCs w:val="24"/>
        </w:rPr>
        <w:t>telle</w:t>
      </w:r>
      <w:r w:rsidR="00F455EF">
        <w:rPr>
          <w:rFonts w:ascii="Arial" w:hAnsi="Arial" w:cs="Arial"/>
          <w:sz w:val="24"/>
          <w:szCs w:val="24"/>
        </w:rPr>
        <w:t xml:space="preserve"> que défini par la Convention relative aux droits des personnes handicapées de l’Organisation des Nations Unies</w:t>
      </w:r>
      <w:r w:rsidR="00A80F68">
        <w:rPr>
          <w:rFonts w:ascii="Arial" w:hAnsi="Arial" w:cs="Arial"/>
          <w:sz w:val="24"/>
          <w:szCs w:val="24"/>
        </w:rPr>
        <w:t xml:space="preserve"> (« CRDPH ») et devrait également inclure </w:t>
      </w:r>
      <w:r w:rsidR="00A80F68" w:rsidRPr="000448B3">
        <w:rPr>
          <w:rFonts w:ascii="Arial" w:hAnsi="Arial" w:cs="Arial"/>
          <w:sz w:val="24"/>
          <w:szCs w:val="24"/>
        </w:rPr>
        <w:t>le handicap social</w:t>
      </w:r>
      <w:r w:rsidR="00F6110E" w:rsidRPr="000448B3">
        <w:rPr>
          <w:rFonts w:ascii="Arial" w:hAnsi="Arial" w:cs="Arial"/>
          <w:sz w:val="24"/>
          <w:szCs w:val="24"/>
        </w:rPr>
        <w:t xml:space="preserve">. </w:t>
      </w:r>
      <w:r w:rsidR="00D57549">
        <w:rPr>
          <w:rFonts w:ascii="Arial" w:hAnsi="Arial" w:cs="Arial"/>
          <w:sz w:val="24"/>
          <w:szCs w:val="24"/>
        </w:rPr>
        <w:t xml:space="preserve">La définition large et inclusive de la Loi sera un beau défi pour la mise en œuvre de la Loi. </w:t>
      </w:r>
      <w:r w:rsidR="00B35538">
        <w:rPr>
          <w:rFonts w:ascii="Arial" w:hAnsi="Arial" w:cs="Arial"/>
          <w:sz w:val="24"/>
          <w:szCs w:val="24"/>
        </w:rPr>
        <w:t>N</w:t>
      </w:r>
      <w:r w:rsidR="00A80F68">
        <w:rPr>
          <w:rFonts w:ascii="Arial" w:hAnsi="Arial" w:cs="Arial"/>
          <w:sz w:val="24"/>
          <w:szCs w:val="24"/>
        </w:rPr>
        <w:t xml:space="preserve">ous espérons que cela influencera d’abord les autres programmes et services destinés aux personnes ayant des limitations au niveau fédéral et s’étendra </w:t>
      </w:r>
      <w:r w:rsidR="00005160">
        <w:rPr>
          <w:rFonts w:ascii="Arial" w:hAnsi="Arial" w:cs="Arial"/>
          <w:sz w:val="24"/>
          <w:szCs w:val="24"/>
        </w:rPr>
        <w:t>ensuite</w:t>
      </w:r>
      <w:r w:rsidR="00B35538">
        <w:rPr>
          <w:rFonts w:ascii="Arial" w:hAnsi="Arial" w:cs="Arial"/>
          <w:sz w:val="24"/>
          <w:szCs w:val="24"/>
        </w:rPr>
        <w:t xml:space="preserve"> au niveau provincial et aux autres acteurs et paliers de gouvernement. </w:t>
      </w:r>
      <w:r w:rsidR="00585BFF">
        <w:rPr>
          <w:rFonts w:ascii="Arial" w:hAnsi="Arial" w:cs="Arial"/>
          <w:sz w:val="24"/>
          <w:szCs w:val="24"/>
        </w:rPr>
        <w:t>L</w:t>
      </w:r>
      <w:r w:rsidR="00F6110E">
        <w:rPr>
          <w:rFonts w:ascii="Arial" w:hAnsi="Arial" w:cs="Arial"/>
          <w:sz w:val="24"/>
          <w:szCs w:val="24"/>
        </w:rPr>
        <w:t xml:space="preserve">a Loi </w:t>
      </w:r>
      <w:r w:rsidR="00CD17D6">
        <w:rPr>
          <w:rFonts w:ascii="Arial" w:hAnsi="Arial" w:cs="Arial"/>
          <w:sz w:val="24"/>
          <w:szCs w:val="24"/>
        </w:rPr>
        <w:t xml:space="preserve">doit </w:t>
      </w:r>
      <w:r w:rsidR="00585BFF">
        <w:rPr>
          <w:rFonts w:ascii="Arial" w:hAnsi="Arial" w:cs="Arial"/>
          <w:sz w:val="24"/>
          <w:szCs w:val="24"/>
        </w:rPr>
        <w:t>également</w:t>
      </w:r>
      <w:r w:rsidR="00CD17D6">
        <w:rPr>
          <w:rFonts w:ascii="Arial" w:hAnsi="Arial" w:cs="Arial"/>
          <w:sz w:val="24"/>
          <w:szCs w:val="24"/>
        </w:rPr>
        <w:t xml:space="preserve"> contenir les </w:t>
      </w:r>
      <w:r w:rsidR="00F6110E">
        <w:rPr>
          <w:rFonts w:ascii="Arial" w:hAnsi="Arial" w:cs="Arial"/>
          <w:sz w:val="24"/>
          <w:szCs w:val="24"/>
        </w:rPr>
        <w:t>définit</w:t>
      </w:r>
      <w:r w:rsidR="00A62587">
        <w:rPr>
          <w:rFonts w:ascii="Arial" w:hAnsi="Arial" w:cs="Arial"/>
          <w:sz w:val="24"/>
          <w:szCs w:val="24"/>
        </w:rPr>
        <w:t xml:space="preserve">ions de conception universelle </w:t>
      </w:r>
      <w:r w:rsidR="00A80F68">
        <w:rPr>
          <w:rFonts w:ascii="Arial" w:hAnsi="Arial" w:cs="Arial"/>
          <w:sz w:val="24"/>
          <w:szCs w:val="24"/>
        </w:rPr>
        <w:t>tel</w:t>
      </w:r>
      <w:r w:rsidR="00123560">
        <w:rPr>
          <w:rFonts w:ascii="Arial" w:hAnsi="Arial" w:cs="Arial"/>
          <w:sz w:val="24"/>
          <w:szCs w:val="24"/>
        </w:rPr>
        <w:t>le</w:t>
      </w:r>
      <w:r w:rsidR="00A80F68">
        <w:rPr>
          <w:rFonts w:ascii="Arial" w:hAnsi="Arial" w:cs="Arial"/>
          <w:sz w:val="24"/>
          <w:szCs w:val="24"/>
        </w:rPr>
        <w:t xml:space="preserve"> que défini</w:t>
      </w:r>
      <w:r w:rsidR="00EC604F">
        <w:rPr>
          <w:rFonts w:ascii="Arial" w:hAnsi="Arial" w:cs="Arial"/>
          <w:sz w:val="24"/>
          <w:szCs w:val="24"/>
        </w:rPr>
        <w:t>e</w:t>
      </w:r>
      <w:r w:rsidR="00A80F68">
        <w:rPr>
          <w:rFonts w:ascii="Arial" w:hAnsi="Arial" w:cs="Arial"/>
          <w:sz w:val="24"/>
          <w:szCs w:val="24"/>
        </w:rPr>
        <w:t xml:space="preserve"> par la CRDPH</w:t>
      </w:r>
      <w:r w:rsidR="00B10D2E">
        <w:rPr>
          <w:rFonts w:ascii="Arial" w:hAnsi="Arial" w:cs="Arial"/>
          <w:sz w:val="24"/>
          <w:szCs w:val="24"/>
        </w:rPr>
        <w:t>, l</w:t>
      </w:r>
      <w:r w:rsidR="00F5240A">
        <w:rPr>
          <w:rFonts w:ascii="Arial" w:hAnsi="Arial" w:cs="Arial"/>
          <w:sz w:val="24"/>
          <w:szCs w:val="24"/>
        </w:rPr>
        <w:t xml:space="preserve">’obligation d’accommodement et </w:t>
      </w:r>
      <w:r w:rsidR="00F6110E">
        <w:rPr>
          <w:rFonts w:ascii="Arial" w:hAnsi="Arial" w:cs="Arial"/>
          <w:sz w:val="24"/>
          <w:szCs w:val="24"/>
        </w:rPr>
        <w:t xml:space="preserve">de contrainte excessive. </w:t>
      </w:r>
    </w:p>
    <w:p w:rsidR="000E416E" w:rsidRPr="000E416E" w:rsidRDefault="000E416E" w:rsidP="00987CB6">
      <w:pPr>
        <w:pStyle w:val="Titre1"/>
        <w:spacing w:line="276" w:lineRule="auto"/>
        <w:rPr>
          <w:rFonts w:ascii="Arial" w:hAnsi="Arial" w:cs="Arial"/>
          <w:b/>
          <w:color w:val="auto"/>
          <w:sz w:val="24"/>
          <w:szCs w:val="24"/>
        </w:rPr>
      </w:pPr>
      <w:r w:rsidRPr="000E416E">
        <w:rPr>
          <w:b/>
          <w:color w:val="auto"/>
        </w:rPr>
        <w:t>Objet et principes</w:t>
      </w:r>
    </w:p>
    <w:p w:rsidR="00DC6818" w:rsidRDefault="00923BF3" w:rsidP="00987CB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Un enjeu majeur ignoré par la Loi </w:t>
      </w:r>
      <w:r w:rsidR="00EF4C7B">
        <w:rPr>
          <w:rFonts w:ascii="Arial" w:hAnsi="Arial" w:cs="Arial"/>
          <w:color w:val="000000"/>
          <w:sz w:val="24"/>
          <w:szCs w:val="24"/>
        </w:rPr>
        <w:t>est le levier financier</w:t>
      </w:r>
      <w:r w:rsidR="00C64E33">
        <w:rPr>
          <w:rFonts w:ascii="Arial" w:hAnsi="Arial" w:cs="Arial"/>
          <w:color w:val="000000"/>
          <w:sz w:val="24"/>
          <w:szCs w:val="24"/>
        </w:rPr>
        <w:t xml:space="preserve"> </w:t>
      </w:r>
      <w:r w:rsidR="00510391">
        <w:rPr>
          <w:rFonts w:ascii="Arial" w:hAnsi="Arial" w:cs="Arial"/>
          <w:color w:val="000000"/>
          <w:sz w:val="24"/>
          <w:szCs w:val="24"/>
        </w:rPr>
        <w:t>fédéral</w:t>
      </w:r>
      <w:r w:rsidR="00C64E33">
        <w:rPr>
          <w:rFonts w:ascii="Arial" w:hAnsi="Arial" w:cs="Arial"/>
          <w:color w:val="000000"/>
          <w:sz w:val="24"/>
          <w:szCs w:val="24"/>
        </w:rPr>
        <w:t>, à savoir les différentes ententes et programmes fédéraux qui soutiennent les acteurs</w:t>
      </w:r>
      <w:r w:rsidR="00850D03">
        <w:rPr>
          <w:rFonts w:ascii="Arial" w:hAnsi="Arial" w:cs="Arial"/>
          <w:color w:val="000000"/>
          <w:sz w:val="24"/>
          <w:szCs w:val="24"/>
        </w:rPr>
        <w:t xml:space="preserve"> tant</w:t>
      </w:r>
      <w:r w:rsidR="00C64E33">
        <w:rPr>
          <w:rFonts w:ascii="Arial" w:hAnsi="Arial" w:cs="Arial"/>
          <w:color w:val="000000"/>
          <w:sz w:val="24"/>
          <w:szCs w:val="24"/>
        </w:rPr>
        <w:t xml:space="preserve"> publics </w:t>
      </w:r>
      <w:r w:rsidR="00850D03">
        <w:rPr>
          <w:rFonts w:ascii="Arial" w:hAnsi="Arial" w:cs="Arial"/>
          <w:color w:val="000000"/>
          <w:sz w:val="24"/>
          <w:szCs w:val="24"/>
        </w:rPr>
        <w:t>que</w:t>
      </w:r>
      <w:r w:rsidR="00A004CD">
        <w:rPr>
          <w:rFonts w:ascii="Arial" w:hAnsi="Arial" w:cs="Arial"/>
          <w:color w:val="000000"/>
          <w:sz w:val="24"/>
          <w:szCs w:val="24"/>
        </w:rPr>
        <w:t xml:space="preserve"> privés (par exemple, le</w:t>
      </w:r>
      <w:r w:rsidR="00573186">
        <w:rPr>
          <w:rFonts w:ascii="Arial" w:hAnsi="Arial" w:cs="Arial"/>
          <w:color w:val="000000"/>
          <w:sz w:val="24"/>
          <w:szCs w:val="24"/>
        </w:rPr>
        <w:t>s</w:t>
      </w:r>
      <w:r w:rsidR="00A004CD">
        <w:rPr>
          <w:rFonts w:ascii="Arial" w:hAnsi="Arial" w:cs="Arial"/>
          <w:color w:val="000000"/>
          <w:sz w:val="24"/>
          <w:szCs w:val="24"/>
        </w:rPr>
        <w:t xml:space="preserve"> transfert</w:t>
      </w:r>
      <w:r w:rsidR="00573186">
        <w:rPr>
          <w:rFonts w:ascii="Arial" w:hAnsi="Arial" w:cs="Arial"/>
          <w:color w:val="000000"/>
          <w:sz w:val="24"/>
          <w:szCs w:val="24"/>
        </w:rPr>
        <w:t>s</w:t>
      </w:r>
      <w:r w:rsidR="00A004CD">
        <w:rPr>
          <w:rFonts w:ascii="Arial" w:hAnsi="Arial" w:cs="Arial"/>
          <w:color w:val="000000"/>
          <w:sz w:val="24"/>
          <w:szCs w:val="24"/>
        </w:rPr>
        <w:t xml:space="preserve"> de fonds aux provinces dans les domaine</w:t>
      </w:r>
      <w:r w:rsidR="00D0617F">
        <w:rPr>
          <w:rFonts w:ascii="Arial" w:hAnsi="Arial" w:cs="Arial"/>
          <w:color w:val="000000"/>
          <w:sz w:val="24"/>
          <w:szCs w:val="24"/>
        </w:rPr>
        <w:t>s</w:t>
      </w:r>
      <w:r w:rsidR="00A004CD">
        <w:rPr>
          <w:rFonts w:ascii="Arial" w:hAnsi="Arial" w:cs="Arial"/>
          <w:color w:val="000000"/>
          <w:sz w:val="24"/>
          <w:szCs w:val="24"/>
        </w:rPr>
        <w:t xml:space="preserve"> de la santé et des services sociaux, en éducation et en emploi). </w:t>
      </w:r>
      <w:r w:rsidR="0019700E">
        <w:rPr>
          <w:rFonts w:ascii="Arial" w:hAnsi="Arial" w:cs="Arial"/>
          <w:color w:val="000000"/>
          <w:sz w:val="24"/>
          <w:szCs w:val="24"/>
        </w:rPr>
        <w:t>À notre sens, le gouvernement fédéral ne peut pas instituer la Loi pour qu’elle s’applique en vase clos uniquement dan</w:t>
      </w:r>
      <w:r>
        <w:rPr>
          <w:rFonts w:ascii="Arial" w:hAnsi="Arial" w:cs="Arial"/>
          <w:color w:val="000000"/>
          <w:sz w:val="24"/>
          <w:szCs w:val="24"/>
        </w:rPr>
        <w:t>s</w:t>
      </w:r>
      <w:r w:rsidR="0019700E">
        <w:rPr>
          <w:rFonts w:ascii="Arial" w:hAnsi="Arial" w:cs="Arial"/>
          <w:color w:val="000000"/>
          <w:sz w:val="24"/>
          <w:szCs w:val="24"/>
        </w:rPr>
        <w:t xml:space="preserve"> ses champs de compétence. </w:t>
      </w:r>
      <w:r w:rsidR="00497F41">
        <w:rPr>
          <w:rFonts w:ascii="Arial" w:hAnsi="Arial" w:cs="Arial"/>
          <w:color w:val="000000"/>
          <w:sz w:val="24"/>
          <w:szCs w:val="24"/>
        </w:rPr>
        <w:t xml:space="preserve">Ainsi, </w:t>
      </w:r>
      <w:r w:rsidR="00B00BAE">
        <w:rPr>
          <w:rFonts w:ascii="Arial" w:hAnsi="Arial" w:cs="Arial"/>
          <w:color w:val="000000"/>
          <w:sz w:val="24"/>
          <w:szCs w:val="24"/>
        </w:rPr>
        <w:t xml:space="preserve">pour assurer un développement durable d’ordre social, </w:t>
      </w:r>
      <w:r w:rsidR="00497F41">
        <w:rPr>
          <w:rFonts w:ascii="Arial" w:hAnsi="Arial" w:cs="Arial"/>
          <w:color w:val="000000"/>
          <w:sz w:val="24"/>
          <w:szCs w:val="24"/>
        </w:rPr>
        <w:t>t</w:t>
      </w:r>
      <w:r w:rsidR="0019700E">
        <w:rPr>
          <w:rFonts w:ascii="Arial" w:hAnsi="Arial" w:cs="Arial"/>
          <w:color w:val="000000"/>
          <w:sz w:val="24"/>
          <w:szCs w:val="24"/>
        </w:rPr>
        <w:t xml:space="preserve">ous ses transferts </w:t>
      </w:r>
      <w:r>
        <w:rPr>
          <w:rFonts w:ascii="Arial" w:hAnsi="Arial" w:cs="Arial"/>
          <w:color w:val="000000"/>
          <w:sz w:val="24"/>
          <w:szCs w:val="24"/>
        </w:rPr>
        <w:t>d’argent</w:t>
      </w:r>
      <w:r w:rsidR="0019700E">
        <w:rPr>
          <w:rFonts w:ascii="Arial" w:hAnsi="Arial" w:cs="Arial"/>
          <w:color w:val="000000"/>
          <w:sz w:val="24"/>
          <w:szCs w:val="24"/>
        </w:rPr>
        <w:t xml:space="preserve"> doivent également être régi</w:t>
      </w:r>
      <w:r w:rsidR="0021514F">
        <w:rPr>
          <w:rFonts w:ascii="Arial" w:hAnsi="Arial" w:cs="Arial"/>
          <w:color w:val="000000"/>
          <w:sz w:val="24"/>
          <w:szCs w:val="24"/>
        </w:rPr>
        <w:t>s</w:t>
      </w:r>
      <w:r w:rsidR="0019700E">
        <w:rPr>
          <w:rFonts w:ascii="Arial" w:hAnsi="Arial" w:cs="Arial"/>
          <w:color w:val="000000"/>
          <w:sz w:val="24"/>
          <w:szCs w:val="24"/>
        </w:rPr>
        <w:t xml:space="preserve"> par la présente Loi</w:t>
      </w:r>
      <w:r>
        <w:rPr>
          <w:rFonts w:ascii="Arial" w:hAnsi="Arial" w:cs="Arial"/>
          <w:color w:val="000000"/>
          <w:sz w:val="24"/>
          <w:szCs w:val="24"/>
        </w:rPr>
        <w:t>,</w:t>
      </w:r>
      <w:r w:rsidR="0019700E">
        <w:rPr>
          <w:rFonts w:ascii="Arial" w:hAnsi="Arial" w:cs="Arial"/>
          <w:color w:val="000000"/>
          <w:sz w:val="24"/>
          <w:szCs w:val="24"/>
        </w:rPr>
        <w:t xml:space="preserve"> </w:t>
      </w:r>
      <w:r>
        <w:rPr>
          <w:rFonts w:ascii="Arial" w:hAnsi="Arial" w:cs="Arial"/>
          <w:color w:val="000000"/>
          <w:sz w:val="24"/>
          <w:szCs w:val="24"/>
        </w:rPr>
        <w:t xml:space="preserve">et ce, </w:t>
      </w:r>
      <w:r w:rsidR="0019700E">
        <w:rPr>
          <w:rFonts w:ascii="Arial" w:hAnsi="Arial" w:cs="Arial"/>
          <w:color w:val="000000"/>
          <w:sz w:val="24"/>
          <w:szCs w:val="24"/>
        </w:rPr>
        <w:t>avec des critères d’accessibilité</w:t>
      </w:r>
      <w:r w:rsidR="00E36216">
        <w:rPr>
          <w:rFonts w:ascii="Arial" w:hAnsi="Arial" w:cs="Arial"/>
          <w:color w:val="000000"/>
          <w:sz w:val="24"/>
          <w:szCs w:val="24"/>
        </w:rPr>
        <w:t xml:space="preserve"> précis</w:t>
      </w:r>
      <w:r w:rsidR="0019700E">
        <w:rPr>
          <w:rFonts w:ascii="Arial" w:hAnsi="Arial" w:cs="Arial"/>
          <w:color w:val="000000"/>
          <w:sz w:val="24"/>
          <w:szCs w:val="24"/>
        </w:rPr>
        <w:t xml:space="preserve">. </w:t>
      </w:r>
      <w:r w:rsidR="005F5401">
        <w:rPr>
          <w:rFonts w:ascii="Arial" w:hAnsi="Arial" w:cs="Arial"/>
          <w:color w:val="000000"/>
          <w:sz w:val="24"/>
          <w:szCs w:val="24"/>
        </w:rPr>
        <w:t>N</w:t>
      </w:r>
      <w:r w:rsidR="004168AD">
        <w:rPr>
          <w:rFonts w:ascii="Arial" w:hAnsi="Arial" w:cs="Arial"/>
          <w:color w:val="000000"/>
          <w:sz w:val="24"/>
          <w:szCs w:val="24"/>
        </w:rPr>
        <w:t xml:space="preserve">ous pourrions également élargir cet aspect aux relations internationales, à tous les accords économiques, etc. </w:t>
      </w:r>
    </w:p>
    <w:p w:rsidR="00B11CD0" w:rsidRDefault="004168AD" w:rsidP="00987CB6">
      <w:pPr>
        <w:autoSpaceDE w:val="0"/>
        <w:autoSpaceDN w:val="0"/>
        <w:adjustRightInd w:val="0"/>
        <w:rPr>
          <w:rFonts w:ascii="Arial" w:hAnsi="Arial" w:cs="Arial"/>
          <w:color w:val="000000"/>
          <w:sz w:val="24"/>
          <w:szCs w:val="24"/>
        </w:rPr>
      </w:pPr>
      <w:r w:rsidRPr="00987CB6">
        <w:rPr>
          <w:rFonts w:ascii="Arial" w:hAnsi="Arial" w:cs="Arial"/>
          <w:color w:val="000000"/>
          <w:sz w:val="24"/>
          <w:szCs w:val="24"/>
        </w:rPr>
        <w:t xml:space="preserve">Pour illustrer cette idée, la COPHAN </w:t>
      </w:r>
      <w:r w:rsidR="00EF4C7B" w:rsidRPr="00987CB6">
        <w:rPr>
          <w:rFonts w:ascii="Arial" w:hAnsi="Arial" w:cs="Arial"/>
          <w:color w:val="000000"/>
          <w:sz w:val="24"/>
          <w:szCs w:val="24"/>
        </w:rPr>
        <w:t>propose</w:t>
      </w:r>
      <w:r w:rsidR="002115AE">
        <w:rPr>
          <w:rFonts w:ascii="Arial" w:hAnsi="Arial" w:cs="Arial"/>
          <w:color w:val="000000"/>
          <w:sz w:val="24"/>
          <w:szCs w:val="24"/>
        </w:rPr>
        <w:t xml:space="preserve"> le concept de « </w:t>
      </w:r>
      <w:proofErr w:type="spellStart"/>
      <w:r w:rsidR="002115AE">
        <w:rPr>
          <w:rFonts w:ascii="Arial" w:hAnsi="Arial" w:cs="Arial"/>
          <w:color w:val="000000"/>
          <w:sz w:val="24"/>
          <w:szCs w:val="24"/>
        </w:rPr>
        <w:t>socio</w:t>
      </w:r>
      <w:r w:rsidR="00923BF3" w:rsidRPr="00987CB6">
        <w:rPr>
          <w:rFonts w:ascii="Arial" w:hAnsi="Arial" w:cs="Arial"/>
          <w:color w:val="000000"/>
          <w:sz w:val="24"/>
          <w:szCs w:val="24"/>
        </w:rPr>
        <w:t>responsabilité</w:t>
      </w:r>
      <w:proofErr w:type="spellEnd"/>
      <w:r w:rsidR="00923BF3" w:rsidRPr="00987CB6">
        <w:rPr>
          <w:rFonts w:ascii="Arial" w:hAnsi="Arial" w:cs="Arial"/>
          <w:color w:val="000000"/>
          <w:sz w:val="24"/>
          <w:szCs w:val="24"/>
        </w:rPr>
        <w:t> »</w:t>
      </w:r>
      <w:r w:rsidR="000A0E2E" w:rsidRPr="00987CB6">
        <w:rPr>
          <w:rFonts w:ascii="Arial" w:hAnsi="Arial" w:cs="Arial"/>
          <w:color w:val="000000"/>
          <w:sz w:val="24"/>
          <w:szCs w:val="24"/>
        </w:rPr>
        <w:t xml:space="preserve"> </w:t>
      </w:r>
      <w:r w:rsidR="007268AD" w:rsidRPr="00987CB6">
        <w:rPr>
          <w:rFonts w:ascii="Arial" w:hAnsi="Arial" w:cs="Arial"/>
          <w:color w:val="000000"/>
          <w:sz w:val="24"/>
          <w:szCs w:val="24"/>
        </w:rPr>
        <w:t>que nous</w:t>
      </w:r>
      <w:r w:rsidR="007268AD">
        <w:rPr>
          <w:rFonts w:ascii="Arial" w:hAnsi="Arial" w:cs="Arial"/>
          <w:color w:val="000000"/>
          <w:sz w:val="24"/>
          <w:szCs w:val="24"/>
        </w:rPr>
        <w:t xml:space="preserve"> avons déjà mis de l’avant pour assurer </w:t>
      </w:r>
      <w:r w:rsidR="00923BF3">
        <w:rPr>
          <w:rFonts w:ascii="Arial" w:hAnsi="Arial" w:cs="Arial"/>
          <w:color w:val="000000"/>
          <w:sz w:val="24"/>
          <w:szCs w:val="24"/>
        </w:rPr>
        <w:t>une meilleure gouvernance</w:t>
      </w:r>
      <w:r w:rsidR="000A0E2E">
        <w:rPr>
          <w:rFonts w:ascii="Arial" w:hAnsi="Arial" w:cs="Arial"/>
          <w:color w:val="000000"/>
          <w:sz w:val="24"/>
          <w:szCs w:val="24"/>
        </w:rPr>
        <w:t xml:space="preserve"> </w:t>
      </w:r>
      <w:r w:rsidR="00923BF3">
        <w:rPr>
          <w:rFonts w:ascii="Arial" w:hAnsi="Arial" w:cs="Arial"/>
          <w:color w:val="000000"/>
          <w:sz w:val="24"/>
          <w:szCs w:val="24"/>
        </w:rPr>
        <w:t>dans le</w:t>
      </w:r>
      <w:r w:rsidR="000A0E2E">
        <w:rPr>
          <w:rFonts w:ascii="Arial" w:hAnsi="Arial" w:cs="Arial"/>
          <w:color w:val="000000"/>
          <w:sz w:val="24"/>
          <w:szCs w:val="24"/>
        </w:rPr>
        <w:t xml:space="preserve"> développement durable</w:t>
      </w:r>
      <w:r w:rsidR="000A0E2E">
        <w:rPr>
          <w:rStyle w:val="Appelnotedebasdep"/>
          <w:rFonts w:ascii="Arial" w:hAnsi="Arial" w:cs="Arial"/>
          <w:color w:val="000000"/>
          <w:sz w:val="24"/>
          <w:szCs w:val="24"/>
        </w:rPr>
        <w:footnoteReference w:id="2"/>
      </w:r>
      <w:r>
        <w:rPr>
          <w:rFonts w:ascii="Arial" w:hAnsi="Arial" w:cs="Arial"/>
          <w:color w:val="000000"/>
          <w:sz w:val="24"/>
          <w:szCs w:val="24"/>
        </w:rPr>
        <w:t xml:space="preserve">. </w:t>
      </w:r>
      <w:r w:rsidR="000A0E2E">
        <w:rPr>
          <w:rFonts w:ascii="Arial" w:hAnsi="Arial" w:cs="Arial"/>
          <w:color w:val="000000"/>
          <w:sz w:val="24"/>
          <w:szCs w:val="24"/>
        </w:rPr>
        <w:t>De la même façon</w:t>
      </w:r>
      <w:r>
        <w:rPr>
          <w:rFonts w:ascii="Arial" w:hAnsi="Arial" w:cs="Arial"/>
          <w:color w:val="000000"/>
          <w:sz w:val="24"/>
          <w:szCs w:val="24"/>
        </w:rPr>
        <w:t xml:space="preserve">, le gouvernement canadien </w:t>
      </w:r>
      <w:r w:rsidR="009A08A4" w:rsidRPr="00CF7308">
        <w:rPr>
          <w:rFonts w:ascii="Arial" w:hAnsi="Arial" w:cs="Arial"/>
          <w:color w:val="000000"/>
          <w:sz w:val="24"/>
          <w:szCs w:val="24"/>
        </w:rPr>
        <w:t>doit</w:t>
      </w:r>
      <w:r>
        <w:rPr>
          <w:rFonts w:ascii="Arial" w:hAnsi="Arial" w:cs="Arial"/>
          <w:color w:val="000000"/>
          <w:sz w:val="24"/>
          <w:szCs w:val="24"/>
        </w:rPr>
        <w:t xml:space="preserve"> développer </w:t>
      </w:r>
      <w:r w:rsidR="00AE7FDE">
        <w:rPr>
          <w:rFonts w:ascii="Arial" w:hAnsi="Arial" w:cs="Arial"/>
          <w:color w:val="000000"/>
          <w:sz w:val="24"/>
          <w:szCs w:val="24"/>
        </w:rPr>
        <w:t>un réflexe d</w:t>
      </w:r>
      <w:proofErr w:type="gramStart"/>
      <w:r w:rsidR="00AE7FDE">
        <w:rPr>
          <w:rFonts w:ascii="Arial" w:hAnsi="Arial" w:cs="Arial"/>
          <w:color w:val="000000"/>
          <w:sz w:val="24"/>
          <w:szCs w:val="24"/>
        </w:rPr>
        <w:t>’«</w:t>
      </w:r>
      <w:proofErr w:type="gramEnd"/>
      <w:r w:rsidR="00AE7FDE">
        <w:rPr>
          <w:rFonts w:ascii="Arial" w:hAnsi="Arial" w:cs="Arial"/>
          <w:color w:val="000000"/>
          <w:sz w:val="24"/>
          <w:szCs w:val="24"/>
        </w:rPr>
        <w:t> </w:t>
      </w:r>
      <w:r>
        <w:rPr>
          <w:rFonts w:ascii="Arial" w:hAnsi="Arial" w:cs="Arial"/>
          <w:color w:val="000000"/>
          <w:sz w:val="24"/>
          <w:szCs w:val="24"/>
        </w:rPr>
        <w:t>handi-</w:t>
      </w:r>
      <w:r>
        <w:rPr>
          <w:rFonts w:ascii="Arial" w:hAnsi="Arial" w:cs="Arial"/>
          <w:color w:val="000000"/>
          <w:sz w:val="24"/>
          <w:szCs w:val="24"/>
        </w:rPr>
        <w:lastRenderedPageBreak/>
        <w:t>responsabilité »</w:t>
      </w:r>
      <w:r w:rsidR="005F5401">
        <w:rPr>
          <w:rFonts w:ascii="Arial" w:hAnsi="Arial" w:cs="Arial"/>
          <w:color w:val="000000"/>
          <w:sz w:val="24"/>
          <w:szCs w:val="24"/>
        </w:rPr>
        <w:t xml:space="preserve">. </w:t>
      </w:r>
      <w:r w:rsidR="00923BF3">
        <w:rPr>
          <w:rFonts w:ascii="Arial" w:hAnsi="Arial" w:cs="Arial"/>
          <w:color w:val="000000"/>
          <w:sz w:val="24"/>
          <w:szCs w:val="24"/>
        </w:rPr>
        <w:t>Rappelons que l</w:t>
      </w:r>
      <w:r w:rsidR="005F5401">
        <w:rPr>
          <w:rFonts w:ascii="Arial" w:hAnsi="Arial" w:cs="Arial"/>
          <w:color w:val="000000"/>
          <w:sz w:val="24"/>
          <w:szCs w:val="24"/>
        </w:rPr>
        <w:t>e respect de l’autonomie des partenaires, des provinces et des territoires et du secteur privé ne s’applique pas lorsqu’il s’agit de la primauté du respect des droits de la perso</w:t>
      </w:r>
      <w:r w:rsidR="00343BE5">
        <w:rPr>
          <w:rFonts w:ascii="Arial" w:hAnsi="Arial" w:cs="Arial"/>
          <w:color w:val="000000"/>
          <w:sz w:val="24"/>
          <w:szCs w:val="24"/>
        </w:rPr>
        <w:t xml:space="preserve">nne. Nous </w:t>
      </w:r>
      <w:r w:rsidR="00D74F76">
        <w:rPr>
          <w:rFonts w:ascii="Arial" w:hAnsi="Arial" w:cs="Arial"/>
          <w:color w:val="000000"/>
          <w:sz w:val="24"/>
          <w:szCs w:val="24"/>
        </w:rPr>
        <w:t xml:space="preserve">référons à des situations dénoncées par nos membres concernant la lutte à la pauvreté et à l’exclusion sociale. </w:t>
      </w:r>
      <w:r w:rsidR="00C70A54">
        <w:rPr>
          <w:rFonts w:ascii="Arial" w:hAnsi="Arial" w:cs="Arial"/>
          <w:color w:val="000000"/>
          <w:sz w:val="24"/>
          <w:szCs w:val="24"/>
        </w:rPr>
        <w:t>En effet, les personnes ayant des limitations en situation de pauvreté n’ont souvent pas accès aux ressources d’aide notamment en itinérance</w:t>
      </w:r>
      <w:r w:rsidR="00EC604F">
        <w:rPr>
          <w:rFonts w:ascii="Arial" w:hAnsi="Arial" w:cs="Arial"/>
          <w:color w:val="000000"/>
          <w:sz w:val="24"/>
          <w:szCs w:val="24"/>
        </w:rPr>
        <w:t>,</w:t>
      </w:r>
      <w:r w:rsidR="00C70A54">
        <w:rPr>
          <w:rFonts w:ascii="Arial" w:hAnsi="Arial" w:cs="Arial"/>
          <w:color w:val="000000"/>
          <w:sz w:val="24"/>
          <w:szCs w:val="24"/>
        </w:rPr>
        <w:t xml:space="preserve"> car plusieurs lieux et services leur sont peu ou pas accessibles. </w:t>
      </w:r>
      <w:r w:rsidR="000F3605">
        <w:rPr>
          <w:rFonts w:ascii="Arial" w:hAnsi="Arial" w:cs="Arial"/>
          <w:color w:val="000000"/>
          <w:sz w:val="24"/>
          <w:szCs w:val="24"/>
        </w:rPr>
        <w:t xml:space="preserve">Ce concept nous semble cohérent avec la volonté actuelle de développement social porté par notre gouvernement. </w:t>
      </w:r>
    </w:p>
    <w:p w:rsidR="008304F8" w:rsidRDefault="008304F8" w:rsidP="00987CB6">
      <w:pPr>
        <w:autoSpaceDE w:val="0"/>
        <w:autoSpaceDN w:val="0"/>
        <w:adjustRightInd w:val="0"/>
        <w:rPr>
          <w:rFonts w:ascii="Arial" w:hAnsi="Arial" w:cs="Arial"/>
          <w:color w:val="000000"/>
          <w:sz w:val="24"/>
          <w:szCs w:val="24"/>
        </w:rPr>
      </w:pPr>
      <w:r>
        <w:rPr>
          <w:rFonts w:ascii="Arial" w:hAnsi="Arial" w:cs="Arial"/>
          <w:color w:val="000000"/>
          <w:sz w:val="24"/>
          <w:szCs w:val="24"/>
        </w:rPr>
        <w:t>Le gouvernement pourrait également envisager la mise en œuvre de clause</w:t>
      </w:r>
      <w:r w:rsidR="009C00F4">
        <w:rPr>
          <w:rFonts w:ascii="Arial" w:hAnsi="Arial" w:cs="Arial"/>
          <w:color w:val="000000"/>
          <w:sz w:val="24"/>
          <w:szCs w:val="24"/>
        </w:rPr>
        <w:t>s</w:t>
      </w:r>
      <w:r>
        <w:rPr>
          <w:rFonts w:ascii="Arial" w:hAnsi="Arial" w:cs="Arial"/>
          <w:color w:val="000000"/>
          <w:sz w:val="24"/>
          <w:szCs w:val="24"/>
        </w:rPr>
        <w:t xml:space="preserve"> d’insertion sociale en lien par exemple avec les entreprises </w:t>
      </w:r>
      <w:r w:rsidR="00DC3C37">
        <w:rPr>
          <w:rFonts w:ascii="Arial" w:hAnsi="Arial" w:cs="Arial"/>
          <w:color w:val="000000"/>
          <w:sz w:val="24"/>
          <w:szCs w:val="24"/>
        </w:rPr>
        <w:t xml:space="preserve">qui répondent aux appels d’offres du gouvernement fédéral. Ainsi, lorsque le gouvernement fait un appel d’offres, les entreprises qui fournissent des biens </w:t>
      </w:r>
      <w:r w:rsidR="00DC3C37" w:rsidRPr="0015698C">
        <w:rPr>
          <w:rFonts w:ascii="Arial" w:hAnsi="Arial" w:cs="Arial"/>
          <w:color w:val="000000"/>
          <w:sz w:val="24"/>
          <w:szCs w:val="24"/>
        </w:rPr>
        <w:t>accessibles et qui font également la preuve d’un taux élevé de personn</w:t>
      </w:r>
      <w:r w:rsidR="0015698C" w:rsidRPr="0015698C">
        <w:rPr>
          <w:rFonts w:ascii="Arial" w:hAnsi="Arial" w:cs="Arial"/>
          <w:color w:val="000000"/>
          <w:sz w:val="24"/>
          <w:szCs w:val="24"/>
        </w:rPr>
        <w:t>el ayant des limitations</w:t>
      </w:r>
      <w:r w:rsidR="00DE158E">
        <w:rPr>
          <w:rFonts w:ascii="Arial" w:hAnsi="Arial" w:cs="Arial"/>
          <w:color w:val="000000"/>
          <w:sz w:val="24"/>
          <w:szCs w:val="24"/>
        </w:rPr>
        <w:t xml:space="preserve"> devraient être avantagées</w:t>
      </w:r>
      <w:r w:rsidR="0015698C" w:rsidRPr="0015698C">
        <w:rPr>
          <w:rFonts w:ascii="Arial" w:hAnsi="Arial" w:cs="Arial"/>
          <w:color w:val="000000"/>
          <w:sz w:val="24"/>
          <w:szCs w:val="24"/>
        </w:rPr>
        <w:t xml:space="preserve">. </w:t>
      </w:r>
      <w:r w:rsidRPr="0015698C">
        <w:rPr>
          <w:rFonts w:ascii="Arial" w:hAnsi="Arial" w:cs="Arial"/>
          <w:color w:val="000000"/>
          <w:sz w:val="24"/>
          <w:szCs w:val="24"/>
        </w:rPr>
        <w:t>Le gouvernement doit sortir d’une logique économique pour aller vers une approche sociale inclusive.</w:t>
      </w:r>
      <w:r>
        <w:rPr>
          <w:rFonts w:ascii="Arial" w:hAnsi="Arial" w:cs="Arial"/>
          <w:color w:val="000000"/>
          <w:sz w:val="24"/>
          <w:szCs w:val="24"/>
        </w:rPr>
        <w:t xml:space="preserve"> </w:t>
      </w:r>
    </w:p>
    <w:p w:rsidR="004E6759" w:rsidRDefault="00196ABE" w:rsidP="00987CB6">
      <w:pPr>
        <w:autoSpaceDE w:val="0"/>
        <w:autoSpaceDN w:val="0"/>
        <w:adjustRightInd w:val="0"/>
        <w:rPr>
          <w:rFonts w:ascii="Arial" w:hAnsi="Arial" w:cs="Arial"/>
          <w:color w:val="000000"/>
          <w:sz w:val="24"/>
          <w:szCs w:val="24"/>
        </w:rPr>
      </w:pPr>
      <w:r>
        <w:rPr>
          <w:rFonts w:ascii="Arial" w:hAnsi="Arial" w:cs="Arial"/>
          <w:color w:val="000000"/>
          <w:sz w:val="24"/>
          <w:szCs w:val="24"/>
        </w:rPr>
        <w:t>En cohérence avec le réflexe d’handi-responsabilité, nous trouvons que la liste suivante est de facto inclus</w:t>
      </w:r>
      <w:r w:rsidR="00EC604F">
        <w:rPr>
          <w:rFonts w:ascii="Arial" w:hAnsi="Arial" w:cs="Arial"/>
          <w:color w:val="000000"/>
          <w:sz w:val="24"/>
          <w:szCs w:val="24"/>
        </w:rPr>
        <w:t>e</w:t>
      </w:r>
      <w:r>
        <w:rPr>
          <w:rFonts w:ascii="Arial" w:hAnsi="Arial" w:cs="Arial"/>
          <w:color w:val="000000"/>
          <w:sz w:val="24"/>
          <w:szCs w:val="24"/>
        </w:rPr>
        <w:t xml:space="preserve"> dans les domaines visés dans l’objet de la Loi :</w:t>
      </w:r>
      <w:r w:rsidR="004E6759">
        <w:rPr>
          <w:rFonts w:ascii="Arial" w:hAnsi="Arial" w:cs="Arial"/>
          <w:color w:val="000000"/>
          <w:sz w:val="24"/>
          <w:szCs w:val="24"/>
        </w:rPr>
        <w:t xml:space="preserve"> les langues officielles (langues signées), la participation politique (incluant les élections), l’immigration, la justice (accessibilité aux tribunaux et aux pénitenciers), la lutte à la pauvreté et à l’exclusion</w:t>
      </w:r>
      <w:r w:rsidR="00F0224F">
        <w:rPr>
          <w:rFonts w:ascii="Arial" w:hAnsi="Arial" w:cs="Arial"/>
          <w:color w:val="000000"/>
          <w:sz w:val="24"/>
          <w:szCs w:val="24"/>
        </w:rPr>
        <w:t xml:space="preserve"> sociale et le logement social. </w:t>
      </w:r>
    </w:p>
    <w:p w:rsidR="001C53BC" w:rsidRPr="002115AE" w:rsidRDefault="00E850C1" w:rsidP="00987CB6">
      <w:pPr>
        <w:autoSpaceDE w:val="0"/>
        <w:autoSpaceDN w:val="0"/>
        <w:adjustRightInd w:val="0"/>
        <w:rPr>
          <w:rFonts w:ascii="Arial" w:hAnsi="Arial" w:cs="Arial"/>
          <w:sz w:val="24"/>
          <w:szCs w:val="24"/>
        </w:rPr>
      </w:pPr>
      <w:r>
        <w:rPr>
          <w:rFonts w:ascii="Arial" w:hAnsi="Arial" w:cs="Arial"/>
          <w:color w:val="000000"/>
          <w:sz w:val="24"/>
          <w:szCs w:val="24"/>
        </w:rPr>
        <w:t xml:space="preserve">Comme nous le soulignons précédemment, une meilleure harmonie avec la </w:t>
      </w:r>
      <w:r>
        <w:rPr>
          <w:rFonts w:ascii="Arial" w:hAnsi="Arial" w:cs="Arial"/>
          <w:sz w:val="24"/>
          <w:szCs w:val="24"/>
        </w:rPr>
        <w:t>CRDPH est de mise pour permettre d’ajouter certains principes</w:t>
      </w:r>
      <w:r w:rsidR="00AD0EFA">
        <w:rPr>
          <w:rFonts w:ascii="Arial" w:hAnsi="Arial" w:cs="Arial"/>
          <w:sz w:val="24"/>
          <w:szCs w:val="24"/>
        </w:rPr>
        <w:t xml:space="preserve"> à la Loi </w:t>
      </w:r>
      <w:r w:rsidR="002115AE">
        <w:rPr>
          <w:rFonts w:ascii="Arial" w:hAnsi="Arial" w:cs="Arial"/>
          <w:sz w:val="24"/>
          <w:szCs w:val="24"/>
        </w:rPr>
        <w:t xml:space="preserve">afin de réduire les obstacles à </w:t>
      </w:r>
      <w:r w:rsidR="00AD0EFA">
        <w:rPr>
          <w:rFonts w:ascii="Arial" w:hAnsi="Arial" w:cs="Arial"/>
          <w:sz w:val="24"/>
          <w:szCs w:val="24"/>
        </w:rPr>
        <w:t>l’accessibilité</w:t>
      </w:r>
      <w:r>
        <w:rPr>
          <w:rFonts w:ascii="Arial" w:hAnsi="Arial" w:cs="Arial"/>
          <w:sz w:val="24"/>
          <w:szCs w:val="24"/>
        </w:rPr>
        <w:t xml:space="preserve">, entre autres : </w:t>
      </w:r>
      <w:r w:rsidR="00754533" w:rsidRPr="00EA4AFB">
        <w:rPr>
          <w:rFonts w:ascii="Arial" w:hAnsi="Arial" w:cs="Arial"/>
          <w:color w:val="000000"/>
          <w:sz w:val="24"/>
          <w:szCs w:val="24"/>
        </w:rPr>
        <w:t>l’inclusion sociale,</w:t>
      </w:r>
      <w:r w:rsidR="001C53BC" w:rsidRPr="00EA4AFB">
        <w:rPr>
          <w:rFonts w:ascii="Arial" w:hAnsi="Arial" w:cs="Arial"/>
          <w:color w:val="000000"/>
          <w:sz w:val="24"/>
          <w:szCs w:val="24"/>
        </w:rPr>
        <w:t xml:space="preserve"> la pauvreté disproportionnée des personnes ayant des limitations fonction</w:t>
      </w:r>
      <w:r w:rsidR="00A07778" w:rsidRPr="00EA4AFB">
        <w:rPr>
          <w:rFonts w:ascii="Arial" w:hAnsi="Arial" w:cs="Arial"/>
          <w:color w:val="000000"/>
          <w:sz w:val="24"/>
          <w:szCs w:val="24"/>
        </w:rPr>
        <w:t>nelles, l’intersectionnalité, l’accessibilité universelle</w:t>
      </w:r>
      <w:r w:rsidR="00EA4AFB" w:rsidRPr="00EA4AFB">
        <w:rPr>
          <w:rFonts w:ascii="Arial" w:hAnsi="Arial" w:cs="Arial"/>
          <w:color w:val="000000"/>
          <w:sz w:val="24"/>
          <w:szCs w:val="24"/>
        </w:rPr>
        <w:t xml:space="preserve"> et</w:t>
      </w:r>
      <w:r w:rsidR="001C53BC" w:rsidRPr="00EA4AFB">
        <w:rPr>
          <w:rFonts w:ascii="Arial" w:hAnsi="Arial" w:cs="Arial"/>
          <w:color w:val="000000"/>
          <w:sz w:val="24"/>
          <w:szCs w:val="24"/>
        </w:rPr>
        <w:t xml:space="preserve"> le co</w:t>
      </w:r>
      <w:r w:rsidR="00EA4AFB" w:rsidRPr="00EA4AFB">
        <w:rPr>
          <w:rFonts w:ascii="Arial" w:hAnsi="Arial" w:cs="Arial"/>
          <w:color w:val="000000"/>
          <w:sz w:val="24"/>
          <w:szCs w:val="24"/>
        </w:rPr>
        <w:t>ncept de situation de handicap mis de l’avant dans la CRDPH</w:t>
      </w:r>
      <w:r w:rsidR="001C53BC" w:rsidRPr="00EA4AFB">
        <w:rPr>
          <w:rFonts w:ascii="Arial" w:hAnsi="Arial" w:cs="Arial"/>
          <w:color w:val="000000"/>
          <w:sz w:val="24"/>
          <w:szCs w:val="24"/>
        </w:rPr>
        <w:t>. De plus, les principes ne doivent pas simplement</w:t>
      </w:r>
      <w:r w:rsidR="001C53BC">
        <w:rPr>
          <w:rFonts w:ascii="Arial" w:hAnsi="Arial" w:cs="Arial"/>
          <w:color w:val="000000"/>
          <w:sz w:val="24"/>
          <w:szCs w:val="24"/>
        </w:rPr>
        <w:t xml:space="preserve"> prévoi</w:t>
      </w:r>
      <w:r w:rsidR="00A644E2">
        <w:rPr>
          <w:rFonts w:ascii="Arial" w:hAnsi="Arial" w:cs="Arial"/>
          <w:color w:val="000000"/>
          <w:sz w:val="24"/>
          <w:szCs w:val="24"/>
        </w:rPr>
        <w:t xml:space="preserve">r de </w:t>
      </w:r>
      <w:r w:rsidR="001C53BC">
        <w:rPr>
          <w:rFonts w:ascii="Arial" w:hAnsi="Arial" w:cs="Arial"/>
          <w:color w:val="000000"/>
          <w:sz w:val="24"/>
          <w:szCs w:val="24"/>
        </w:rPr>
        <w:t xml:space="preserve">réduire </w:t>
      </w:r>
      <w:r w:rsidR="00FC5F3A">
        <w:rPr>
          <w:rFonts w:ascii="Arial" w:hAnsi="Arial" w:cs="Arial"/>
          <w:color w:val="000000"/>
          <w:sz w:val="24"/>
          <w:szCs w:val="24"/>
        </w:rPr>
        <w:t xml:space="preserve">et </w:t>
      </w:r>
      <w:r w:rsidR="00A644E2">
        <w:rPr>
          <w:rFonts w:ascii="Arial" w:hAnsi="Arial" w:cs="Arial"/>
          <w:color w:val="000000"/>
          <w:sz w:val="24"/>
          <w:szCs w:val="24"/>
        </w:rPr>
        <w:t>d’</w:t>
      </w:r>
      <w:r w:rsidR="00FC5F3A">
        <w:rPr>
          <w:rFonts w:ascii="Arial" w:hAnsi="Arial" w:cs="Arial"/>
          <w:color w:val="000000"/>
          <w:sz w:val="24"/>
          <w:szCs w:val="24"/>
        </w:rPr>
        <w:t xml:space="preserve">éliminer </w:t>
      </w:r>
      <w:r w:rsidR="001C53BC">
        <w:rPr>
          <w:rFonts w:ascii="Arial" w:hAnsi="Arial" w:cs="Arial"/>
          <w:color w:val="000000"/>
          <w:sz w:val="24"/>
          <w:szCs w:val="24"/>
        </w:rPr>
        <w:t xml:space="preserve">les obstacles, mais doivent également </w:t>
      </w:r>
      <w:r w:rsidR="00A55659">
        <w:rPr>
          <w:rFonts w:ascii="Arial" w:hAnsi="Arial" w:cs="Arial"/>
          <w:color w:val="000000"/>
          <w:sz w:val="24"/>
          <w:szCs w:val="24"/>
        </w:rPr>
        <w:t>aménager</w:t>
      </w:r>
      <w:r w:rsidR="001C53BC">
        <w:rPr>
          <w:rFonts w:ascii="Arial" w:hAnsi="Arial" w:cs="Arial"/>
          <w:color w:val="000000"/>
          <w:sz w:val="24"/>
          <w:szCs w:val="24"/>
        </w:rPr>
        <w:t xml:space="preserve"> un soutien </w:t>
      </w:r>
      <w:r w:rsidR="00A55659">
        <w:rPr>
          <w:rFonts w:ascii="Arial" w:hAnsi="Arial" w:cs="Arial"/>
          <w:color w:val="000000"/>
          <w:sz w:val="24"/>
          <w:szCs w:val="24"/>
        </w:rPr>
        <w:t>adéquat</w:t>
      </w:r>
      <w:r w:rsidR="00480A84">
        <w:rPr>
          <w:rFonts w:ascii="Arial" w:hAnsi="Arial" w:cs="Arial"/>
          <w:color w:val="000000"/>
          <w:sz w:val="24"/>
          <w:szCs w:val="24"/>
        </w:rPr>
        <w:t xml:space="preserve"> lorsqu’il y a un obstacle, à savoir </w:t>
      </w:r>
      <w:r w:rsidR="00A55659">
        <w:rPr>
          <w:rFonts w:ascii="Arial" w:hAnsi="Arial" w:cs="Arial"/>
          <w:color w:val="000000"/>
          <w:sz w:val="24"/>
          <w:szCs w:val="24"/>
        </w:rPr>
        <w:t>prévoir des mesures d’</w:t>
      </w:r>
      <w:r w:rsidR="00214812">
        <w:rPr>
          <w:rFonts w:ascii="Arial" w:hAnsi="Arial" w:cs="Arial"/>
          <w:color w:val="000000"/>
          <w:sz w:val="24"/>
          <w:szCs w:val="24"/>
        </w:rPr>
        <w:t xml:space="preserve">adaptation. </w:t>
      </w:r>
    </w:p>
    <w:p w:rsidR="00A24F6B" w:rsidRDefault="00473D5B" w:rsidP="00987CB6">
      <w:pPr>
        <w:autoSpaceDE w:val="0"/>
        <w:autoSpaceDN w:val="0"/>
        <w:adjustRightInd w:val="0"/>
        <w:rPr>
          <w:rFonts w:ascii="Arial" w:hAnsi="Arial" w:cs="Arial"/>
          <w:sz w:val="24"/>
          <w:szCs w:val="24"/>
        </w:rPr>
      </w:pPr>
      <w:r>
        <w:rPr>
          <w:rFonts w:ascii="Arial" w:hAnsi="Arial" w:cs="Arial"/>
          <w:sz w:val="24"/>
          <w:szCs w:val="24"/>
        </w:rPr>
        <w:t xml:space="preserve">Un </w:t>
      </w:r>
      <w:r w:rsidR="006B2C6D">
        <w:rPr>
          <w:rFonts w:ascii="Arial" w:hAnsi="Arial" w:cs="Arial"/>
          <w:sz w:val="24"/>
          <w:szCs w:val="24"/>
        </w:rPr>
        <w:t xml:space="preserve">autre </w:t>
      </w:r>
      <w:r>
        <w:rPr>
          <w:rFonts w:ascii="Arial" w:hAnsi="Arial" w:cs="Arial"/>
          <w:sz w:val="24"/>
          <w:szCs w:val="24"/>
        </w:rPr>
        <w:t>aspect crucial</w:t>
      </w:r>
      <w:r w:rsidR="00AC5C3A">
        <w:rPr>
          <w:rFonts w:ascii="Arial" w:hAnsi="Arial" w:cs="Arial"/>
          <w:sz w:val="24"/>
          <w:szCs w:val="24"/>
        </w:rPr>
        <w:t xml:space="preserve"> qui a totalement été ignor</w:t>
      </w:r>
      <w:r w:rsidR="007D21D4">
        <w:rPr>
          <w:rFonts w:ascii="Arial" w:hAnsi="Arial" w:cs="Arial"/>
          <w:sz w:val="24"/>
          <w:szCs w:val="24"/>
        </w:rPr>
        <w:t>é</w:t>
      </w:r>
      <w:r w:rsidR="00AC5C3A">
        <w:rPr>
          <w:rFonts w:ascii="Arial" w:hAnsi="Arial" w:cs="Arial"/>
          <w:sz w:val="24"/>
          <w:szCs w:val="24"/>
        </w:rPr>
        <w:t xml:space="preserve"> de la Loi </w:t>
      </w:r>
      <w:r>
        <w:rPr>
          <w:rFonts w:ascii="Arial" w:hAnsi="Arial" w:cs="Arial"/>
          <w:sz w:val="24"/>
          <w:szCs w:val="24"/>
        </w:rPr>
        <w:t xml:space="preserve">pour s’assurer de </w:t>
      </w:r>
      <w:r w:rsidR="00AC5C3A">
        <w:rPr>
          <w:rFonts w:ascii="Arial" w:hAnsi="Arial" w:cs="Arial"/>
          <w:sz w:val="24"/>
          <w:szCs w:val="24"/>
        </w:rPr>
        <w:t xml:space="preserve">son </w:t>
      </w:r>
      <w:r w:rsidR="00D019EC">
        <w:rPr>
          <w:rFonts w:ascii="Arial" w:hAnsi="Arial" w:cs="Arial"/>
          <w:sz w:val="24"/>
          <w:szCs w:val="24"/>
        </w:rPr>
        <w:t>efficacité</w:t>
      </w:r>
      <w:r>
        <w:rPr>
          <w:rFonts w:ascii="Arial" w:hAnsi="Arial" w:cs="Arial"/>
          <w:sz w:val="24"/>
          <w:szCs w:val="24"/>
        </w:rPr>
        <w:t xml:space="preserve"> et de la possibilité d’év</w:t>
      </w:r>
      <w:r w:rsidR="00AC5C3A">
        <w:rPr>
          <w:rFonts w:ascii="Arial" w:hAnsi="Arial" w:cs="Arial"/>
          <w:sz w:val="24"/>
          <w:szCs w:val="24"/>
        </w:rPr>
        <w:t>aluer s</w:t>
      </w:r>
      <w:r>
        <w:rPr>
          <w:rFonts w:ascii="Arial" w:hAnsi="Arial" w:cs="Arial"/>
          <w:sz w:val="24"/>
          <w:szCs w:val="24"/>
        </w:rPr>
        <w:t xml:space="preserve">es impacts est la nécessité d’avoir </w:t>
      </w:r>
      <w:r w:rsidRPr="003B2BB3">
        <w:rPr>
          <w:rFonts w:ascii="Arial" w:hAnsi="Arial" w:cs="Arial"/>
          <w:sz w:val="24"/>
          <w:szCs w:val="24"/>
        </w:rPr>
        <w:t xml:space="preserve">des </w:t>
      </w:r>
      <w:r w:rsidR="00830E2B" w:rsidRPr="003B2BB3">
        <w:rPr>
          <w:rFonts w:ascii="Arial" w:hAnsi="Arial" w:cs="Arial"/>
          <w:sz w:val="24"/>
          <w:szCs w:val="24"/>
        </w:rPr>
        <w:t>échéanciers</w:t>
      </w:r>
      <w:r w:rsidRPr="003B2BB3">
        <w:rPr>
          <w:rFonts w:ascii="Arial" w:hAnsi="Arial" w:cs="Arial"/>
          <w:sz w:val="24"/>
          <w:szCs w:val="24"/>
        </w:rPr>
        <w:t xml:space="preserve"> </w:t>
      </w:r>
      <w:r w:rsidR="00830E2B" w:rsidRPr="003B2BB3">
        <w:rPr>
          <w:rFonts w:ascii="Arial" w:hAnsi="Arial" w:cs="Arial"/>
          <w:sz w:val="24"/>
          <w:szCs w:val="24"/>
        </w:rPr>
        <w:t>précis</w:t>
      </w:r>
      <w:r>
        <w:rPr>
          <w:rFonts w:ascii="Arial" w:hAnsi="Arial" w:cs="Arial"/>
          <w:sz w:val="24"/>
          <w:szCs w:val="24"/>
        </w:rPr>
        <w:t xml:space="preserve"> entourant l’élaboration des normes et des règlements.</w:t>
      </w:r>
      <w:r w:rsidR="00AC5C3A">
        <w:rPr>
          <w:rFonts w:ascii="Arial" w:hAnsi="Arial" w:cs="Arial"/>
          <w:sz w:val="24"/>
          <w:szCs w:val="24"/>
        </w:rPr>
        <w:t xml:space="preserve"> </w:t>
      </w:r>
      <w:r w:rsidR="009958CB">
        <w:rPr>
          <w:rFonts w:ascii="Arial" w:hAnsi="Arial" w:cs="Arial"/>
          <w:sz w:val="24"/>
          <w:szCs w:val="24"/>
        </w:rPr>
        <w:t xml:space="preserve">D’ailleurs, nous </w:t>
      </w:r>
      <w:r w:rsidR="009958CB" w:rsidRPr="00CF6093">
        <w:rPr>
          <w:rFonts w:ascii="Arial" w:hAnsi="Arial" w:cs="Arial"/>
          <w:sz w:val="24"/>
          <w:szCs w:val="24"/>
        </w:rPr>
        <w:t>r</w:t>
      </w:r>
      <w:r w:rsidR="007D21D4" w:rsidRPr="00CF6093">
        <w:rPr>
          <w:rFonts w:ascii="Arial" w:hAnsi="Arial" w:cs="Arial"/>
          <w:sz w:val="24"/>
          <w:szCs w:val="24"/>
        </w:rPr>
        <w:t>éfér</w:t>
      </w:r>
      <w:r w:rsidR="009958CB" w:rsidRPr="00CF6093">
        <w:rPr>
          <w:rFonts w:ascii="Arial" w:hAnsi="Arial" w:cs="Arial"/>
          <w:sz w:val="24"/>
          <w:szCs w:val="24"/>
        </w:rPr>
        <w:t xml:space="preserve">ons </w:t>
      </w:r>
      <w:r w:rsidR="009958CB">
        <w:rPr>
          <w:rFonts w:ascii="Arial" w:hAnsi="Arial" w:cs="Arial"/>
          <w:sz w:val="24"/>
          <w:szCs w:val="24"/>
        </w:rPr>
        <w:t xml:space="preserve">à l’idée </w:t>
      </w:r>
      <w:r w:rsidR="00682406">
        <w:rPr>
          <w:rFonts w:ascii="Arial" w:hAnsi="Arial" w:cs="Arial"/>
          <w:sz w:val="24"/>
          <w:szCs w:val="24"/>
        </w:rPr>
        <w:t>du Conseil de</w:t>
      </w:r>
      <w:r w:rsidR="00A644E2">
        <w:rPr>
          <w:rFonts w:ascii="Arial" w:hAnsi="Arial" w:cs="Arial"/>
          <w:sz w:val="24"/>
          <w:szCs w:val="24"/>
        </w:rPr>
        <w:t>s Canadiens avec déficiences</w:t>
      </w:r>
      <w:r w:rsidR="00682406">
        <w:rPr>
          <w:rFonts w:ascii="Arial" w:hAnsi="Arial" w:cs="Arial"/>
          <w:sz w:val="24"/>
          <w:szCs w:val="24"/>
        </w:rPr>
        <w:t xml:space="preserve"> </w:t>
      </w:r>
      <w:r w:rsidR="00CF6093">
        <w:rPr>
          <w:rFonts w:ascii="Arial" w:hAnsi="Arial" w:cs="Arial"/>
          <w:sz w:val="24"/>
          <w:szCs w:val="24"/>
        </w:rPr>
        <w:t>et à la</w:t>
      </w:r>
      <w:r w:rsidR="00682406">
        <w:rPr>
          <w:rFonts w:ascii="Arial" w:hAnsi="Arial" w:cs="Arial"/>
          <w:sz w:val="24"/>
          <w:szCs w:val="24"/>
        </w:rPr>
        <w:t xml:space="preserve"> réalisation progressive avec des étapes et des objectifs </w:t>
      </w:r>
      <w:r w:rsidR="00682406" w:rsidRPr="0058772D">
        <w:rPr>
          <w:rFonts w:ascii="Arial" w:hAnsi="Arial" w:cs="Arial"/>
          <w:sz w:val="24"/>
          <w:szCs w:val="24"/>
        </w:rPr>
        <w:t xml:space="preserve">précis dans le temps afin de réaliser pleinement toutes les obligations légales découlant de la Loi. </w:t>
      </w:r>
      <w:r w:rsidR="00DA68E0" w:rsidRPr="0058772D">
        <w:rPr>
          <w:rFonts w:ascii="Arial" w:hAnsi="Arial" w:cs="Arial"/>
          <w:sz w:val="24"/>
          <w:szCs w:val="24"/>
        </w:rPr>
        <w:t>Par exemple, concernant le domaine de l’emploi, la Loi pourrait prévoir un seuil minimal d’employés ayant des limitations fonctionnelles dans la fonction publique fédérale</w:t>
      </w:r>
      <w:r w:rsidR="00AC640B" w:rsidRPr="0058772D">
        <w:rPr>
          <w:rStyle w:val="Appelnotedebasdep"/>
          <w:rFonts w:ascii="Arial" w:hAnsi="Arial" w:cs="Arial"/>
          <w:sz w:val="24"/>
          <w:szCs w:val="24"/>
        </w:rPr>
        <w:footnoteReference w:id="3"/>
      </w:r>
      <w:r w:rsidR="00DA68E0" w:rsidRPr="0058772D">
        <w:rPr>
          <w:rFonts w:ascii="Arial" w:hAnsi="Arial" w:cs="Arial"/>
          <w:sz w:val="24"/>
          <w:szCs w:val="24"/>
        </w:rPr>
        <w:t>. Nous insistons</w:t>
      </w:r>
      <w:r w:rsidR="00DA68E0">
        <w:rPr>
          <w:rFonts w:ascii="Arial" w:hAnsi="Arial" w:cs="Arial"/>
          <w:sz w:val="24"/>
          <w:szCs w:val="24"/>
        </w:rPr>
        <w:t xml:space="preserve"> sur le </w:t>
      </w:r>
      <w:r w:rsidR="00DA68E0" w:rsidRPr="00D82157">
        <w:rPr>
          <w:rFonts w:ascii="Arial" w:hAnsi="Arial" w:cs="Arial"/>
          <w:sz w:val="24"/>
          <w:szCs w:val="24"/>
        </w:rPr>
        <w:t>fait que la Loi doit dépasser le simple vœu pieu</w:t>
      </w:r>
      <w:r w:rsidR="007D21D4">
        <w:rPr>
          <w:rFonts w:ascii="Arial" w:hAnsi="Arial" w:cs="Arial"/>
          <w:sz w:val="24"/>
          <w:szCs w:val="24"/>
        </w:rPr>
        <w:t>x</w:t>
      </w:r>
      <w:r w:rsidR="00DA68E0" w:rsidRPr="00D82157">
        <w:rPr>
          <w:rFonts w:ascii="Arial" w:hAnsi="Arial" w:cs="Arial"/>
          <w:sz w:val="24"/>
          <w:szCs w:val="24"/>
        </w:rPr>
        <w:t xml:space="preserve"> et </w:t>
      </w:r>
      <w:r w:rsidR="00C0628D" w:rsidRPr="00D82157">
        <w:rPr>
          <w:rFonts w:ascii="Arial" w:hAnsi="Arial" w:cs="Arial"/>
          <w:sz w:val="24"/>
          <w:szCs w:val="24"/>
        </w:rPr>
        <w:t>comporter</w:t>
      </w:r>
      <w:r w:rsidR="00DA68E0" w:rsidRPr="00D82157">
        <w:rPr>
          <w:rFonts w:ascii="Arial" w:hAnsi="Arial" w:cs="Arial"/>
          <w:sz w:val="24"/>
          <w:szCs w:val="24"/>
        </w:rPr>
        <w:t xml:space="preserve"> des objectifs quantifiables précis. </w:t>
      </w:r>
    </w:p>
    <w:p w:rsidR="00DA68E0" w:rsidRDefault="00D82157" w:rsidP="00987CB6">
      <w:pPr>
        <w:autoSpaceDE w:val="0"/>
        <w:autoSpaceDN w:val="0"/>
        <w:adjustRightInd w:val="0"/>
        <w:rPr>
          <w:rFonts w:ascii="Arial" w:eastAsia="Times New Roman" w:hAnsi="Arial" w:cs="Arial"/>
          <w:sz w:val="24"/>
          <w:szCs w:val="24"/>
        </w:rPr>
      </w:pPr>
      <w:r w:rsidRPr="00F73E51">
        <w:rPr>
          <w:rFonts w:ascii="Arial" w:eastAsia="Times New Roman" w:hAnsi="Arial" w:cs="Arial"/>
          <w:sz w:val="24"/>
          <w:szCs w:val="24"/>
        </w:rPr>
        <w:lastRenderedPageBreak/>
        <w:t>Nous recommandons que la Loi fasse l’objet d’une évaluation indépendante tous les cinq ans.</w:t>
      </w:r>
    </w:p>
    <w:p w:rsidR="00987CB6" w:rsidRDefault="00987CB6" w:rsidP="00987CB6"/>
    <w:p w:rsidR="000E416E" w:rsidRPr="000E416E" w:rsidRDefault="000E416E" w:rsidP="00987CB6">
      <w:pPr>
        <w:pStyle w:val="Titre1"/>
        <w:spacing w:line="276" w:lineRule="auto"/>
        <w:rPr>
          <w:b/>
          <w:color w:val="auto"/>
        </w:rPr>
      </w:pPr>
      <w:r w:rsidRPr="000E416E">
        <w:rPr>
          <w:b/>
          <w:color w:val="auto"/>
        </w:rPr>
        <w:t xml:space="preserve">Champ d’application </w:t>
      </w:r>
    </w:p>
    <w:p w:rsidR="005A764B" w:rsidRDefault="000E416E" w:rsidP="00987CB6">
      <w:pPr>
        <w:autoSpaceDE w:val="0"/>
        <w:autoSpaceDN w:val="0"/>
        <w:adjustRightInd w:val="0"/>
        <w:spacing w:after="0"/>
        <w:rPr>
          <w:rFonts w:ascii="Arial" w:hAnsi="Arial" w:cs="Arial"/>
          <w:color w:val="000000"/>
          <w:sz w:val="24"/>
          <w:szCs w:val="24"/>
        </w:rPr>
      </w:pPr>
      <w:r>
        <w:rPr>
          <w:rFonts w:ascii="Arial" w:hAnsi="Arial" w:cs="Arial"/>
          <w:color w:val="000000"/>
          <w:sz w:val="24"/>
          <w:szCs w:val="24"/>
        </w:rPr>
        <w:t>Concernant le champ</w:t>
      </w:r>
      <w:r w:rsidR="00C4004E">
        <w:rPr>
          <w:rFonts w:ascii="Arial" w:hAnsi="Arial" w:cs="Arial"/>
          <w:color w:val="000000"/>
          <w:sz w:val="24"/>
          <w:szCs w:val="24"/>
        </w:rPr>
        <w:t xml:space="preserve"> d’application, nous tenons à rappeler l’importance d’une approche transversale afin que l’application de la Loi soit étendue à l’ensemble des activités de l’État fédéral. </w:t>
      </w:r>
      <w:r>
        <w:rPr>
          <w:rFonts w:ascii="Arial" w:hAnsi="Arial" w:cs="Arial"/>
          <w:color w:val="000000"/>
          <w:sz w:val="24"/>
          <w:szCs w:val="24"/>
        </w:rPr>
        <w:t>Ainsi, l</w:t>
      </w:r>
      <w:r w:rsidR="00D71334">
        <w:rPr>
          <w:rFonts w:ascii="Arial" w:hAnsi="Arial" w:cs="Arial"/>
          <w:color w:val="000000"/>
          <w:sz w:val="24"/>
          <w:szCs w:val="24"/>
        </w:rPr>
        <w:t xml:space="preserve">e champ d’application </w:t>
      </w:r>
      <w:r w:rsidR="0029685D">
        <w:rPr>
          <w:rFonts w:ascii="Arial" w:hAnsi="Arial" w:cs="Arial"/>
          <w:color w:val="000000"/>
          <w:sz w:val="24"/>
          <w:szCs w:val="24"/>
        </w:rPr>
        <w:t xml:space="preserve">de la Loi </w:t>
      </w:r>
      <w:r w:rsidR="00D71334">
        <w:rPr>
          <w:rFonts w:ascii="Arial" w:hAnsi="Arial" w:cs="Arial"/>
          <w:color w:val="000000"/>
          <w:sz w:val="24"/>
          <w:szCs w:val="24"/>
        </w:rPr>
        <w:t>doit également inclure toutes les sommes dépensées dans les sphères d’activités du choix du gouvernement fédéral (communément appel</w:t>
      </w:r>
      <w:r w:rsidR="007D21D4">
        <w:rPr>
          <w:rFonts w:ascii="Arial" w:hAnsi="Arial" w:cs="Arial"/>
          <w:color w:val="000000"/>
          <w:sz w:val="24"/>
          <w:szCs w:val="24"/>
        </w:rPr>
        <w:t>é</w:t>
      </w:r>
      <w:r w:rsidR="00D71334">
        <w:rPr>
          <w:rFonts w:ascii="Arial" w:hAnsi="Arial" w:cs="Arial"/>
          <w:color w:val="000000"/>
          <w:sz w:val="24"/>
          <w:szCs w:val="24"/>
        </w:rPr>
        <w:t xml:space="preserve"> le « pouvoir de dépenser »)</w:t>
      </w:r>
      <w:r w:rsidR="00F73E51">
        <w:rPr>
          <w:rFonts w:ascii="Arial" w:hAnsi="Arial" w:cs="Arial"/>
          <w:color w:val="000000"/>
          <w:sz w:val="24"/>
          <w:szCs w:val="24"/>
        </w:rPr>
        <w:t xml:space="preserve"> et des </w:t>
      </w:r>
      <w:r w:rsidR="00A24F6B">
        <w:rPr>
          <w:rFonts w:ascii="Arial" w:hAnsi="Arial" w:cs="Arial"/>
          <w:color w:val="000000"/>
          <w:sz w:val="24"/>
          <w:szCs w:val="24"/>
        </w:rPr>
        <w:t>transferts</w:t>
      </w:r>
      <w:r w:rsidR="00F73E51">
        <w:rPr>
          <w:rFonts w:ascii="Arial" w:hAnsi="Arial" w:cs="Arial"/>
          <w:color w:val="000000"/>
          <w:sz w:val="24"/>
          <w:szCs w:val="24"/>
        </w:rPr>
        <w:t xml:space="preserve"> intergouvernementaux</w:t>
      </w:r>
      <w:r w:rsidR="00D71334">
        <w:rPr>
          <w:rFonts w:ascii="Arial" w:hAnsi="Arial" w:cs="Arial"/>
          <w:color w:val="000000"/>
          <w:sz w:val="24"/>
          <w:szCs w:val="24"/>
        </w:rPr>
        <w:t xml:space="preserve">. </w:t>
      </w:r>
      <w:r w:rsidR="005A764B">
        <w:rPr>
          <w:rFonts w:ascii="Arial" w:hAnsi="Arial" w:cs="Arial"/>
          <w:color w:val="000000"/>
          <w:sz w:val="24"/>
          <w:szCs w:val="24"/>
        </w:rPr>
        <w:t xml:space="preserve">Une façon simple serait d’inclure une clause d’accès-conditionnalité, soit que l’attribution de tout financement fédéral soit conditionnelle au respect de certaines exigences en matière d’accessibilité. </w:t>
      </w:r>
    </w:p>
    <w:p w:rsidR="00220D86" w:rsidRDefault="00220D86" w:rsidP="00987CB6">
      <w:pPr>
        <w:autoSpaceDE w:val="0"/>
        <w:autoSpaceDN w:val="0"/>
        <w:adjustRightInd w:val="0"/>
        <w:spacing w:after="0"/>
        <w:rPr>
          <w:rFonts w:ascii="Arial" w:hAnsi="Arial" w:cs="Arial"/>
          <w:color w:val="000000"/>
          <w:sz w:val="24"/>
          <w:szCs w:val="24"/>
        </w:rPr>
      </w:pPr>
    </w:p>
    <w:p w:rsidR="005E6985" w:rsidRPr="005E6985" w:rsidRDefault="0058772D" w:rsidP="00987CB6">
      <w:pPr>
        <w:pStyle w:val="Titre1"/>
        <w:spacing w:line="276" w:lineRule="auto"/>
        <w:rPr>
          <w:b/>
          <w:color w:val="auto"/>
        </w:rPr>
      </w:pPr>
      <w:r>
        <w:rPr>
          <w:b/>
          <w:color w:val="auto"/>
        </w:rPr>
        <w:t xml:space="preserve">Données </w:t>
      </w:r>
      <w:r w:rsidR="00BC3EED">
        <w:rPr>
          <w:b/>
          <w:color w:val="auto"/>
        </w:rPr>
        <w:t xml:space="preserve">et </w:t>
      </w:r>
      <w:r>
        <w:rPr>
          <w:b/>
          <w:color w:val="auto"/>
        </w:rPr>
        <w:t xml:space="preserve">statistiques </w:t>
      </w:r>
    </w:p>
    <w:p w:rsidR="0058772D" w:rsidRDefault="00954BE0" w:rsidP="00987CB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L’article 15 institue la possibilité pour le ministre responsable de la mise en œuvre de la Loi de </w:t>
      </w:r>
      <w:r w:rsidRPr="00954BE0">
        <w:rPr>
          <w:rFonts w:ascii="Arial" w:hAnsi="Arial" w:cs="Arial"/>
          <w:color w:val="000000"/>
          <w:sz w:val="24"/>
          <w:szCs w:val="24"/>
        </w:rPr>
        <w:t xml:space="preserve">« recueillir, analyser, interpréter, publier et diffuser des renseignements concernant les questions d’accessibilité ». Or, afin de véritablement mesurer l’inclusion des personnes ayant des limitations fonctionnelles au sein de notre société, il importe de colliger des informations à ce sujet. </w:t>
      </w:r>
    </w:p>
    <w:p w:rsidR="005E6985" w:rsidRDefault="00954BE0" w:rsidP="00987CB6">
      <w:pPr>
        <w:autoSpaceDE w:val="0"/>
        <w:autoSpaceDN w:val="0"/>
        <w:adjustRightInd w:val="0"/>
        <w:spacing w:after="0"/>
        <w:rPr>
          <w:rFonts w:ascii="Arial" w:eastAsia="Times New Roman" w:hAnsi="Arial" w:cs="Arial"/>
          <w:sz w:val="24"/>
          <w:szCs w:val="24"/>
        </w:rPr>
      </w:pPr>
      <w:r w:rsidRPr="00954BE0">
        <w:rPr>
          <w:rFonts w:ascii="Arial" w:eastAsia="Times New Roman" w:hAnsi="Arial" w:cs="Arial"/>
          <w:sz w:val="24"/>
          <w:szCs w:val="24"/>
        </w:rPr>
        <w:t xml:space="preserve">Ainsi, il faut </w:t>
      </w:r>
      <w:r w:rsidR="00F73E51">
        <w:rPr>
          <w:rFonts w:ascii="Arial" w:eastAsia="Times New Roman" w:hAnsi="Arial" w:cs="Arial"/>
          <w:sz w:val="24"/>
          <w:szCs w:val="24"/>
        </w:rPr>
        <w:t>imposer à tous les ministères et organismes publics</w:t>
      </w:r>
      <w:r w:rsidRPr="00954BE0">
        <w:rPr>
          <w:rFonts w:ascii="Arial" w:eastAsia="Times New Roman" w:hAnsi="Arial" w:cs="Arial"/>
          <w:sz w:val="24"/>
          <w:szCs w:val="24"/>
        </w:rPr>
        <w:t>, comme c’est fait dans l’analyse différenciée selon les sexes, dans toutes les recherches ou études statistiques, une analyse différenciée selon les capacités, c’est-à-dire faire ressortir la spécificité des personnes ayant des limitations fonctionnelles dans l’ensemble des données collectées.</w:t>
      </w:r>
      <w:r w:rsidR="00E60AD2">
        <w:rPr>
          <w:rFonts w:ascii="Arial" w:eastAsia="Times New Roman" w:hAnsi="Arial" w:cs="Arial"/>
          <w:sz w:val="24"/>
          <w:szCs w:val="24"/>
        </w:rPr>
        <w:t xml:space="preserve"> </w:t>
      </w:r>
      <w:r w:rsidR="002B62D0">
        <w:rPr>
          <w:rFonts w:ascii="Arial" w:eastAsia="Times New Roman" w:hAnsi="Arial" w:cs="Arial"/>
          <w:sz w:val="24"/>
          <w:szCs w:val="24"/>
        </w:rPr>
        <w:t xml:space="preserve">La même obligation devrait aussi être faite à toutes les entités qui reçoivent un quelconque financement de la part du gouvernement fédéral. </w:t>
      </w:r>
      <w:r w:rsidR="000E60D3">
        <w:rPr>
          <w:rFonts w:ascii="Arial" w:eastAsia="Times New Roman" w:hAnsi="Arial" w:cs="Arial"/>
          <w:sz w:val="24"/>
          <w:szCs w:val="24"/>
        </w:rPr>
        <w:t xml:space="preserve">Par exemple, avec le concept de handi-responsabilité, on pourrait ainsi penser qu’un certain pourcentage de la somme attribuée pour un contrat soit réservé à l’inclusion en emploi. </w:t>
      </w:r>
    </w:p>
    <w:p w:rsidR="00E60AD2" w:rsidRDefault="00E60AD2" w:rsidP="00987CB6">
      <w:pPr>
        <w:autoSpaceDE w:val="0"/>
        <w:autoSpaceDN w:val="0"/>
        <w:adjustRightInd w:val="0"/>
        <w:spacing w:after="0"/>
        <w:rPr>
          <w:rFonts w:ascii="Arial" w:eastAsia="Times New Roman" w:hAnsi="Arial" w:cs="Arial"/>
          <w:sz w:val="24"/>
          <w:szCs w:val="24"/>
        </w:rPr>
      </w:pPr>
    </w:p>
    <w:p w:rsidR="00CE3884" w:rsidRPr="00B73935" w:rsidRDefault="00CE3884" w:rsidP="00987CB6">
      <w:pPr>
        <w:pStyle w:val="Titre1"/>
        <w:spacing w:line="276" w:lineRule="auto"/>
        <w:rPr>
          <w:b/>
          <w:color w:val="auto"/>
        </w:rPr>
      </w:pPr>
      <w:r w:rsidRPr="00CD1316">
        <w:rPr>
          <w:b/>
          <w:color w:val="auto"/>
        </w:rPr>
        <w:t>Organisation canadienne d’élaboration de normes d’accessibilité</w:t>
      </w:r>
      <w:r w:rsidRPr="00B73935">
        <w:rPr>
          <w:b/>
          <w:color w:val="auto"/>
        </w:rPr>
        <w:t xml:space="preserve"> </w:t>
      </w:r>
    </w:p>
    <w:p w:rsidR="000E60D3" w:rsidRPr="00FB4165" w:rsidRDefault="000E60D3" w:rsidP="00987CB6">
      <w:pPr>
        <w:autoSpaceDE w:val="0"/>
        <w:autoSpaceDN w:val="0"/>
        <w:adjustRightInd w:val="0"/>
      </w:pPr>
      <w:r w:rsidRPr="000E60D3">
        <w:rPr>
          <w:rFonts w:ascii="Arial" w:hAnsi="Arial" w:cs="Arial"/>
          <w:color w:val="000000"/>
          <w:sz w:val="24"/>
          <w:szCs w:val="24"/>
        </w:rPr>
        <w:t xml:space="preserve">Ne connaissant pas la date d’adoption de la présente Loi ou encore moins son début de mise en œuvre, nous croyons qu’il serait opportun </w:t>
      </w:r>
      <w:r w:rsidR="009B66AD">
        <w:rPr>
          <w:rFonts w:ascii="Arial" w:hAnsi="Arial" w:cs="Arial"/>
          <w:color w:val="000000"/>
          <w:sz w:val="24"/>
          <w:szCs w:val="24"/>
        </w:rPr>
        <w:t>d’exiger</w:t>
      </w:r>
      <w:r w:rsidR="009D4B13">
        <w:rPr>
          <w:rFonts w:ascii="Arial" w:hAnsi="Arial" w:cs="Arial"/>
          <w:color w:val="000000"/>
          <w:sz w:val="24"/>
          <w:szCs w:val="24"/>
        </w:rPr>
        <w:t xml:space="preserve"> </w:t>
      </w:r>
      <w:r w:rsidR="00C52270">
        <w:rPr>
          <w:rFonts w:ascii="Arial" w:hAnsi="Arial" w:cs="Arial"/>
          <w:color w:val="000000"/>
          <w:sz w:val="24"/>
          <w:szCs w:val="24"/>
        </w:rPr>
        <w:t xml:space="preserve">que </w:t>
      </w:r>
      <w:r w:rsidR="009D4B13">
        <w:rPr>
          <w:rFonts w:ascii="Arial" w:hAnsi="Arial" w:cs="Arial"/>
          <w:color w:val="000000"/>
          <w:sz w:val="24"/>
          <w:szCs w:val="24"/>
        </w:rPr>
        <w:t>les normes de la Canadian Standards Association (</w:t>
      </w:r>
      <w:r w:rsidR="00D92811">
        <w:rPr>
          <w:rFonts w:ascii="Arial" w:hAnsi="Arial" w:cs="Arial"/>
          <w:color w:val="000000"/>
          <w:sz w:val="24"/>
          <w:szCs w:val="24"/>
        </w:rPr>
        <w:t>« </w:t>
      </w:r>
      <w:r w:rsidR="009D4B13">
        <w:rPr>
          <w:rFonts w:ascii="Arial" w:hAnsi="Arial" w:cs="Arial"/>
          <w:color w:val="000000"/>
          <w:sz w:val="24"/>
          <w:szCs w:val="24"/>
        </w:rPr>
        <w:t>CSA</w:t>
      </w:r>
      <w:r w:rsidR="00D92811">
        <w:rPr>
          <w:rFonts w:ascii="Arial" w:hAnsi="Arial" w:cs="Arial"/>
          <w:color w:val="000000"/>
          <w:sz w:val="24"/>
          <w:szCs w:val="24"/>
        </w:rPr>
        <w:t> »</w:t>
      </w:r>
      <w:r w:rsidR="009D4B13">
        <w:rPr>
          <w:rFonts w:ascii="Arial" w:hAnsi="Arial" w:cs="Arial"/>
          <w:color w:val="000000"/>
          <w:sz w:val="24"/>
          <w:szCs w:val="24"/>
        </w:rPr>
        <w:t xml:space="preserve">) </w:t>
      </w:r>
      <w:r w:rsidR="00F82D04">
        <w:rPr>
          <w:rFonts w:ascii="Arial" w:hAnsi="Arial" w:cs="Arial"/>
          <w:color w:val="000000"/>
          <w:sz w:val="24"/>
          <w:szCs w:val="24"/>
        </w:rPr>
        <w:t xml:space="preserve">soient imposées </w:t>
      </w:r>
      <w:r w:rsidR="009D4B13">
        <w:rPr>
          <w:rFonts w:ascii="Arial" w:hAnsi="Arial" w:cs="Arial"/>
          <w:color w:val="000000"/>
          <w:sz w:val="24"/>
          <w:szCs w:val="24"/>
        </w:rPr>
        <w:t>et ce en attendant la création et l’opérationnalisation de l’Organisation canadienne d’élaboration de normes d’accessibilité (« OCENA »).</w:t>
      </w:r>
      <w:r w:rsidR="00D808A6">
        <w:rPr>
          <w:rFonts w:ascii="Arial" w:hAnsi="Arial" w:cs="Arial"/>
          <w:color w:val="000000"/>
          <w:sz w:val="24"/>
          <w:szCs w:val="24"/>
        </w:rPr>
        <w:t xml:space="preserve"> Bien qu’étant imparfaites, les normes CSA </w:t>
      </w:r>
      <w:r w:rsidR="007A47BC">
        <w:rPr>
          <w:rFonts w:ascii="Arial" w:hAnsi="Arial" w:cs="Arial"/>
          <w:color w:val="000000"/>
          <w:sz w:val="24"/>
          <w:szCs w:val="24"/>
        </w:rPr>
        <w:t xml:space="preserve">sont pour nous un </w:t>
      </w:r>
      <w:r w:rsidR="00D808A6">
        <w:rPr>
          <w:rFonts w:ascii="Arial" w:hAnsi="Arial" w:cs="Arial"/>
          <w:color w:val="000000"/>
          <w:sz w:val="24"/>
          <w:szCs w:val="24"/>
        </w:rPr>
        <w:t xml:space="preserve">socle minimal. </w:t>
      </w:r>
      <w:r w:rsidR="008264FF">
        <w:rPr>
          <w:rFonts w:ascii="Arial" w:hAnsi="Arial" w:cs="Arial"/>
          <w:color w:val="000000"/>
          <w:sz w:val="24"/>
          <w:szCs w:val="24"/>
        </w:rPr>
        <w:t xml:space="preserve">De la même façon, les normes WCAG </w:t>
      </w:r>
      <w:r w:rsidR="007A47BC">
        <w:rPr>
          <w:rFonts w:ascii="Arial" w:hAnsi="Arial" w:cs="Arial"/>
          <w:color w:val="000000"/>
          <w:sz w:val="24"/>
          <w:szCs w:val="24"/>
        </w:rPr>
        <w:t>à jour</w:t>
      </w:r>
      <w:r w:rsidR="008264FF">
        <w:rPr>
          <w:rFonts w:ascii="Arial" w:hAnsi="Arial" w:cs="Arial"/>
          <w:color w:val="000000"/>
          <w:sz w:val="24"/>
          <w:szCs w:val="24"/>
        </w:rPr>
        <w:t xml:space="preserve"> devrai</w:t>
      </w:r>
      <w:r w:rsidR="0021514F">
        <w:rPr>
          <w:rFonts w:ascii="Arial" w:hAnsi="Arial" w:cs="Arial"/>
          <w:color w:val="000000"/>
          <w:sz w:val="24"/>
          <w:szCs w:val="24"/>
        </w:rPr>
        <w:t>en</w:t>
      </w:r>
      <w:r w:rsidR="008264FF">
        <w:rPr>
          <w:rFonts w:ascii="Arial" w:hAnsi="Arial" w:cs="Arial"/>
          <w:color w:val="000000"/>
          <w:sz w:val="24"/>
          <w:szCs w:val="24"/>
        </w:rPr>
        <w:t>t être adopté</w:t>
      </w:r>
      <w:r w:rsidR="0021514F">
        <w:rPr>
          <w:rFonts w:ascii="Arial" w:hAnsi="Arial" w:cs="Arial"/>
          <w:color w:val="000000"/>
          <w:sz w:val="24"/>
          <w:szCs w:val="24"/>
        </w:rPr>
        <w:t>es</w:t>
      </w:r>
      <w:r w:rsidR="008264FF">
        <w:rPr>
          <w:rFonts w:ascii="Arial" w:hAnsi="Arial" w:cs="Arial"/>
          <w:color w:val="000000"/>
          <w:sz w:val="24"/>
          <w:szCs w:val="24"/>
        </w:rPr>
        <w:t xml:space="preserve"> pour atteindre le niveau AA </w:t>
      </w:r>
      <w:r w:rsidR="008264FF">
        <w:rPr>
          <w:rFonts w:ascii="Arial" w:hAnsi="Arial" w:cs="Arial"/>
          <w:color w:val="000000"/>
          <w:sz w:val="24"/>
          <w:szCs w:val="24"/>
        </w:rPr>
        <w:lastRenderedPageBreak/>
        <w:t>sur les sites internes et externes</w:t>
      </w:r>
      <w:r w:rsidR="000D0991">
        <w:rPr>
          <w:rFonts w:ascii="Arial" w:hAnsi="Arial" w:cs="Arial"/>
          <w:color w:val="000000"/>
          <w:sz w:val="24"/>
          <w:szCs w:val="24"/>
        </w:rPr>
        <w:t xml:space="preserve"> et les applications mobiles</w:t>
      </w:r>
      <w:r w:rsidR="008264FF">
        <w:rPr>
          <w:rFonts w:ascii="Arial" w:hAnsi="Arial" w:cs="Arial"/>
          <w:color w:val="000000"/>
          <w:sz w:val="24"/>
          <w:szCs w:val="24"/>
        </w:rPr>
        <w:t xml:space="preserve"> du gouvernement du Canada</w:t>
      </w:r>
      <w:r w:rsidR="007A47BC">
        <w:rPr>
          <w:rFonts w:ascii="Arial" w:hAnsi="Arial" w:cs="Arial"/>
          <w:color w:val="000000"/>
          <w:sz w:val="24"/>
          <w:szCs w:val="24"/>
        </w:rPr>
        <w:t>. Cela devrait s’appliquer également pour toute organisation ou initiative supporté</w:t>
      </w:r>
      <w:r w:rsidR="00EC604F">
        <w:rPr>
          <w:rFonts w:ascii="Arial" w:hAnsi="Arial" w:cs="Arial"/>
          <w:color w:val="000000"/>
          <w:sz w:val="24"/>
          <w:szCs w:val="24"/>
        </w:rPr>
        <w:t>es</w:t>
      </w:r>
      <w:r w:rsidR="007A47BC">
        <w:rPr>
          <w:rFonts w:ascii="Arial" w:hAnsi="Arial" w:cs="Arial"/>
          <w:color w:val="000000"/>
          <w:sz w:val="24"/>
          <w:szCs w:val="24"/>
        </w:rPr>
        <w:t xml:space="preserve"> par l’argent public canadien</w:t>
      </w:r>
      <w:r w:rsidR="008264FF">
        <w:rPr>
          <w:rFonts w:ascii="Arial" w:hAnsi="Arial" w:cs="Arial"/>
          <w:color w:val="000000"/>
          <w:sz w:val="24"/>
          <w:szCs w:val="24"/>
        </w:rPr>
        <w:t xml:space="preserve">. </w:t>
      </w:r>
      <w:r w:rsidR="007A47BC">
        <w:rPr>
          <w:rFonts w:ascii="Arial" w:hAnsi="Arial" w:cs="Arial"/>
          <w:color w:val="000000"/>
          <w:sz w:val="24"/>
          <w:szCs w:val="24"/>
        </w:rPr>
        <w:t xml:space="preserve">L’OCENA se chargera par la suite d’élaborer ses propres normes et </w:t>
      </w:r>
      <w:r w:rsidR="00583751">
        <w:rPr>
          <w:rFonts w:ascii="Arial" w:hAnsi="Arial" w:cs="Arial"/>
          <w:color w:val="000000"/>
          <w:sz w:val="24"/>
          <w:szCs w:val="24"/>
        </w:rPr>
        <w:t>pourra ajuster les</w:t>
      </w:r>
      <w:r w:rsidR="007A47BC">
        <w:rPr>
          <w:rFonts w:ascii="Arial" w:hAnsi="Arial" w:cs="Arial"/>
          <w:color w:val="000000"/>
          <w:sz w:val="24"/>
          <w:szCs w:val="24"/>
        </w:rPr>
        <w:t xml:space="preserve"> </w:t>
      </w:r>
      <w:r w:rsidR="00583751">
        <w:rPr>
          <w:rFonts w:ascii="Arial" w:hAnsi="Arial" w:cs="Arial"/>
          <w:color w:val="000000"/>
          <w:sz w:val="24"/>
          <w:szCs w:val="24"/>
        </w:rPr>
        <w:t>standards</w:t>
      </w:r>
      <w:r w:rsidR="00FB4165">
        <w:rPr>
          <w:rFonts w:ascii="Arial" w:hAnsi="Arial" w:cs="Arial"/>
          <w:color w:val="000000"/>
          <w:sz w:val="24"/>
          <w:szCs w:val="24"/>
        </w:rPr>
        <w:t xml:space="preserve"> déjà institués par les CSA et les WCAG.</w:t>
      </w:r>
    </w:p>
    <w:p w:rsidR="005B78E0" w:rsidRDefault="00CD1316" w:rsidP="00987CB6">
      <w:pPr>
        <w:spacing w:after="160"/>
        <w:rPr>
          <w:rFonts w:ascii="Arial" w:hAnsi="Arial" w:cs="Arial"/>
          <w:sz w:val="24"/>
          <w:szCs w:val="24"/>
        </w:rPr>
      </w:pPr>
      <w:r>
        <w:rPr>
          <w:rFonts w:ascii="Arial" w:hAnsi="Arial" w:cs="Arial"/>
          <w:sz w:val="24"/>
          <w:szCs w:val="24"/>
        </w:rPr>
        <w:t>L</w:t>
      </w:r>
      <w:r w:rsidR="0026241F">
        <w:rPr>
          <w:rFonts w:ascii="Arial" w:hAnsi="Arial" w:cs="Arial"/>
          <w:sz w:val="24"/>
          <w:szCs w:val="24"/>
        </w:rPr>
        <w:t xml:space="preserve">a Loi institut </w:t>
      </w:r>
      <w:r w:rsidR="0088167B">
        <w:rPr>
          <w:rFonts w:ascii="Arial" w:hAnsi="Arial" w:cs="Arial"/>
          <w:sz w:val="24"/>
          <w:szCs w:val="24"/>
        </w:rPr>
        <w:t>que le conseil d’administration de l’</w:t>
      </w:r>
      <w:r w:rsidR="00FF5154">
        <w:rPr>
          <w:rFonts w:ascii="Arial" w:hAnsi="Arial" w:cs="Arial"/>
          <w:sz w:val="24"/>
          <w:szCs w:val="24"/>
        </w:rPr>
        <w:t>OCENA</w:t>
      </w:r>
      <w:r w:rsidR="0088167B">
        <w:rPr>
          <w:rFonts w:ascii="Arial" w:hAnsi="Arial" w:cs="Arial"/>
          <w:sz w:val="24"/>
          <w:szCs w:val="24"/>
        </w:rPr>
        <w:t xml:space="preserve"> qui doit être composé</w:t>
      </w:r>
      <w:r w:rsidR="0026241F">
        <w:rPr>
          <w:rFonts w:ascii="Arial" w:hAnsi="Arial" w:cs="Arial"/>
          <w:sz w:val="24"/>
          <w:szCs w:val="24"/>
        </w:rPr>
        <w:t xml:space="preserve"> à </w:t>
      </w:r>
      <w:r w:rsidR="0026241F" w:rsidRPr="00FA3C41">
        <w:rPr>
          <w:rFonts w:ascii="Arial" w:hAnsi="Arial" w:cs="Arial"/>
          <w:sz w:val="24"/>
          <w:szCs w:val="24"/>
        </w:rPr>
        <w:t xml:space="preserve">majorité </w:t>
      </w:r>
      <w:r w:rsidR="0026241F">
        <w:rPr>
          <w:rFonts w:ascii="Arial" w:hAnsi="Arial" w:cs="Arial"/>
          <w:sz w:val="24"/>
          <w:szCs w:val="24"/>
        </w:rPr>
        <w:t xml:space="preserve">d’administrateurs </w:t>
      </w:r>
      <w:r w:rsidR="009301F3">
        <w:rPr>
          <w:rFonts w:ascii="Arial" w:hAnsi="Arial" w:cs="Arial"/>
          <w:sz w:val="24"/>
          <w:szCs w:val="24"/>
        </w:rPr>
        <w:t>ayant des limitations</w:t>
      </w:r>
      <w:r w:rsidR="0026241F">
        <w:rPr>
          <w:rFonts w:ascii="Arial" w:hAnsi="Arial" w:cs="Arial"/>
          <w:sz w:val="24"/>
          <w:szCs w:val="24"/>
        </w:rPr>
        <w:t xml:space="preserve"> et </w:t>
      </w:r>
      <w:r w:rsidR="0026241F" w:rsidRPr="00FA3C41">
        <w:rPr>
          <w:rFonts w:ascii="Arial" w:hAnsi="Arial" w:cs="Arial"/>
          <w:sz w:val="24"/>
          <w:szCs w:val="24"/>
        </w:rPr>
        <w:t>représentatif de la dive</w:t>
      </w:r>
      <w:r w:rsidR="0026241F">
        <w:rPr>
          <w:rFonts w:ascii="Arial" w:hAnsi="Arial" w:cs="Arial"/>
          <w:sz w:val="24"/>
          <w:szCs w:val="24"/>
        </w:rPr>
        <w:t>rsité de la société canadienne</w:t>
      </w:r>
      <w:r w:rsidR="009301F3">
        <w:rPr>
          <w:rFonts w:ascii="Arial" w:hAnsi="Arial" w:cs="Arial"/>
          <w:sz w:val="24"/>
          <w:szCs w:val="24"/>
        </w:rPr>
        <w:t>, sans plus de précision</w:t>
      </w:r>
      <w:r w:rsidR="0026241F" w:rsidRPr="00FA3C41">
        <w:rPr>
          <w:rFonts w:ascii="Arial" w:hAnsi="Arial" w:cs="Arial"/>
          <w:sz w:val="24"/>
          <w:szCs w:val="24"/>
        </w:rPr>
        <w:t>.</w:t>
      </w:r>
      <w:r w:rsidR="009301F3">
        <w:rPr>
          <w:rFonts w:ascii="Arial" w:hAnsi="Arial" w:cs="Arial"/>
          <w:sz w:val="24"/>
          <w:szCs w:val="24"/>
        </w:rPr>
        <w:t xml:space="preserve"> </w:t>
      </w:r>
      <w:r w:rsidR="0088167B">
        <w:rPr>
          <w:rFonts w:ascii="Arial" w:hAnsi="Arial" w:cs="Arial"/>
          <w:sz w:val="24"/>
          <w:szCs w:val="24"/>
        </w:rPr>
        <w:t>Or, u</w:t>
      </w:r>
      <w:r w:rsidR="00435F85">
        <w:rPr>
          <w:rFonts w:ascii="Arial" w:hAnsi="Arial" w:cs="Arial"/>
          <w:sz w:val="24"/>
          <w:szCs w:val="24"/>
        </w:rPr>
        <w:t>n seuil minimal de 51</w:t>
      </w:r>
      <w:r w:rsidR="00FF5154">
        <w:rPr>
          <w:rFonts w:ascii="Arial" w:hAnsi="Arial" w:cs="Arial"/>
          <w:sz w:val="24"/>
          <w:szCs w:val="24"/>
        </w:rPr>
        <w:t xml:space="preserve"> % </w:t>
      </w:r>
      <w:r w:rsidR="00E76FC5">
        <w:rPr>
          <w:rFonts w:ascii="Arial" w:hAnsi="Arial" w:cs="Arial"/>
          <w:sz w:val="24"/>
          <w:szCs w:val="24"/>
        </w:rPr>
        <w:t>doit être prévu spécifiquement pour des sièges réservés aux</w:t>
      </w:r>
      <w:r w:rsidR="00FF5154">
        <w:rPr>
          <w:rFonts w:ascii="Arial" w:hAnsi="Arial" w:cs="Arial"/>
          <w:sz w:val="24"/>
          <w:szCs w:val="24"/>
        </w:rPr>
        <w:t xml:space="preserve"> personnes ayant des limitations fonctionnelles</w:t>
      </w:r>
      <w:r w:rsidR="0026241F">
        <w:rPr>
          <w:rFonts w:ascii="Arial" w:hAnsi="Arial" w:cs="Arial"/>
          <w:sz w:val="24"/>
          <w:szCs w:val="24"/>
        </w:rPr>
        <w:t xml:space="preserve"> </w:t>
      </w:r>
      <w:r w:rsidR="00B255AF">
        <w:rPr>
          <w:rFonts w:ascii="Arial" w:hAnsi="Arial" w:cs="Arial"/>
          <w:sz w:val="24"/>
          <w:szCs w:val="24"/>
        </w:rPr>
        <w:t>et des critères précis entourant la nomination des membres</w:t>
      </w:r>
      <w:r w:rsidR="00FF5154">
        <w:rPr>
          <w:rFonts w:ascii="Arial" w:hAnsi="Arial" w:cs="Arial"/>
          <w:sz w:val="24"/>
          <w:szCs w:val="24"/>
        </w:rPr>
        <w:t>. Il doit également y avoir des postes protégés pour le Québec et un souci de représentativité de toutes les limitations foncti</w:t>
      </w:r>
      <w:r w:rsidR="00AC4BD8">
        <w:rPr>
          <w:rFonts w:ascii="Arial" w:hAnsi="Arial" w:cs="Arial"/>
          <w:sz w:val="24"/>
          <w:szCs w:val="24"/>
        </w:rPr>
        <w:t xml:space="preserve">onnelles est également de mise. </w:t>
      </w:r>
      <w:r w:rsidR="00721EF4">
        <w:rPr>
          <w:rFonts w:ascii="Arial" w:hAnsi="Arial" w:cs="Arial"/>
          <w:sz w:val="24"/>
          <w:szCs w:val="24"/>
        </w:rPr>
        <w:t xml:space="preserve">Le conseil exécutif doit également être composé à majorité de personnes ayant des limitations fonctionnelles. </w:t>
      </w:r>
      <w:r w:rsidR="009C48DA">
        <w:rPr>
          <w:rFonts w:ascii="Arial" w:hAnsi="Arial" w:cs="Arial"/>
          <w:sz w:val="24"/>
          <w:szCs w:val="24"/>
        </w:rPr>
        <w:t xml:space="preserve">Finalement, le principe de transparence doit être mis de l’avant. Tous les documents du conseil d’administration doivent être publics et les séances filmées et diffusées. </w:t>
      </w:r>
      <w:r w:rsidR="00B255AF" w:rsidRPr="00922801">
        <w:rPr>
          <w:rFonts w:ascii="Arial" w:hAnsi="Arial" w:cs="Arial"/>
          <w:sz w:val="24"/>
          <w:szCs w:val="24"/>
        </w:rPr>
        <w:t xml:space="preserve">De plus, nous soulignons le fait que certaines personnes devraient être </w:t>
      </w:r>
      <w:r w:rsidR="00922801" w:rsidRPr="00922801">
        <w:rPr>
          <w:rFonts w:ascii="Arial" w:hAnsi="Arial" w:cs="Arial"/>
          <w:sz w:val="24"/>
          <w:szCs w:val="24"/>
        </w:rPr>
        <w:t xml:space="preserve">des représentants </w:t>
      </w:r>
      <w:r w:rsidR="00B255AF" w:rsidRPr="00922801">
        <w:rPr>
          <w:rFonts w:ascii="Arial" w:hAnsi="Arial" w:cs="Arial"/>
          <w:sz w:val="24"/>
          <w:szCs w:val="24"/>
        </w:rPr>
        <w:t xml:space="preserve">des </w:t>
      </w:r>
      <w:r w:rsidR="00A94F8F" w:rsidRPr="00922801">
        <w:rPr>
          <w:rFonts w:ascii="Arial" w:hAnsi="Arial" w:cs="Arial"/>
          <w:sz w:val="24"/>
          <w:szCs w:val="24"/>
        </w:rPr>
        <w:t xml:space="preserve">organismes communautaires. Ces postes ne doivent </w:t>
      </w:r>
      <w:r w:rsidR="00922801" w:rsidRPr="00922801">
        <w:rPr>
          <w:rFonts w:ascii="Arial" w:hAnsi="Arial" w:cs="Arial"/>
          <w:sz w:val="24"/>
          <w:szCs w:val="24"/>
        </w:rPr>
        <w:t xml:space="preserve">toutefois </w:t>
      </w:r>
      <w:r w:rsidR="00A94F8F" w:rsidRPr="00922801">
        <w:rPr>
          <w:rFonts w:ascii="Arial" w:hAnsi="Arial" w:cs="Arial"/>
          <w:sz w:val="24"/>
          <w:szCs w:val="24"/>
        </w:rPr>
        <w:t>pas remplacer les personnes elles-m</w:t>
      </w:r>
      <w:r w:rsidR="001C7049" w:rsidRPr="00922801">
        <w:rPr>
          <w:rFonts w:ascii="Arial" w:hAnsi="Arial" w:cs="Arial"/>
          <w:sz w:val="24"/>
          <w:szCs w:val="24"/>
        </w:rPr>
        <w:t>ê</w:t>
      </w:r>
      <w:r w:rsidR="00CF4810">
        <w:rPr>
          <w:rFonts w:ascii="Arial" w:hAnsi="Arial" w:cs="Arial"/>
          <w:sz w:val="24"/>
          <w:szCs w:val="24"/>
        </w:rPr>
        <w:t xml:space="preserve">mes, ces postes sont hors quotas. </w:t>
      </w:r>
    </w:p>
    <w:p w:rsidR="00223F3B" w:rsidRDefault="009C2684" w:rsidP="00987CB6">
      <w:pPr>
        <w:spacing w:after="160"/>
        <w:rPr>
          <w:rFonts w:ascii="Arial" w:hAnsi="Arial" w:cs="Arial"/>
          <w:sz w:val="24"/>
          <w:szCs w:val="24"/>
        </w:rPr>
      </w:pPr>
      <w:r>
        <w:rPr>
          <w:rFonts w:ascii="Arial" w:hAnsi="Arial" w:cs="Arial"/>
          <w:sz w:val="24"/>
          <w:szCs w:val="24"/>
        </w:rPr>
        <w:t xml:space="preserve">La COPHAN a toujours revendiqué le principe du « rien sur nous, sans nous », ainsi la totalité des acteurs impliqués doivent prendre part à la discussion entourant la création d’un standard. </w:t>
      </w:r>
      <w:r w:rsidR="000F6433">
        <w:rPr>
          <w:rFonts w:ascii="Arial" w:hAnsi="Arial" w:cs="Arial"/>
          <w:sz w:val="24"/>
          <w:szCs w:val="24"/>
        </w:rPr>
        <w:t>De plus,</w:t>
      </w:r>
      <w:r w:rsidR="00223F3B">
        <w:rPr>
          <w:rFonts w:ascii="Arial" w:hAnsi="Arial" w:cs="Arial"/>
          <w:sz w:val="24"/>
          <w:szCs w:val="24"/>
        </w:rPr>
        <w:t xml:space="preserve"> l’OCENA </w:t>
      </w:r>
      <w:r w:rsidR="000F6433">
        <w:rPr>
          <w:rFonts w:ascii="Arial" w:hAnsi="Arial" w:cs="Arial"/>
          <w:sz w:val="24"/>
          <w:szCs w:val="24"/>
        </w:rPr>
        <w:t xml:space="preserve">doit </w:t>
      </w:r>
      <w:r w:rsidR="009257C8">
        <w:rPr>
          <w:rFonts w:ascii="Arial" w:hAnsi="Arial" w:cs="Arial"/>
          <w:sz w:val="24"/>
          <w:szCs w:val="24"/>
        </w:rPr>
        <w:t>priorise</w:t>
      </w:r>
      <w:r w:rsidR="000F6433">
        <w:rPr>
          <w:rFonts w:ascii="Arial" w:hAnsi="Arial" w:cs="Arial"/>
          <w:sz w:val="24"/>
          <w:szCs w:val="24"/>
        </w:rPr>
        <w:t>r</w:t>
      </w:r>
      <w:r w:rsidR="00223F3B">
        <w:rPr>
          <w:rFonts w:ascii="Arial" w:hAnsi="Arial" w:cs="Arial"/>
          <w:sz w:val="24"/>
          <w:szCs w:val="24"/>
        </w:rPr>
        <w:t xml:space="preserve"> l’embauche de personnes ayant des limitations fonctionnelles. À ce titre, des seuils d’embauche </w:t>
      </w:r>
      <w:r w:rsidR="000F6433">
        <w:rPr>
          <w:rFonts w:ascii="Arial" w:hAnsi="Arial" w:cs="Arial"/>
          <w:sz w:val="24"/>
          <w:szCs w:val="24"/>
        </w:rPr>
        <w:t>pourraient</w:t>
      </w:r>
      <w:r w:rsidR="009301F3">
        <w:rPr>
          <w:rFonts w:ascii="Arial" w:hAnsi="Arial" w:cs="Arial"/>
          <w:sz w:val="24"/>
          <w:szCs w:val="24"/>
        </w:rPr>
        <w:t xml:space="preserve"> également</w:t>
      </w:r>
      <w:r w:rsidR="00223F3B">
        <w:rPr>
          <w:rFonts w:ascii="Arial" w:hAnsi="Arial" w:cs="Arial"/>
          <w:sz w:val="24"/>
          <w:szCs w:val="24"/>
        </w:rPr>
        <w:t xml:space="preserve"> être </w:t>
      </w:r>
      <w:r w:rsidR="00E81066">
        <w:rPr>
          <w:rFonts w:ascii="Arial" w:hAnsi="Arial" w:cs="Arial"/>
          <w:sz w:val="24"/>
          <w:szCs w:val="24"/>
        </w:rPr>
        <w:t>considérés</w:t>
      </w:r>
      <w:r w:rsidR="00223F3B">
        <w:rPr>
          <w:rFonts w:ascii="Arial" w:hAnsi="Arial" w:cs="Arial"/>
          <w:sz w:val="24"/>
          <w:szCs w:val="24"/>
        </w:rPr>
        <w:t xml:space="preserve">.  </w:t>
      </w:r>
    </w:p>
    <w:p w:rsidR="00E368AC" w:rsidRPr="00CD1316" w:rsidRDefault="00E368AC" w:rsidP="00987CB6">
      <w:pPr>
        <w:spacing w:after="160"/>
        <w:rPr>
          <w:rFonts w:ascii="Arial" w:hAnsi="Arial" w:cs="Arial"/>
          <w:sz w:val="24"/>
          <w:szCs w:val="24"/>
        </w:rPr>
      </w:pPr>
      <w:r>
        <w:rPr>
          <w:rFonts w:ascii="Arial" w:hAnsi="Arial" w:cs="Arial"/>
          <w:sz w:val="24"/>
          <w:szCs w:val="24"/>
        </w:rPr>
        <w:t xml:space="preserve">La section de la Loi portant sur l’OCENA ne prévoit aucun </w:t>
      </w:r>
      <w:r w:rsidRPr="00922801">
        <w:rPr>
          <w:rFonts w:ascii="Arial" w:hAnsi="Arial" w:cs="Arial"/>
          <w:sz w:val="24"/>
          <w:szCs w:val="24"/>
        </w:rPr>
        <w:t>échéancier quant à la révision et le développement de standards d’accessibilité. La COPHAN recommande à ce</w:t>
      </w:r>
      <w:r w:rsidR="00EE7DB2" w:rsidRPr="00922801">
        <w:rPr>
          <w:rFonts w:ascii="Arial" w:hAnsi="Arial" w:cs="Arial"/>
          <w:sz w:val="24"/>
          <w:szCs w:val="24"/>
        </w:rPr>
        <w:t xml:space="preserve"> que des délais soi</w:t>
      </w:r>
      <w:r w:rsidR="004176DE">
        <w:rPr>
          <w:rFonts w:ascii="Arial" w:hAnsi="Arial" w:cs="Arial"/>
          <w:sz w:val="24"/>
          <w:szCs w:val="24"/>
        </w:rPr>
        <w:t>en</w:t>
      </w:r>
      <w:r w:rsidR="00EE7DB2" w:rsidRPr="00922801">
        <w:rPr>
          <w:rFonts w:ascii="Arial" w:hAnsi="Arial" w:cs="Arial"/>
          <w:sz w:val="24"/>
          <w:szCs w:val="24"/>
        </w:rPr>
        <w:t>t établis pour l’élaboration d’un standard et</w:t>
      </w:r>
      <w:r w:rsidR="009A1B65">
        <w:rPr>
          <w:rFonts w:ascii="Arial" w:hAnsi="Arial" w:cs="Arial"/>
          <w:sz w:val="24"/>
          <w:szCs w:val="24"/>
        </w:rPr>
        <w:t xml:space="preserve"> qu’à partir de leur </w:t>
      </w:r>
      <w:r w:rsidRPr="00922801">
        <w:rPr>
          <w:rFonts w:ascii="Arial" w:hAnsi="Arial" w:cs="Arial"/>
          <w:sz w:val="24"/>
          <w:szCs w:val="24"/>
        </w:rPr>
        <w:t xml:space="preserve">adoption, un délai soit automatiquement </w:t>
      </w:r>
      <w:proofErr w:type="gramStart"/>
      <w:r w:rsidRPr="00922801">
        <w:rPr>
          <w:rFonts w:ascii="Arial" w:hAnsi="Arial" w:cs="Arial"/>
          <w:sz w:val="24"/>
          <w:szCs w:val="24"/>
        </w:rPr>
        <w:t>prévu</w:t>
      </w:r>
      <w:r w:rsidR="005E63E8">
        <w:rPr>
          <w:rFonts w:ascii="Arial" w:hAnsi="Arial" w:cs="Arial"/>
          <w:sz w:val="24"/>
          <w:szCs w:val="24"/>
        </w:rPr>
        <w:t>e</w:t>
      </w:r>
      <w:proofErr w:type="gramEnd"/>
      <w:r w:rsidRPr="00922801">
        <w:rPr>
          <w:rFonts w:ascii="Arial" w:hAnsi="Arial" w:cs="Arial"/>
          <w:sz w:val="24"/>
          <w:szCs w:val="24"/>
        </w:rPr>
        <w:t xml:space="preserve"> pour </w:t>
      </w:r>
      <w:r w:rsidR="00EE7DB2" w:rsidRPr="00922801">
        <w:rPr>
          <w:rFonts w:ascii="Arial" w:hAnsi="Arial" w:cs="Arial"/>
          <w:sz w:val="24"/>
          <w:szCs w:val="24"/>
        </w:rPr>
        <w:t xml:space="preserve">le </w:t>
      </w:r>
      <w:r w:rsidRPr="00922801">
        <w:rPr>
          <w:rFonts w:ascii="Arial" w:hAnsi="Arial" w:cs="Arial"/>
          <w:sz w:val="24"/>
          <w:szCs w:val="24"/>
        </w:rPr>
        <w:t>réviser.</w:t>
      </w:r>
      <w:r>
        <w:rPr>
          <w:rFonts w:ascii="Arial" w:hAnsi="Arial" w:cs="Arial"/>
          <w:sz w:val="24"/>
          <w:szCs w:val="24"/>
        </w:rPr>
        <w:t xml:space="preserve"> </w:t>
      </w:r>
      <w:r w:rsidR="006C64C0">
        <w:rPr>
          <w:rFonts w:ascii="Arial" w:hAnsi="Arial" w:cs="Arial"/>
          <w:sz w:val="24"/>
          <w:szCs w:val="24"/>
        </w:rPr>
        <w:t xml:space="preserve"> </w:t>
      </w:r>
    </w:p>
    <w:p w:rsidR="00264D67" w:rsidRDefault="00C80320" w:rsidP="00987CB6">
      <w:pPr>
        <w:rPr>
          <w:rFonts w:ascii="Arial" w:hAnsi="Arial" w:cs="Arial"/>
          <w:color w:val="000000"/>
          <w:sz w:val="24"/>
          <w:szCs w:val="24"/>
        </w:rPr>
      </w:pPr>
      <w:r>
        <w:rPr>
          <w:rFonts w:ascii="Arial" w:hAnsi="Arial" w:cs="Arial"/>
          <w:sz w:val="24"/>
          <w:szCs w:val="24"/>
        </w:rPr>
        <w:t xml:space="preserve">Selon la COPHAN, les standards d’accessibilité </w:t>
      </w:r>
      <w:r w:rsidR="008D7CA7">
        <w:rPr>
          <w:rFonts w:ascii="Arial" w:hAnsi="Arial" w:cs="Arial"/>
          <w:sz w:val="24"/>
          <w:szCs w:val="24"/>
        </w:rPr>
        <w:t xml:space="preserve">développés par l’OCENA </w:t>
      </w:r>
      <w:r>
        <w:rPr>
          <w:rFonts w:ascii="Arial" w:hAnsi="Arial" w:cs="Arial"/>
          <w:sz w:val="24"/>
          <w:szCs w:val="24"/>
        </w:rPr>
        <w:t xml:space="preserve">ne doivent pas devenir un </w:t>
      </w:r>
      <w:r w:rsidR="008D7CA7">
        <w:rPr>
          <w:rFonts w:ascii="Arial" w:hAnsi="Arial" w:cs="Arial"/>
          <w:sz w:val="24"/>
          <w:szCs w:val="24"/>
        </w:rPr>
        <w:t>« </w:t>
      </w:r>
      <w:r>
        <w:rPr>
          <w:rFonts w:ascii="Arial" w:hAnsi="Arial" w:cs="Arial"/>
          <w:sz w:val="24"/>
          <w:szCs w:val="24"/>
        </w:rPr>
        <w:t xml:space="preserve">plafond </w:t>
      </w:r>
      <w:r w:rsidR="008D7CA7">
        <w:rPr>
          <w:rFonts w:ascii="Arial" w:hAnsi="Arial" w:cs="Arial"/>
          <w:sz w:val="24"/>
          <w:szCs w:val="24"/>
        </w:rPr>
        <w:t>de verre »</w:t>
      </w:r>
      <w:r>
        <w:rPr>
          <w:rFonts w:ascii="Arial" w:hAnsi="Arial" w:cs="Arial"/>
          <w:sz w:val="24"/>
          <w:szCs w:val="24"/>
        </w:rPr>
        <w:t xml:space="preserve">, mais agir comme un seuil minimal avec une volonté d’inciter les différents acteurs à dépasser lesdits standards. </w:t>
      </w:r>
      <w:r w:rsidR="008D7CA7">
        <w:rPr>
          <w:rFonts w:ascii="Arial" w:hAnsi="Arial" w:cs="Arial"/>
          <w:sz w:val="24"/>
          <w:szCs w:val="24"/>
        </w:rPr>
        <w:t xml:space="preserve">Par exemple, </w:t>
      </w:r>
      <w:r w:rsidR="008303B1">
        <w:rPr>
          <w:rFonts w:ascii="Arial" w:hAnsi="Arial" w:cs="Arial"/>
          <w:sz w:val="24"/>
          <w:szCs w:val="24"/>
        </w:rPr>
        <w:t>en lien avec les</w:t>
      </w:r>
      <w:r w:rsidR="008D7CA7">
        <w:rPr>
          <w:rFonts w:ascii="Arial" w:hAnsi="Arial" w:cs="Arial"/>
          <w:sz w:val="24"/>
          <w:szCs w:val="24"/>
        </w:rPr>
        <w:t xml:space="preserve"> normes </w:t>
      </w:r>
      <w:r w:rsidR="008D7CA7">
        <w:rPr>
          <w:rFonts w:ascii="Arial" w:hAnsi="Arial" w:cs="Arial"/>
          <w:color w:val="000000"/>
          <w:sz w:val="24"/>
          <w:szCs w:val="24"/>
        </w:rPr>
        <w:t xml:space="preserve">WCAG pour l’accessibilité des sites Web et des </w:t>
      </w:r>
      <w:r w:rsidR="00FB4938">
        <w:rPr>
          <w:rFonts w:ascii="Arial" w:hAnsi="Arial" w:cs="Arial"/>
          <w:color w:val="000000"/>
          <w:sz w:val="24"/>
          <w:szCs w:val="24"/>
        </w:rPr>
        <w:t>applications mobiles</w:t>
      </w:r>
      <w:r w:rsidR="008D7CA7">
        <w:rPr>
          <w:rFonts w:ascii="Arial" w:hAnsi="Arial" w:cs="Arial"/>
          <w:color w:val="000000"/>
          <w:sz w:val="24"/>
          <w:szCs w:val="24"/>
        </w:rPr>
        <w:t xml:space="preserve">, </w:t>
      </w:r>
      <w:r w:rsidR="00FB4938">
        <w:rPr>
          <w:rFonts w:ascii="Arial" w:hAnsi="Arial" w:cs="Arial"/>
          <w:color w:val="000000"/>
          <w:sz w:val="24"/>
          <w:szCs w:val="24"/>
        </w:rPr>
        <w:t>les acteurs doivent avoir minimalement une qualité AA, mais il est préférable d’</w:t>
      </w:r>
      <w:r w:rsidR="00925A68">
        <w:rPr>
          <w:rFonts w:ascii="Arial" w:hAnsi="Arial" w:cs="Arial"/>
          <w:color w:val="000000"/>
          <w:sz w:val="24"/>
          <w:szCs w:val="24"/>
        </w:rPr>
        <w:t xml:space="preserve">ajuster des éléments au fur et à mesure et de plutôt miser sur </w:t>
      </w:r>
      <w:r w:rsidR="00FB4938">
        <w:rPr>
          <w:rFonts w:ascii="Arial" w:hAnsi="Arial" w:cs="Arial"/>
          <w:color w:val="000000"/>
          <w:sz w:val="24"/>
          <w:szCs w:val="24"/>
        </w:rPr>
        <w:t xml:space="preserve">une qualité AAA. </w:t>
      </w:r>
      <w:r w:rsidR="00826233">
        <w:rPr>
          <w:rFonts w:ascii="Arial" w:hAnsi="Arial" w:cs="Arial"/>
          <w:color w:val="000000"/>
          <w:sz w:val="24"/>
          <w:szCs w:val="24"/>
        </w:rPr>
        <w:t>Ainsi</w:t>
      </w:r>
      <w:r w:rsidR="0030747A">
        <w:rPr>
          <w:rFonts w:ascii="Arial" w:hAnsi="Arial" w:cs="Arial"/>
          <w:color w:val="000000"/>
          <w:sz w:val="24"/>
          <w:szCs w:val="24"/>
        </w:rPr>
        <w:t>,</w:t>
      </w:r>
      <w:r w:rsidR="00826233">
        <w:rPr>
          <w:rFonts w:ascii="Arial" w:hAnsi="Arial" w:cs="Arial"/>
          <w:color w:val="000000"/>
          <w:sz w:val="24"/>
          <w:szCs w:val="24"/>
        </w:rPr>
        <w:t xml:space="preserve"> on doit concevoir un standard d’accessibilité comme un moyen</w:t>
      </w:r>
      <w:r w:rsidR="0030747A">
        <w:rPr>
          <w:rFonts w:ascii="Arial" w:hAnsi="Arial" w:cs="Arial"/>
          <w:color w:val="000000"/>
          <w:sz w:val="24"/>
          <w:szCs w:val="24"/>
        </w:rPr>
        <w:t xml:space="preserve"> </w:t>
      </w:r>
      <w:r w:rsidR="007D73CD">
        <w:rPr>
          <w:rFonts w:ascii="Arial" w:hAnsi="Arial" w:cs="Arial"/>
          <w:color w:val="000000"/>
          <w:sz w:val="24"/>
          <w:szCs w:val="24"/>
        </w:rPr>
        <w:t>pour viser une</w:t>
      </w:r>
      <w:r w:rsidR="00826233">
        <w:rPr>
          <w:rFonts w:ascii="Arial" w:hAnsi="Arial" w:cs="Arial"/>
          <w:color w:val="000000"/>
          <w:sz w:val="24"/>
          <w:szCs w:val="24"/>
        </w:rPr>
        <w:t xml:space="preserve"> meilleure accessibilité. D’ailleurs, la COPHAN a effectué un projet sur l’accessibilité du Web et a conclu que la conformité n’est pas garante de l’utilisabi</w:t>
      </w:r>
      <w:r w:rsidR="008C3012">
        <w:rPr>
          <w:rFonts w:ascii="Arial" w:hAnsi="Arial" w:cs="Arial"/>
          <w:color w:val="000000"/>
          <w:sz w:val="24"/>
          <w:szCs w:val="24"/>
        </w:rPr>
        <w:t>lité</w:t>
      </w:r>
      <w:r w:rsidR="0030747A" w:rsidRPr="008C3012">
        <w:rPr>
          <w:rStyle w:val="Appelnotedebasdep"/>
          <w:rFonts w:ascii="Arial" w:hAnsi="Arial" w:cs="Arial"/>
          <w:sz w:val="24"/>
          <w:szCs w:val="24"/>
        </w:rPr>
        <w:footnoteReference w:id="4"/>
      </w:r>
      <w:r w:rsidR="008C3012" w:rsidRPr="008C3012">
        <w:rPr>
          <w:rFonts w:ascii="Arial" w:hAnsi="Arial" w:cs="Arial"/>
          <w:color w:val="000000"/>
          <w:sz w:val="24"/>
          <w:szCs w:val="24"/>
        </w:rPr>
        <w:t>.</w:t>
      </w:r>
      <w:r w:rsidR="008C3012">
        <w:rPr>
          <w:rFonts w:ascii="Arial" w:hAnsi="Arial" w:cs="Arial"/>
          <w:color w:val="000000"/>
          <w:sz w:val="24"/>
          <w:szCs w:val="24"/>
        </w:rPr>
        <w:t xml:space="preserve"> </w:t>
      </w:r>
      <w:r w:rsidR="007342DF">
        <w:rPr>
          <w:rFonts w:ascii="Arial" w:hAnsi="Arial" w:cs="Arial"/>
          <w:color w:val="000000"/>
          <w:sz w:val="24"/>
          <w:szCs w:val="24"/>
        </w:rPr>
        <w:t xml:space="preserve">Les standards développés doivent inciter les organismes offrant des services aux personnes ayant des limitations et aux autres personnes une imputabilité des </w:t>
      </w:r>
      <w:r w:rsidR="007121F8">
        <w:rPr>
          <w:rFonts w:ascii="Arial" w:hAnsi="Arial" w:cs="Arial"/>
          <w:color w:val="000000"/>
          <w:sz w:val="24"/>
          <w:szCs w:val="24"/>
        </w:rPr>
        <w:t xml:space="preserve">différents </w:t>
      </w:r>
      <w:r w:rsidR="007342DF">
        <w:rPr>
          <w:rFonts w:ascii="Arial" w:hAnsi="Arial" w:cs="Arial"/>
          <w:color w:val="000000"/>
          <w:sz w:val="24"/>
          <w:szCs w:val="24"/>
        </w:rPr>
        <w:t xml:space="preserve">services offerts. </w:t>
      </w:r>
    </w:p>
    <w:p w:rsidR="00BF4196" w:rsidRDefault="00BF4196" w:rsidP="00987CB6">
      <w:pPr>
        <w:spacing w:after="0"/>
        <w:rPr>
          <w:rFonts w:ascii="Arial" w:hAnsi="Arial" w:cs="Arial"/>
          <w:sz w:val="24"/>
          <w:szCs w:val="24"/>
        </w:rPr>
      </w:pPr>
      <w:r>
        <w:rPr>
          <w:rFonts w:ascii="Arial" w:hAnsi="Arial" w:cs="Arial"/>
          <w:sz w:val="24"/>
          <w:szCs w:val="24"/>
        </w:rPr>
        <w:lastRenderedPageBreak/>
        <w:t>Le rôle de l’OCENA devrait également être plus large, par l’offre de formation, de l’amélioration du cursus universitaire et par la promotion des meilleur</w:t>
      </w:r>
      <w:r w:rsidR="007D21D4">
        <w:rPr>
          <w:rFonts w:ascii="Arial" w:hAnsi="Arial" w:cs="Arial"/>
          <w:sz w:val="24"/>
          <w:szCs w:val="24"/>
        </w:rPr>
        <w:t>e</w:t>
      </w:r>
      <w:r>
        <w:rPr>
          <w:rFonts w:ascii="Arial" w:hAnsi="Arial" w:cs="Arial"/>
          <w:sz w:val="24"/>
          <w:szCs w:val="24"/>
        </w:rPr>
        <w:t xml:space="preserve">s pratiques en </w:t>
      </w:r>
      <w:r w:rsidR="005E63E8">
        <w:rPr>
          <w:rFonts w:ascii="Arial" w:hAnsi="Arial" w:cs="Arial"/>
          <w:sz w:val="24"/>
          <w:szCs w:val="24"/>
        </w:rPr>
        <w:t>matière</w:t>
      </w:r>
      <w:r>
        <w:rPr>
          <w:rFonts w:ascii="Arial" w:hAnsi="Arial" w:cs="Arial"/>
          <w:sz w:val="24"/>
          <w:szCs w:val="24"/>
        </w:rPr>
        <w:t xml:space="preserve"> d’accessibilité. </w:t>
      </w:r>
    </w:p>
    <w:p w:rsidR="00CE3884" w:rsidRDefault="00CE3884" w:rsidP="00987CB6">
      <w:pPr>
        <w:spacing w:after="0"/>
        <w:rPr>
          <w:rFonts w:ascii="Arial" w:hAnsi="Arial" w:cs="Arial"/>
          <w:sz w:val="24"/>
          <w:szCs w:val="24"/>
        </w:rPr>
      </w:pPr>
    </w:p>
    <w:p w:rsidR="00204718" w:rsidRPr="00204718" w:rsidRDefault="00204718" w:rsidP="00987CB6">
      <w:pPr>
        <w:pStyle w:val="Titre1"/>
        <w:spacing w:line="276" w:lineRule="auto"/>
        <w:rPr>
          <w:b/>
          <w:color w:val="auto"/>
        </w:rPr>
      </w:pPr>
      <w:r w:rsidRPr="00371EC4">
        <w:rPr>
          <w:b/>
          <w:color w:val="auto"/>
        </w:rPr>
        <w:t>Commissaire à l’accessibilité</w:t>
      </w:r>
      <w:r w:rsidRPr="00204718">
        <w:rPr>
          <w:b/>
          <w:color w:val="auto"/>
        </w:rPr>
        <w:t xml:space="preserve"> </w:t>
      </w:r>
    </w:p>
    <w:p w:rsidR="00371EC4" w:rsidRDefault="00371EC4" w:rsidP="00987CB6">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Selon la COPHAN, </w:t>
      </w:r>
      <w:r w:rsidR="00075FE4">
        <w:rPr>
          <w:rFonts w:ascii="Arial" w:hAnsi="Arial" w:cs="Arial"/>
          <w:color w:val="000000"/>
          <w:sz w:val="24"/>
          <w:szCs w:val="24"/>
        </w:rPr>
        <w:t>le commissaire à l’accessibilité devrait relever de la Chambre des Communes. D’ailleurs, l</w:t>
      </w:r>
      <w:r w:rsidR="00922801">
        <w:rPr>
          <w:rFonts w:ascii="Arial" w:hAnsi="Arial" w:cs="Arial"/>
          <w:color w:val="000000"/>
          <w:sz w:val="24"/>
          <w:szCs w:val="24"/>
        </w:rPr>
        <w:t>e poste de commissaire à l’environnement et au développement durable nous semble u</w:t>
      </w:r>
      <w:r w:rsidR="00590260">
        <w:rPr>
          <w:rFonts w:ascii="Arial" w:hAnsi="Arial" w:cs="Arial"/>
          <w:color w:val="000000"/>
          <w:sz w:val="24"/>
          <w:szCs w:val="24"/>
        </w:rPr>
        <w:t>n comparatif intéressant avec son</w:t>
      </w:r>
      <w:r w:rsidR="00922801">
        <w:rPr>
          <w:rFonts w:ascii="Arial" w:hAnsi="Arial" w:cs="Arial"/>
          <w:color w:val="000000"/>
          <w:sz w:val="24"/>
          <w:szCs w:val="24"/>
        </w:rPr>
        <w:t xml:space="preserve"> ma</w:t>
      </w:r>
      <w:r w:rsidR="003D22FA">
        <w:rPr>
          <w:rFonts w:ascii="Arial" w:hAnsi="Arial" w:cs="Arial"/>
          <w:color w:val="000000"/>
          <w:sz w:val="24"/>
          <w:szCs w:val="24"/>
        </w:rPr>
        <w:t xml:space="preserve">ndat de </w:t>
      </w:r>
      <w:r w:rsidR="00590260">
        <w:rPr>
          <w:rFonts w:ascii="Arial" w:hAnsi="Arial" w:cs="Arial"/>
          <w:color w:val="000000"/>
          <w:sz w:val="24"/>
          <w:szCs w:val="24"/>
        </w:rPr>
        <w:t>sept</w:t>
      </w:r>
      <w:r w:rsidR="003D22FA">
        <w:rPr>
          <w:rFonts w:ascii="Arial" w:hAnsi="Arial" w:cs="Arial"/>
          <w:color w:val="000000"/>
          <w:sz w:val="24"/>
          <w:szCs w:val="24"/>
        </w:rPr>
        <w:t xml:space="preserve"> ans non renouvelable. De plus, un </w:t>
      </w:r>
      <w:hyperlink r:id="rId15" w:history="1">
        <w:r w:rsidR="003D22FA" w:rsidRPr="003D22FA">
          <w:rPr>
            <w:rStyle w:val="Lienhypertexte"/>
            <w:rFonts w:ascii="Arial" w:hAnsi="Arial" w:cs="Arial"/>
            <w:sz w:val="24"/>
            <w:szCs w:val="24"/>
          </w:rPr>
          <w:t>système de pétition</w:t>
        </w:r>
      </w:hyperlink>
      <w:r w:rsidR="003D22FA">
        <w:rPr>
          <w:rFonts w:ascii="Arial" w:hAnsi="Arial" w:cs="Arial"/>
          <w:color w:val="000000"/>
          <w:sz w:val="24"/>
          <w:szCs w:val="24"/>
        </w:rPr>
        <w:t xml:space="preserve"> très simple est également géré par le commissaire et pourrait également être une avenue adéquate en matière d’accessibilité. </w:t>
      </w:r>
    </w:p>
    <w:p w:rsidR="00922801" w:rsidRDefault="00922801" w:rsidP="00987CB6">
      <w:pPr>
        <w:autoSpaceDE w:val="0"/>
        <w:autoSpaceDN w:val="0"/>
        <w:adjustRightInd w:val="0"/>
        <w:spacing w:after="0"/>
        <w:rPr>
          <w:rFonts w:ascii="Arial" w:hAnsi="Arial" w:cs="Arial"/>
          <w:color w:val="000000"/>
          <w:sz w:val="24"/>
          <w:szCs w:val="24"/>
          <w:highlight w:val="yellow"/>
        </w:rPr>
      </w:pPr>
    </w:p>
    <w:p w:rsidR="00CE3884" w:rsidRPr="00204718" w:rsidRDefault="008E2E65" w:rsidP="00987CB6">
      <w:pPr>
        <w:pStyle w:val="Titre1"/>
        <w:spacing w:line="276" w:lineRule="auto"/>
        <w:rPr>
          <w:b/>
          <w:color w:val="auto"/>
        </w:rPr>
      </w:pPr>
      <w:r w:rsidRPr="008E2E65">
        <w:rPr>
          <w:b/>
          <w:color w:val="auto"/>
        </w:rPr>
        <w:t>Obligations des e</w:t>
      </w:r>
      <w:r w:rsidR="00204718" w:rsidRPr="008E2E65">
        <w:rPr>
          <w:b/>
          <w:color w:val="auto"/>
        </w:rPr>
        <w:t>ntités réglementées</w:t>
      </w:r>
      <w:r w:rsidR="00204718" w:rsidRPr="00204718">
        <w:rPr>
          <w:b/>
          <w:color w:val="auto"/>
        </w:rPr>
        <w:t xml:space="preserve"> </w:t>
      </w:r>
    </w:p>
    <w:p w:rsidR="00CE3884" w:rsidRDefault="00B17A6F" w:rsidP="00987CB6">
      <w:pPr>
        <w:autoSpaceDE w:val="0"/>
        <w:autoSpaceDN w:val="0"/>
        <w:adjustRightInd w:val="0"/>
        <w:spacing w:after="0"/>
        <w:rPr>
          <w:rFonts w:ascii="Arial" w:hAnsi="Arial" w:cs="Arial"/>
          <w:sz w:val="24"/>
          <w:szCs w:val="24"/>
        </w:rPr>
      </w:pPr>
      <w:r>
        <w:rPr>
          <w:rFonts w:ascii="Arial" w:hAnsi="Arial" w:cs="Arial"/>
          <w:sz w:val="24"/>
          <w:szCs w:val="24"/>
        </w:rPr>
        <w:t>L’obligation d’adopter des plans d’accessibilité n’est pas étrangère à la situation québécoise</w:t>
      </w:r>
      <w:r w:rsidR="00523668" w:rsidRPr="00067F13">
        <w:rPr>
          <w:rStyle w:val="Appelnotedebasdep"/>
          <w:rFonts w:ascii="Arial" w:hAnsi="Arial" w:cs="Arial"/>
          <w:sz w:val="24"/>
          <w:szCs w:val="24"/>
        </w:rPr>
        <w:footnoteReference w:id="5"/>
      </w:r>
      <w:r w:rsidR="00D87A2B" w:rsidRPr="00067F13">
        <w:rPr>
          <w:rFonts w:ascii="Arial" w:hAnsi="Arial" w:cs="Arial"/>
          <w:sz w:val="24"/>
          <w:szCs w:val="24"/>
        </w:rPr>
        <w:t>. À l’heure actuelle, les plans d’action à l’égard des personnes handicapées produits et mis en œuvre par de nombreux ministères, organismes publics et municipalités sont très discutables, puisque la majorité des objectifs et mesure</w:t>
      </w:r>
      <w:r w:rsidR="007D21D4">
        <w:rPr>
          <w:rFonts w:ascii="Arial" w:hAnsi="Arial" w:cs="Arial"/>
          <w:sz w:val="24"/>
          <w:szCs w:val="24"/>
        </w:rPr>
        <w:t>s</w:t>
      </w:r>
      <w:r w:rsidR="00D87A2B" w:rsidRPr="00067F13">
        <w:rPr>
          <w:rFonts w:ascii="Arial" w:hAnsi="Arial" w:cs="Arial"/>
          <w:sz w:val="24"/>
          <w:szCs w:val="24"/>
        </w:rPr>
        <w:t xml:space="preserve"> y figurant concernent des obligations légales qui existent depuis de nombreuses années, et qui n’ont </w:t>
      </w:r>
      <w:r w:rsidR="00D87A2B" w:rsidRPr="00626EC9">
        <w:rPr>
          <w:rFonts w:ascii="Arial" w:hAnsi="Arial" w:cs="Arial"/>
          <w:sz w:val="24"/>
          <w:szCs w:val="24"/>
        </w:rPr>
        <w:t xml:space="preserve">encore jamais été respectées. Ainsi, </w:t>
      </w:r>
      <w:r w:rsidR="00C567D3">
        <w:rPr>
          <w:rFonts w:ascii="Arial" w:hAnsi="Arial" w:cs="Arial"/>
          <w:sz w:val="24"/>
          <w:szCs w:val="24"/>
        </w:rPr>
        <w:t xml:space="preserve">au Québec, </w:t>
      </w:r>
      <w:r w:rsidR="00D87A2B" w:rsidRPr="00626EC9">
        <w:rPr>
          <w:rFonts w:ascii="Arial" w:hAnsi="Arial" w:cs="Arial"/>
          <w:sz w:val="24"/>
          <w:szCs w:val="24"/>
        </w:rPr>
        <w:t>dans leur forme actuelle, les plans d’action n’offrent aucune garantie quant à la pertinence et à la qualité des objectifs et des mesures présentés</w:t>
      </w:r>
      <w:r w:rsidR="00D87A2B" w:rsidRPr="00626EC9">
        <w:rPr>
          <w:rStyle w:val="Appelnotedebasdep"/>
          <w:rFonts w:ascii="Arial" w:hAnsi="Arial" w:cs="Arial"/>
          <w:sz w:val="24"/>
          <w:szCs w:val="24"/>
        </w:rPr>
        <w:footnoteReference w:id="6"/>
      </w:r>
      <w:r w:rsidR="00D87A2B" w:rsidRPr="00626EC9">
        <w:rPr>
          <w:rFonts w:ascii="Arial" w:hAnsi="Arial" w:cs="Arial"/>
          <w:sz w:val="24"/>
          <w:szCs w:val="24"/>
        </w:rPr>
        <w:t xml:space="preserve">. </w:t>
      </w:r>
      <w:r w:rsidR="00067F13" w:rsidRPr="00626EC9">
        <w:rPr>
          <w:rFonts w:ascii="Arial" w:hAnsi="Arial" w:cs="Arial"/>
          <w:sz w:val="24"/>
          <w:szCs w:val="24"/>
        </w:rPr>
        <w:t xml:space="preserve">Lors de la consultation de 2017, la COPHAN avait </w:t>
      </w:r>
      <w:r w:rsidR="00C567D3">
        <w:rPr>
          <w:rFonts w:ascii="Arial" w:hAnsi="Arial" w:cs="Arial"/>
          <w:sz w:val="24"/>
          <w:szCs w:val="24"/>
        </w:rPr>
        <w:t xml:space="preserve">toutefois </w:t>
      </w:r>
      <w:r w:rsidR="00067F13" w:rsidRPr="00626EC9">
        <w:rPr>
          <w:rFonts w:ascii="Arial" w:hAnsi="Arial" w:cs="Arial"/>
          <w:sz w:val="24"/>
          <w:szCs w:val="24"/>
        </w:rPr>
        <w:t>également misé sur les plans d’action comme moyen</w:t>
      </w:r>
      <w:r w:rsidR="00323D3D">
        <w:rPr>
          <w:rFonts w:ascii="Arial" w:hAnsi="Arial" w:cs="Arial"/>
          <w:sz w:val="24"/>
          <w:szCs w:val="24"/>
        </w:rPr>
        <w:t>s</w:t>
      </w:r>
      <w:r w:rsidR="00067F13" w:rsidRPr="00626EC9">
        <w:rPr>
          <w:rFonts w:ascii="Arial" w:hAnsi="Arial" w:cs="Arial"/>
          <w:sz w:val="24"/>
          <w:szCs w:val="24"/>
        </w:rPr>
        <w:t xml:space="preserve"> de réalisation des droits prévus dans la présente Loi. Nous ne voulons toutefois pas reproduire les erreurs du Québec, à savoir l’absence de sanction, le manque de contenu et l’absence de mécanisme de reddition de comptes. </w:t>
      </w:r>
      <w:r w:rsidR="00837C9E">
        <w:rPr>
          <w:rFonts w:ascii="Arial" w:hAnsi="Arial" w:cs="Arial"/>
          <w:sz w:val="24"/>
          <w:szCs w:val="24"/>
        </w:rPr>
        <w:t>Finalement</w:t>
      </w:r>
      <w:r w:rsidR="00641439">
        <w:rPr>
          <w:rFonts w:ascii="Arial" w:hAnsi="Arial" w:cs="Arial"/>
          <w:sz w:val="24"/>
          <w:szCs w:val="24"/>
        </w:rPr>
        <w:t xml:space="preserve">, une clarification doit entourer le processus de consultation des personnes, des responsables des plans </w:t>
      </w:r>
      <w:r w:rsidR="00807589">
        <w:rPr>
          <w:rFonts w:ascii="Arial" w:hAnsi="Arial" w:cs="Arial"/>
          <w:sz w:val="24"/>
          <w:szCs w:val="24"/>
        </w:rPr>
        <w:t xml:space="preserve">d’accessibilité </w:t>
      </w:r>
      <w:r w:rsidR="00641439">
        <w:rPr>
          <w:rFonts w:ascii="Arial" w:hAnsi="Arial" w:cs="Arial"/>
          <w:sz w:val="24"/>
          <w:szCs w:val="24"/>
        </w:rPr>
        <w:t xml:space="preserve">doivent être identifiées et </w:t>
      </w:r>
      <w:r w:rsidR="007D21D4">
        <w:rPr>
          <w:rFonts w:ascii="Arial" w:hAnsi="Arial" w:cs="Arial"/>
          <w:sz w:val="24"/>
          <w:szCs w:val="24"/>
        </w:rPr>
        <w:t>leurs coordonnées publiées</w:t>
      </w:r>
      <w:r w:rsidR="00641439">
        <w:rPr>
          <w:rFonts w:ascii="Arial" w:hAnsi="Arial" w:cs="Arial"/>
          <w:sz w:val="24"/>
          <w:szCs w:val="24"/>
        </w:rPr>
        <w:t xml:space="preserve"> et l’ensemble des plans</w:t>
      </w:r>
      <w:r w:rsidR="00807589">
        <w:rPr>
          <w:rFonts w:ascii="Arial" w:hAnsi="Arial" w:cs="Arial"/>
          <w:sz w:val="24"/>
          <w:szCs w:val="24"/>
        </w:rPr>
        <w:t xml:space="preserve"> d’accessibilité</w:t>
      </w:r>
      <w:r w:rsidR="00641439">
        <w:rPr>
          <w:rFonts w:ascii="Arial" w:hAnsi="Arial" w:cs="Arial"/>
          <w:sz w:val="24"/>
          <w:szCs w:val="24"/>
        </w:rPr>
        <w:t xml:space="preserve"> doivent</w:t>
      </w:r>
      <w:r w:rsidR="00807589">
        <w:rPr>
          <w:rFonts w:ascii="Arial" w:hAnsi="Arial" w:cs="Arial"/>
          <w:sz w:val="24"/>
          <w:szCs w:val="24"/>
        </w:rPr>
        <w:t xml:space="preserve"> de facto</w:t>
      </w:r>
      <w:r w:rsidR="00641439">
        <w:rPr>
          <w:rFonts w:ascii="Arial" w:hAnsi="Arial" w:cs="Arial"/>
          <w:sz w:val="24"/>
          <w:szCs w:val="24"/>
        </w:rPr>
        <w:t xml:space="preserve"> être disponibles en format accessible sur les sit</w:t>
      </w:r>
      <w:r w:rsidR="00AF62E3">
        <w:rPr>
          <w:rFonts w:ascii="Arial" w:hAnsi="Arial" w:cs="Arial"/>
          <w:sz w:val="24"/>
          <w:szCs w:val="24"/>
        </w:rPr>
        <w:t xml:space="preserve">es Web des différentes entités ainsi que les redditions de compte. </w:t>
      </w:r>
    </w:p>
    <w:p w:rsidR="00CE3884" w:rsidRPr="00204718" w:rsidRDefault="00CE3884" w:rsidP="00987CB6">
      <w:pPr>
        <w:pStyle w:val="Titre1"/>
        <w:spacing w:line="276" w:lineRule="auto"/>
        <w:rPr>
          <w:b/>
          <w:color w:val="auto"/>
        </w:rPr>
      </w:pPr>
      <w:r w:rsidRPr="00067D2A">
        <w:rPr>
          <w:b/>
          <w:color w:val="auto"/>
        </w:rPr>
        <w:t>Exécution et contrôle d’application</w:t>
      </w:r>
      <w:r w:rsidRPr="00204718">
        <w:rPr>
          <w:b/>
          <w:color w:val="auto"/>
        </w:rPr>
        <w:t> </w:t>
      </w:r>
    </w:p>
    <w:p w:rsidR="00F73E51" w:rsidRPr="00C417B0" w:rsidRDefault="00CE3884" w:rsidP="00C417B0">
      <w:pPr>
        <w:rPr>
          <w:rFonts w:ascii="Arial" w:hAnsi="Arial" w:cs="Arial"/>
          <w:sz w:val="24"/>
          <w:szCs w:val="24"/>
        </w:rPr>
      </w:pPr>
      <w:r w:rsidRPr="00FA3C41">
        <w:rPr>
          <w:rFonts w:ascii="Arial" w:hAnsi="Arial" w:cs="Arial"/>
          <w:sz w:val="24"/>
          <w:szCs w:val="24"/>
        </w:rPr>
        <w:t>Des sanctions administratives pécuniaires peuvent être données à une entité réglementée</w:t>
      </w:r>
      <w:r w:rsidR="00947D7A">
        <w:rPr>
          <w:rFonts w:ascii="Arial" w:hAnsi="Arial" w:cs="Arial"/>
          <w:sz w:val="24"/>
          <w:szCs w:val="24"/>
        </w:rPr>
        <w:t>, sans précision des montants. Toutefois</w:t>
      </w:r>
      <w:r w:rsidR="00B17A6F">
        <w:rPr>
          <w:rFonts w:ascii="Arial" w:hAnsi="Arial" w:cs="Arial"/>
          <w:sz w:val="24"/>
          <w:szCs w:val="24"/>
        </w:rPr>
        <w:t xml:space="preserve">, </w:t>
      </w:r>
      <w:r w:rsidRPr="00FA3C41">
        <w:rPr>
          <w:rFonts w:ascii="Arial" w:hAnsi="Arial" w:cs="Arial"/>
          <w:sz w:val="24"/>
          <w:szCs w:val="24"/>
        </w:rPr>
        <w:t xml:space="preserve">« l’imposition de la sanction vise non pas à punir, </w:t>
      </w:r>
      <w:r w:rsidRPr="00FA3C41">
        <w:rPr>
          <w:rFonts w:ascii="Arial" w:hAnsi="Arial" w:cs="Arial"/>
          <w:sz w:val="24"/>
          <w:szCs w:val="24"/>
        </w:rPr>
        <w:lastRenderedPageBreak/>
        <w:t xml:space="preserve">mais à favoriser le respect de la présente loi ». </w:t>
      </w:r>
      <w:r w:rsidR="00B17A6F">
        <w:rPr>
          <w:rFonts w:ascii="Arial" w:hAnsi="Arial" w:cs="Arial"/>
          <w:sz w:val="24"/>
          <w:szCs w:val="24"/>
        </w:rPr>
        <w:t>P</w:t>
      </w:r>
      <w:r w:rsidR="00403BA0">
        <w:rPr>
          <w:rFonts w:ascii="Arial" w:hAnsi="Arial" w:cs="Arial"/>
          <w:sz w:val="24"/>
          <w:szCs w:val="24"/>
        </w:rPr>
        <w:t xml:space="preserve">our la COPHAN, il y a là une incongruité concernant l’imputabilité </w:t>
      </w:r>
      <w:r w:rsidR="004D17A9">
        <w:rPr>
          <w:rFonts w:ascii="Arial" w:hAnsi="Arial" w:cs="Arial"/>
          <w:sz w:val="24"/>
          <w:szCs w:val="24"/>
        </w:rPr>
        <w:t xml:space="preserve">même </w:t>
      </w:r>
      <w:r w:rsidR="00403BA0">
        <w:rPr>
          <w:rFonts w:ascii="Arial" w:hAnsi="Arial" w:cs="Arial"/>
          <w:sz w:val="24"/>
          <w:szCs w:val="24"/>
        </w:rPr>
        <w:t>des entités réglementées.</w:t>
      </w:r>
    </w:p>
    <w:p w:rsidR="00CF6093" w:rsidRPr="00CF6093" w:rsidRDefault="00CF6093" w:rsidP="00987CB6">
      <w:pPr>
        <w:pStyle w:val="Titre1"/>
        <w:spacing w:line="276" w:lineRule="auto"/>
        <w:rPr>
          <w:b/>
          <w:color w:val="auto"/>
        </w:rPr>
      </w:pPr>
      <w:r w:rsidRPr="00CF6093">
        <w:rPr>
          <w:b/>
          <w:color w:val="auto"/>
        </w:rPr>
        <w:t>Règlements</w:t>
      </w:r>
    </w:p>
    <w:p w:rsidR="00CF6093" w:rsidRPr="00CF6093" w:rsidRDefault="00CF6093" w:rsidP="00987CB6">
      <w:pPr>
        <w:autoSpaceDE w:val="0"/>
        <w:autoSpaceDN w:val="0"/>
        <w:adjustRightInd w:val="0"/>
        <w:spacing w:after="0"/>
        <w:rPr>
          <w:rFonts w:ascii="Arial" w:hAnsi="Arial" w:cs="Arial"/>
          <w:sz w:val="24"/>
          <w:szCs w:val="24"/>
        </w:rPr>
      </w:pPr>
      <w:r w:rsidRPr="00CF6093">
        <w:rPr>
          <w:rFonts w:ascii="Arial" w:hAnsi="Arial" w:cs="Arial"/>
          <w:sz w:val="24"/>
          <w:szCs w:val="24"/>
        </w:rPr>
        <w:t>Étant donné que beaucoup de précisions entourant la Loi elle-même ser</w:t>
      </w:r>
      <w:r w:rsidR="0021514F">
        <w:rPr>
          <w:rFonts w:ascii="Arial" w:hAnsi="Arial" w:cs="Arial"/>
          <w:sz w:val="24"/>
          <w:szCs w:val="24"/>
        </w:rPr>
        <w:t>ont</w:t>
      </w:r>
      <w:r w:rsidRPr="00CF6093">
        <w:rPr>
          <w:rFonts w:ascii="Arial" w:hAnsi="Arial" w:cs="Arial"/>
          <w:sz w:val="24"/>
          <w:szCs w:val="24"/>
        </w:rPr>
        <w:t xml:space="preserve"> fi</w:t>
      </w:r>
      <w:r w:rsidR="0021514F">
        <w:rPr>
          <w:rFonts w:ascii="Arial" w:hAnsi="Arial" w:cs="Arial"/>
          <w:sz w:val="24"/>
          <w:szCs w:val="24"/>
        </w:rPr>
        <w:t>x</w:t>
      </w:r>
      <w:r w:rsidRPr="00CF6093">
        <w:rPr>
          <w:rFonts w:ascii="Arial" w:hAnsi="Arial" w:cs="Arial"/>
          <w:sz w:val="24"/>
          <w:szCs w:val="24"/>
        </w:rPr>
        <w:t>é</w:t>
      </w:r>
      <w:r w:rsidR="0021514F">
        <w:rPr>
          <w:rFonts w:ascii="Arial" w:hAnsi="Arial" w:cs="Arial"/>
          <w:sz w:val="24"/>
          <w:szCs w:val="24"/>
        </w:rPr>
        <w:t>es</w:t>
      </w:r>
      <w:r w:rsidRPr="00CF6093">
        <w:rPr>
          <w:rFonts w:ascii="Arial" w:hAnsi="Arial" w:cs="Arial"/>
          <w:sz w:val="24"/>
          <w:szCs w:val="24"/>
        </w:rPr>
        <w:t xml:space="preserve"> </w:t>
      </w:r>
      <w:r w:rsidR="002738DE">
        <w:rPr>
          <w:rFonts w:ascii="Arial" w:hAnsi="Arial" w:cs="Arial"/>
          <w:sz w:val="24"/>
          <w:szCs w:val="24"/>
        </w:rPr>
        <w:t>par</w:t>
      </w:r>
      <w:r w:rsidRPr="00CF6093">
        <w:rPr>
          <w:rFonts w:ascii="Arial" w:hAnsi="Arial" w:cs="Arial"/>
          <w:sz w:val="24"/>
          <w:szCs w:val="24"/>
        </w:rPr>
        <w:t xml:space="preserve"> règlement</w:t>
      </w:r>
      <w:r w:rsidR="002738DE">
        <w:rPr>
          <w:rFonts w:ascii="Arial" w:hAnsi="Arial" w:cs="Arial"/>
          <w:sz w:val="24"/>
          <w:szCs w:val="24"/>
        </w:rPr>
        <w:t>s</w:t>
      </w:r>
      <w:r w:rsidRPr="00CF6093">
        <w:rPr>
          <w:rFonts w:ascii="Arial" w:hAnsi="Arial" w:cs="Arial"/>
          <w:sz w:val="24"/>
          <w:szCs w:val="24"/>
        </w:rPr>
        <w:t xml:space="preserve">, </w:t>
      </w:r>
      <w:r>
        <w:rPr>
          <w:rFonts w:ascii="Arial" w:hAnsi="Arial" w:cs="Arial"/>
          <w:sz w:val="24"/>
          <w:szCs w:val="24"/>
        </w:rPr>
        <w:t xml:space="preserve">nous demandons à ce que le gouvernement fasse une </w:t>
      </w:r>
      <w:r w:rsidRPr="00CF6093">
        <w:rPr>
          <w:rFonts w:ascii="Arial" w:hAnsi="Arial" w:cs="Arial"/>
          <w:sz w:val="24"/>
          <w:szCs w:val="24"/>
        </w:rPr>
        <w:t xml:space="preserve">prépublication des intentions réglementaires et normatives. D’ailleurs, </w:t>
      </w:r>
      <w:r w:rsidR="00F1551E">
        <w:rPr>
          <w:rFonts w:ascii="Arial" w:hAnsi="Arial" w:cs="Arial"/>
          <w:sz w:val="24"/>
          <w:szCs w:val="24"/>
        </w:rPr>
        <w:t xml:space="preserve">en avril dernier, </w:t>
      </w:r>
      <w:r w:rsidRPr="00CF6093">
        <w:rPr>
          <w:rFonts w:ascii="Arial" w:hAnsi="Arial" w:cs="Arial"/>
          <w:sz w:val="24"/>
          <w:szCs w:val="24"/>
        </w:rPr>
        <w:t xml:space="preserve">le gouvernement québécois </w:t>
      </w:r>
      <w:r w:rsidR="00F1551E">
        <w:rPr>
          <w:rFonts w:ascii="Arial" w:hAnsi="Arial" w:cs="Arial"/>
          <w:sz w:val="24"/>
          <w:szCs w:val="24"/>
        </w:rPr>
        <w:t>a publié de telles</w:t>
      </w:r>
      <w:r w:rsidRPr="00CF6093">
        <w:rPr>
          <w:rFonts w:ascii="Arial" w:hAnsi="Arial" w:cs="Arial"/>
          <w:sz w:val="24"/>
          <w:szCs w:val="24"/>
        </w:rPr>
        <w:t xml:space="preserve"> intentions r</w:t>
      </w:r>
      <w:r w:rsidR="0021514F">
        <w:rPr>
          <w:rFonts w:ascii="Arial" w:hAnsi="Arial" w:cs="Arial"/>
          <w:sz w:val="24"/>
          <w:szCs w:val="24"/>
        </w:rPr>
        <w:t>é</w:t>
      </w:r>
      <w:r w:rsidRPr="00CF6093">
        <w:rPr>
          <w:rFonts w:ascii="Arial" w:hAnsi="Arial" w:cs="Arial"/>
          <w:sz w:val="24"/>
          <w:szCs w:val="24"/>
        </w:rPr>
        <w:t xml:space="preserve">glementaires annexées au projet de loi 173 – </w:t>
      </w:r>
      <w:r w:rsidRPr="00CF6093">
        <w:rPr>
          <w:rFonts w:ascii="Arial" w:hAnsi="Arial" w:cs="Arial"/>
          <w:i/>
          <w:sz w:val="24"/>
          <w:szCs w:val="24"/>
        </w:rPr>
        <w:t>Loi visant principalement à instaurer un revenu de base pour les personnes qui présentent des contraires sévères à l’emploi</w:t>
      </w:r>
      <w:r w:rsidRPr="00CF6093">
        <w:rPr>
          <w:rFonts w:ascii="Arial" w:hAnsi="Arial" w:cs="Arial"/>
          <w:sz w:val="24"/>
          <w:szCs w:val="24"/>
        </w:rPr>
        <w:t xml:space="preserve">. Selon nous, il s’agissait d’un geste d’ouverture </w:t>
      </w:r>
      <w:r w:rsidR="00DB2E00">
        <w:rPr>
          <w:rFonts w:ascii="Arial" w:hAnsi="Arial" w:cs="Arial"/>
          <w:sz w:val="24"/>
          <w:szCs w:val="24"/>
        </w:rPr>
        <w:t xml:space="preserve">et de transparence </w:t>
      </w:r>
      <w:r w:rsidRPr="00CF6093">
        <w:rPr>
          <w:rFonts w:ascii="Arial" w:hAnsi="Arial" w:cs="Arial"/>
          <w:sz w:val="24"/>
          <w:szCs w:val="24"/>
        </w:rPr>
        <w:t>qui a permis d’entrevoir la mise en place concrète du programme.</w:t>
      </w:r>
      <w:r>
        <w:rPr>
          <w:rFonts w:ascii="Arial" w:hAnsi="Arial" w:cs="Arial"/>
          <w:sz w:val="24"/>
          <w:szCs w:val="24"/>
        </w:rPr>
        <w:t xml:space="preserve"> En 2019, le changement </w:t>
      </w:r>
      <w:r w:rsidR="00811D4E">
        <w:rPr>
          <w:rFonts w:ascii="Arial" w:hAnsi="Arial" w:cs="Arial"/>
          <w:sz w:val="24"/>
          <w:szCs w:val="24"/>
        </w:rPr>
        <w:t xml:space="preserve">possible </w:t>
      </w:r>
      <w:r>
        <w:rPr>
          <w:rFonts w:ascii="Arial" w:hAnsi="Arial" w:cs="Arial"/>
          <w:sz w:val="24"/>
          <w:szCs w:val="24"/>
        </w:rPr>
        <w:t>de gouvernement nous incite à faire une telle demande pour connaître l’intention d</w:t>
      </w:r>
      <w:r w:rsidR="008A53F2">
        <w:rPr>
          <w:rFonts w:ascii="Arial" w:hAnsi="Arial" w:cs="Arial"/>
          <w:sz w:val="24"/>
          <w:szCs w:val="24"/>
        </w:rPr>
        <w:t xml:space="preserve">e l’exécutif et avoir des engagements fermes sur les échéanciers. </w:t>
      </w:r>
    </w:p>
    <w:p w:rsidR="00CF6093" w:rsidRDefault="00CF6093" w:rsidP="00987CB6">
      <w:pPr>
        <w:autoSpaceDE w:val="0"/>
        <w:autoSpaceDN w:val="0"/>
        <w:adjustRightInd w:val="0"/>
        <w:spacing w:after="0"/>
        <w:rPr>
          <w:rFonts w:ascii="Arial" w:hAnsi="Arial" w:cs="Arial"/>
          <w:sz w:val="24"/>
          <w:szCs w:val="24"/>
          <w:highlight w:val="yellow"/>
        </w:rPr>
      </w:pPr>
    </w:p>
    <w:p w:rsidR="00204718" w:rsidRDefault="00204718" w:rsidP="00987CB6">
      <w:pPr>
        <w:pStyle w:val="Titre1"/>
        <w:spacing w:line="276" w:lineRule="auto"/>
        <w:rPr>
          <w:b/>
          <w:color w:val="auto"/>
        </w:rPr>
      </w:pPr>
      <w:r w:rsidRPr="00506E3A">
        <w:rPr>
          <w:b/>
          <w:color w:val="auto"/>
        </w:rPr>
        <w:t>Modifications connexes</w:t>
      </w:r>
      <w:r w:rsidRPr="00204718">
        <w:rPr>
          <w:b/>
          <w:color w:val="auto"/>
        </w:rPr>
        <w:t xml:space="preserve"> </w:t>
      </w:r>
    </w:p>
    <w:p w:rsidR="0066384C" w:rsidRDefault="0066384C" w:rsidP="00987CB6">
      <w:pPr>
        <w:autoSpaceDE w:val="0"/>
        <w:autoSpaceDN w:val="0"/>
        <w:adjustRightInd w:val="0"/>
        <w:spacing w:after="0"/>
        <w:rPr>
          <w:rFonts w:ascii="Arial" w:hAnsi="Arial" w:cs="Arial"/>
          <w:sz w:val="24"/>
          <w:szCs w:val="24"/>
        </w:rPr>
      </w:pPr>
      <w:r w:rsidRPr="0066384C">
        <w:rPr>
          <w:rFonts w:ascii="Arial" w:hAnsi="Arial" w:cs="Arial"/>
          <w:sz w:val="24"/>
          <w:szCs w:val="24"/>
        </w:rPr>
        <w:t>À notre connaissance, il nous appara</w:t>
      </w:r>
      <w:r w:rsidR="0021514F">
        <w:rPr>
          <w:rFonts w:ascii="Arial" w:hAnsi="Arial" w:cs="Arial"/>
          <w:sz w:val="24"/>
          <w:szCs w:val="24"/>
        </w:rPr>
        <w:t>î</w:t>
      </w:r>
      <w:r w:rsidRPr="0066384C">
        <w:rPr>
          <w:rFonts w:ascii="Arial" w:hAnsi="Arial" w:cs="Arial"/>
          <w:sz w:val="24"/>
          <w:szCs w:val="24"/>
        </w:rPr>
        <w:t>t simpliste que la Loi n’identifie que</w:t>
      </w:r>
      <w:r w:rsidR="00506E3A">
        <w:rPr>
          <w:rFonts w:ascii="Arial" w:hAnsi="Arial" w:cs="Arial"/>
          <w:sz w:val="24"/>
          <w:szCs w:val="24"/>
        </w:rPr>
        <w:t xml:space="preserve"> huit modifications connexes et trois modifications corrélatives de documents légaux</w:t>
      </w:r>
      <w:r w:rsidRPr="0066384C">
        <w:rPr>
          <w:rFonts w:ascii="Arial" w:hAnsi="Arial" w:cs="Arial"/>
          <w:sz w:val="24"/>
          <w:szCs w:val="24"/>
        </w:rPr>
        <w:t>. Selon nous, la Loi entrera en contradiction avec d’autres textes de loi qui doivent ainsi être ajoutés à la présente Loi. La liste telle que définie ne doit ainsi donc pas être restrictive.</w:t>
      </w:r>
      <w:r>
        <w:rPr>
          <w:rFonts w:ascii="Arial" w:hAnsi="Arial" w:cs="Arial"/>
          <w:sz w:val="24"/>
          <w:szCs w:val="24"/>
        </w:rPr>
        <w:t xml:space="preserve"> </w:t>
      </w:r>
    </w:p>
    <w:p w:rsidR="0066384C" w:rsidRDefault="0066384C" w:rsidP="00987CB6">
      <w:pPr>
        <w:rPr>
          <w:rFonts w:ascii="Arial" w:hAnsi="Arial" w:cs="Arial"/>
          <w:sz w:val="24"/>
          <w:szCs w:val="24"/>
          <w:highlight w:val="white"/>
        </w:rPr>
      </w:pPr>
    </w:p>
    <w:p w:rsidR="00506E3A" w:rsidRPr="00506E3A" w:rsidRDefault="00506E3A" w:rsidP="00987CB6">
      <w:pPr>
        <w:pStyle w:val="Titre1"/>
        <w:spacing w:line="276" w:lineRule="auto"/>
        <w:rPr>
          <w:b/>
          <w:color w:val="auto"/>
          <w:highlight w:val="white"/>
        </w:rPr>
      </w:pPr>
      <w:r w:rsidRPr="00506E3A">
        <w:rPr>
          <w:b/>
          <w:color w:val="auto"/>
          <w:highlight w:val="white"/>
        </w:rPr>
        <w:t xml:space="preserve">Conclusion </w:t>
      </w:r>
    </w:p>
    <w:p w:rsidR="00326259" w:rsidRDefault="006033C4" w:rsidP="00987CB6">
      <w:pPr>
        <w:rPr>
          <w:rFonts w:ascii="Arial" w:hAnsi="Arial" w:cs="Arial"/>
          <w:sz w:val="24"/>
          <w:szCs w:val="24"/>
          <w:highlight w:val="white"/>
        </w:rPr>
      </w:pPr>
      <w:r w:rsidRPr="006033C4">
        <w:rPr>
          <w:rFonts w:ascii="Arial" w:hAnsi="Arial" w:cs="Arial"/>
          <w:sz w:val="24"/>
          <w:szCs w:val="24"/>
          <w:highlight w:val="white"/>
        </w:rPr>
        <w:t>Finalement, rappelons que l</w:t>
      </w:r>
      <w:r w:rsidR="003B6505" w:rsidRPr="006033C4">
        <w:rPr>
          <w:rFonts w:ascii="Arial" w:hAnsi="Arial" w:cs="Arial"/>
          <w:sz w:val="24"/>
          <w:szCs w:val="24"/>
          <w:highlight w:val="white"/>
        </w:rPr>
        <w:t xml:space="preserve">es normes CSA doivent être </w:t>
      </w:r>
      <w:r w:rsidR="008B620A" w:rsidRPr="006033C4">
        <w:rPr>
          <w:rFonts w:ascii="Arial" w:hAnsi="Arial" w:cs="Arial"/>
          <w:sz w:val="24"/>
          <w:szCs w:val="24"/>
          <w:highlight w:val="white"/>
        </w:rPr>
        <w:t>imposées</w:t>
      </w:r>
      <w:r w:rsidR="003B6505" w:rsidRPr="006033C4">
        <w:rPr>
          <w:rFonts w:ascii="Arial" w:hAnsi="Arial" w:cs="Arial"/>
          <w:sz w:val="24"/>
          <w:szCs w:val="24"/>
          <w:highlight w:val="white"/>
        </w:rPr>
        <w:t xml:space="preserve"> </w:t>
      </w:r>
      <w:r w:rsidR="0046568F">
        <w:rPr>
          <w:rFonts w:ascii="Arial" w:hAnsi="Arial" w:cs="Arial"/>
          <w:sz w:val="24"/>
          <w:szCs w:val="24"/>
          <w:highlight w:val="white"/>
        </w:rPr>
        <w:t xml:space="preserve">comme socle canadien </w:t>
      </w:r>
      <w:r>
        <w:rPr>
          <w:rFonts w:ascii="Arial" w:hAnsi="Arial" w:cs="Arial"/>
          <w:sz w:val="24"/>
          <w:szCs w:val="24"/>
          <w:highlight w:val="white"/>
        </w:rPr>
        <w:t>pour</w:t>
      </w:r>
      <w:r w:rsidR="0089049F" w:rsidRPr="006033C4">
        <w:rPr>
          <w:rFonts w:ascii="Arial" w:hAnsi="Arial" w:cs="Arial"/>
          <w:sz w:val="24"/>
          <w:szCs w:val="24"/>
          <w:highlight w:val="white"/>
        </w:rPr>
        <w:t xml:space="preserve"> l’</w:t>
      </w:r>
      <w:r w:rsidR="00967D63" w:rsidRPr="006033C4">
        <w:rPr>
          <w:rFonts w:ascii="Arial" w:hAnsi="Arial" w:cs="Arial"/>
          <w:sz w:val="24"/>
          <w:szCs w:val="24"/>
          <w:highlight w:val="white"/>
        </w:rPr>
        <w:t>ensemble</w:t>
      </w:r>
      <w:r w:rsidR="0089049F" w:rsidRPr="006033C4">
        <w:rPr>
          <w:rFonts w:ascii="Arial" w:hAnsi="Arial" w:cs="Arial"/>
          <w:sz w:val="24"/>
          <w:szCs w:val="24"/>
          <w:highlight w:val="white"/>
        </w:rPr>
        <w:t xml:space="preserve"> du </w:t>
      </w:r>
      <w:r w:rsidR="00C417B0">
        <w:rPr>
          <w:rFonts w:ascii="Arial" w:hAnsi="Arial" w:cs="Arial"/>
          <w:sz w:val="24"/>
          <w:szCs w:val="24"/>
          <w:highlight w:val="white"/>
        </w:rPr>
        <w:t>« </w:t>
      </w:r>
      <w:r w:rsidR="0089049F" w:rsidRPr="006033C4">
        <w:rPr>
          <w:rFonts w:ascii="Arial" w:hAnsi="Arial" w:cs="Arial"/>
          <w:sz w:val="24"/>
          <w:szCs w:val="24"/>
          <w:highlight w:val="white"/>
        </w:rPr>
        <w:t>pouvoir</w:t>
      </w:r>
      <w:r w:rsidR="0089049F">
        <w:rPr>
          <w:rFonts w:ascii="Arial" w:hAnsi="Arial" w:cs="Arial"/>
          <w:sz w:val="24"/>
          <w:szCs w:val="24"/>
          <w:highlight w:val="white"/>
        </w:rPr>
        <w:t xml:space="preserve"> de dépenser</w:t>
      </w:r>
      <w:r w:rsidR="00C417B0">
        <w:rPr>
          <w:rFonts w:ascii="Arial" w:hAnsi="Arial" w:cs="Arial"/>
          <w:sz w:val="24"/>
          <w:szCs w:val="24"/>
          <w:highlight w:val="white"/>
        </w:rPr>
        <w:t> » fédéral</w:t>
      </w:r>
      <w:r>
        <w:rPr>
          <w:rFonts w:ascii="Arial" w:hAnsi="Arial" w:cs="Arial"/>
          <w:sz w:val="24"/>
          <w:szCs w:val="24"/>
          <w:highlight w:val="white"/>
        </w:rPr>
        <w:t>, et ce,</w:t>
      </w:r>
      <w:r w:rsidR="0089049F">
        <w:rPr>
          <w:rFonts w:ascii="Arial" w:hAnsi="Arial" w:cs="Arial"/>
          <w:sz w:val="24"/>
          <w:szCs w:val="24"/>
          <w:highlight w:val="white"/>
        </w:rPr>
        <w:t xml:space="preserve"> dès</w:t>
      </w:r>
      <w:r w:rsidR="0092319D">
        <w:rPr>
          <w:rFonts w:ascii="Arial" w:hAnsi="Arial" w:cs="Arial"/>
          <w:sz w:val="24"/>
          <w:szCs w:val="24"/>
          <w:highlight w:val="white"/>
        </w:rPr>
        <w:t xml:space="preserve"> le budget 2019</w:t>
      </w:r>
      <w:r w:rsidR="0089049F">
        <w:rPr>
          <w:rFonts w:ascii="Arial" w:hAnsi="Arial" w:cs="Arial"/>
          <w:sz w:val="24"/>
          <w:szCs w:val="24"/>
          <w:highlight w:val="white"/>
        </w:rPr>
        <w:t xml:space="preserve">. </w:t>
      </w:r>
      <w:r w:rsidR="0021514F">
        <w:rPr>
          <w:rFonts w:ascii="Arial" w:hAnsi="Arial" w:cs="Arial"/>
          <w:sz w:val="24"/>
          <w:szCs w:val="24"/>
          <w:highlight w:val="white"/>
        </w:rPr>
        <w:t xml:space="preserve">Rappelons </w:t>
      </w:r>
      <w:r w:rsidR="00FA290C">
        <w:rPr>
          <w:rFonts w:ascii="Arial" w:hAnsi="Arial" w:cs="Arial"/>
          <w:sz w:val="24"/>
          <w:szCs w:val="24"/>
          <w:highlight w:val="white"/>
        </w:rPr>
        <w:t xml:space="preserve">aussi </w:t>
      </w:r>
      <w:r w:rsidR="0021514F">
        <w:rPr>
          <w:rFonts w:ascii="Arial" w:hAnsi="Arial" w:cs="Arial"/>
          <w:sz w:val="24"/>
          <w:szCs w:val="24"/>
          <w:highlight w:val="white"/>
        </w:rPr>
        <w:t>que l</w:t>
      </w:r>
      <w:r w:rsidR="00826A2D" w:rsidRPr="00826A2D">
        <w:rPr>
          <w:rFonts w:ascii="Arial" w:hAnsi="Arial" w:cs="Arial"/>
          <w:sz w:val="24"/>
          <w:szCs w:val="24"/>
          <w:highlight w:val="white"/>
        </w:rPr>
        <w:t xml:space="preserve">a Loi renvoie à la publication de nombreux règlements dont nous ne connaissons pas l’impact, d’où la nécessité de prévoir un processus d’évaluation </w:t>
      </w:r>
      <w:r w:rsidR="00594D2E">
        <w:rPr>
          <w:rFonts w:ascii="Arial" w:hAnsi="Arial" w:cs="Arial"/>
          <w:sz w:val="24"/>
          <w:szCs w:val="24"/>
          <w:highlight w:val="white"/>
        </w:rPr>
        <w:t xml:space="preserve">indépendant </w:t>
      </w:r>
      <w:r w:rsidR="00826A2D" w:rsidRPr="00826A2D">
        <w:rPr>
          <w:rFonts w:ascii="Arial" w:hAnsi="Arial" w:cs="Arial"/>
          <w:sz w:val="24"/>
          <w:szCs w:val="24"/>
          <w:highlight w:val="white"/>
        </w:rPr>
        <w:t>de la Loi</w:t>
      </w:r>
      <w:r w:rsidR="00F45B87">
        <w:rPr>
          <w:rFonts w:ascii="Arial" w:hAnsi="Arial" w:cs="Arial"/>
          <w:sz w:val="24"/>
          <w:szCs w:val="24"/>
          <w:highlight w:val="white"/>
        </w:rPr>
        <w:t xml:space="preserve"> et une prépublication des intentions réglementaires et normatives</w:t>
      </w:r>
      <w:r w:rsidR="00826A2D" w:rsidRPr="00826A2D">
        <w:rPr>
          <w:rFonts w:ascii="Arial" w:hAnsi="Arial" w:cs="Arial"/>
          <w:sz w:val="24"/>
          <w:szCs w:val="24"/>
          <w:highlight w:val="white"/>
        </w:rPr>
        <w:t>.</w:t>
      </w:r>
      <w:r w:rsidR="00B14EFF">
        <w:rPr>
          <w:rFonts w:ascii="Arial" w:hAnsi="Arial" w:cs="Arial"/>
          <w:sz w:val="24"/>
          <w:szCs w:val="24"/>
          <w:highlight w:val="white"/>
        </w:rPr>
        <w:t xml:space="preserve"> Nous restons toutefois très </w:t>
      </w:r>
      <w:r w:rsidR="00FA7EE8">
        <w:rPr>
          <w:rFonts w:ascii="Arial" w:hAnsi="Arial" w:cs="Arial"/>
          <w:sz w:val="24"/>
          <w:szCs w:val="24"/>
          <w:highlight w:val="white"/>
        </w:rPr>
        <w:t>prudents</w:t>
      </w:r>
      <w:r w:rsidR="00B14EFF">
        <w:rPr>
          <w:rFonts w:ascii="Arial" w:hAnsi="Arial" w:cs="Arial"/>
          <w:sz w:val="24"/>
          <w:szCs w:val="24"/>
          <w:highlight w:val="white"/>
        </w:rPr>
        <w:t xml:space="preserve"> puisque l’objet de la Loi vise à diminuer les obstacles </w:t>
      </w:r>
      <w:r w:rsidR="0021514F">
        <w:rPr>
          <w:rFonts w:ascii="Arial" w:hAnsi="Arial" w:cs="Arial"/>
          <w:sz w:val="24"/>
          <w:szCs w:val="24"/>
          <w:highlight w:val="white"/>
        </w:rPr>
        <w:t>à l’accessibilité</w:t>
      </w:r>
      <w:r w:rsidR="00D61AE2">
        <w:rPr>
          <w:rFonts w:ascii="Arial" w:hAnsi="Arial" w:cs="Arial"/>
          <w:sz w:val="24"/>
          <w:szCs w:val="24"/>
          <w:highlight w:val="white"/>
        </w:rPr>
        <w:t>, sans effort spécifique pour les personnes elles-mêmes.</w:t>
      </w:r>
      <w:r w:rsidR="00FA7EE8">
        <w:rPr>
          <w:rFonts w:ascii="Arial" w:hAnsi="Arial" w:cs="Arial"/>
          <w:sz w:val="24"/>
          <w:szCs w:val="24"/>
          <w:highlight w:val="white"/>
        </w:rPr>
        <w:t xml:space="preserve"> </w:t>
      </w:r>
    </w:p>
    <w:p w:rsidR="009236D7" w:rsidRPr="00AB151B" w:rsidRDefault="00F45B87" w:rsidP="00987CB6">
      <w:pPr>
        <w:rPr>
          <w:rFonts w:ascii="Arial" w:hAnsi="Arial" w:cs="Arial"/>
          <w:sz w:val="24"/>
          <w:szCs w:val="24"/>
          <w:highlight w:val="white"/>
        </w:rPr>
      </w:pPr>
      <w:r>
        <w:rPr>
          <w:rFonts w:ascii="Arial" w:hAnsi="Arial" w:cs="Arial"/>
          <w:sz w:val="24"/>
          <w:szCs w:val="24"/>
          <w:highlight w:val="white"/>
        </w:rPr>
        <w:t xml:space="preserve">L’avancement des personnes ayant des limitations fonctionnelles dépend aussi de la volonté de tout un chacun dans son cadre de vie personnelle et professionnelle, c’est à chacun de mettre en cohérence son discours avec ses actes. </w:t>
      </w:r>
      <w:r w:rsidR="009236D7">
        <w:rPr>
          <w:rFonts w:ascii="Arial" w:hAnsi="Arial" w:cs="Arial"/>
          <w:sz w:val="24"/>
          <w:szCs w:val="24"/>
          <w:highlight w:val="white"/>
        </w:rPr>
        <w:t>Selon nous, la Loi est intéressante, mais en incluant nos commentaires, le gouvernement fédéral se doterait d’une loi qui aurait un réel impact</w:t>
      </w:r>
      <w:r w:rsidR="00787DD1">
        <w:rPr>
          <w:rFonts w:ascii="Arial" w:hAnsi="Arial" w:cs="Arial"/>
          <w:sz w:val="24"/>
          <w:szCs w:val="24"/>
          <w:highlight w:val="white"/>
        </w:rPr>
        <w:t xml:space="preserve"> </w:t>
      </w:r>
      <w:r w:rsidR="00B400A0">
        <w:rPr>
          <w:rFonts w:ascii="Arial" w:hAnsi="Arial" w:cs="Arial"/>
          <w:sz w:val="24"/>
          <w:szCs w:val="24"/>
          <w:highlight w:val="white"/>
        </w:rPr>
        <w:t xml:space="preserve">sur le quotidien des personnes ayant des limitations fonctionnelles. </w:t>
      </w:r>
    </w:p>
    <w:sectPr w:rsidR="009236D7" w:rsidRPr="00AB151B" w:rsidSect="00BA2598">
      <w:footerReference w:type="default" r:id="rId16"/>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19" w:rsidRDefault="00207519" w:rsidP="00DE657D">
      <w:pPr>
        <w:spacing w:after="0" w:line="240" w:lineRule="auto"/>
      </w:pPr>
      <w:r>
        <w:separator/>
      </w:r>
    </w:p>
  </w:endnote>
  <w:endnote w:type="continuationSeparator" w:id="0">
    <w:p w:rsidR="00207519" w:rsidRDefault="00207519" w:rsidP="00DE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D4" w:rsidRDefault="007D21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98" w:rsidRDefault="00BA2598" w:rsidP="00BA2598">
    <w:pPr>
      <w:pStyle w:val="Pieddepage"/>
      <w:jc w:val="center"/>
    </w:pPr>
  </w:p>
  <w:p w:rsidR="0019767F" w:rsidRPr="005C7463" w:rsidRDefault="0019767F">
    <w:pPr>
      <w:pStyle w:val="Pieddepage"/>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D4" w:rsidRDefault="007D21D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86124"/>
      <w:docPartObj>
        <w:docPartGallery w:val="Page Numbers (Bottom of Page)"/>
        <w:docPartUnique/>
      </w:docPartObj>
    </w:sdtPr>
    <w:sdtEndPr/>
    <w:sdtContent>
      <w:p w:rsidR="00BA2598" w:rsidRDefault="00BA2598">
        <w:pPr>
          <w:pStyle w:val="Pieddepage"/>
          <w:jc w:val="right"/>
        </w:pPr>
        <w:r>
          <w:fldChar w:fldCharType="begin"/>
        </w:r>
        <w:r>
          <w:instrText>PAGE   \* MERGEFORMAT</w:instrText>
        </w:r>
        <w:r>
          <w:fldChar w:fldCharType="separate"/>
        </w:r>
        <w:r w:rsidR="006F618F" w:rsidRPr="006F618F">
          <w:rPr>
            <w:noProof/>
            <w:lang w:val="fr-FR"/>
          </w:rPr>
          <w:t>6</w:t>
        </w:r>
        <w:r>
          <w:fldChar w:fldCharType="end"/>
        </w:r>
      </w:p>
    </w:sdtContent>
  </w:sdt>
  <w:p w:rsidR="00BA2598" w:rsidRPr="005C7463" w:rsidRDefault="00BA2598">
    <w:pPr>
      <w:pStyle w:val="Pieddepag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19" w:rsidRDefault="00207519" w:rsidP="00DE657D">
      <w:pPr>
        <w:spacing w:after="0" w:line="240" w:lineRule="auto"/>
      </w:pPr>
      <w:r>
        <w:separator/>
      </w:r>
    </w:p>
  </w:footnote>
  <w:footnote w:type="continuationSeparator" w:id="0">
    <w:p w:rsidR="00207519" w:rsidRDefault="00207519" w:rsidP="00DE657D">
      <w:pPr>
        <w:spacing w:after="0" w:line="240" w:lineRule="auto"/>
      </w:pPr>
      <w:r>
        <w:continuationSeparator/>
      </w:r>
    </w:p>
  </w:footnote>
  <w:footnote w:id="1">
    <w:p w:rsidR="005F3EFA" w:rsidRDefault="005F3EFA">
      <w:pPr>
        <w:pStyle w:val="Notedebasdepage"/>
      </w:pPr>
      <w:r>
        <w:rPr>
          <w:rStyle w:val="Appelnotedebasdep"/>
        </w:rPr>
        <w:footnoteRef/>
      </w:r>
      <w:r>
        <w:t xml:space="preserve"> Pour plus de détail, consulter : COPHAN, « Mémoire sur la Loi en matière d’accessibilité – Qu’est-ce qu’un Canada accessible pour vous? », juillet 2017. En ligne : </w:t>
      </w:r>
      <w:hyperlink r:id="rId1" w:history="1">
        <w:r w:rsidRPr="00B364B9">
          <w:rPr>
            <w:rStyle w:val="Lienhypertexte"/>
          </w:rPr>
          <w:t>https://cophan.org/wp-content/uploads/2017/07/2017-07-11-MEM-COPHAN-canada-accessible.pdf</w:t>
        </w:r>
      </w:hyperlink>
      <w:r>
        <w:t xml:space="preserve"> </w:t>
      </w:r>
    </w:p>
  </w:footnote>
  <w:footnote w:id="2">
    <w:p w:rsidR="000A0E2E" w:rsidRDefault="000A0E2E" w:rsidP="000A0E2E">
      <w:pPr>
        <w:pStyle w:val="Notedebasdepage"/>
      </w:pPr>
      <w:r>
        <w:rPr>
          <w:rStyle w:val="Appelnotedebasdep"/>
        </w:rPr>
        <w:footnoteRef/>
      </w:r>
      <w:r>
        <w:t xml:space="preserve"> Pour plus de détail, consulter : COPHAN, « Mémoire portant sur la proposition de modification de la Stratégie de développement durable », février 2015. En ligne : </w:t>
      </w:r>
      <w:hyperlink r:id="rId2" w:history="1">
        <w:r w:rsidRPr="004D0AB5">
          <w:rPr>
            <w:rStyle w:val="Lienhypertexte"/>
          </w:rPr>
          <w:t>https://cophan.org/wp-content/uploads/2015/02/COPHAN_M--moire-</w:t>
        </w:r>
        <w:proofErr w:type="spellStart"/>
        <w:r w:rsidRPr="004D0AB5">
          <w:rPr>
            <w:rStyle w:val="Lienhypertexte"/>
          </w:rPr>
          <w:t>Strat</w:t>
        </w:r>
        <w:proofErr w:type="spellEnd"/>
        <w:r w:rsidRPr="004D0AB5">
          <w:rPr>
            <w:rStyle w:val="Lienhypertexte"/>
          </w:rPr>
          <w:t>--gie-developpement-durable_20151.pdf</w:t>
        </w:r>
      </w:hyperlink>
      <w:r>
        <w:t xml:space="preserve"> </w:t>
      </w:r>
    </w:p>
  </w:footnote>
  <w:footnote w:id="3">
    <w:p w:rsidR="00AC640B" w:rsidRDefault="00AC640B">
      <w:pPr>
        <w:pStyle w:val="Notedebasdepage"/>
      </w:pPr>
      <w:r>
        <w:rPr>
          <w:rStyle w:val="Appelnotedebasdep"/>
        </w:rPr>
        <w:footnoteRef/>
      </w:r>
      <w:r>
        <w:t xml:space="preserve"> D’ailleurs, selon les chiffres de 2016-2017, les employés ayant des limitations fonctionnelles représentent 5,6 % de la fonction publique. Secrétariat du Conseil du Trésor du Canada, « L’équité en matière d’emploi dans la fonction publique du Canada 2016-2017 », 2018. En ligne : </w:t>
      </w:r>
      <w:hyperlink r:id="rId3" w:history="1">
        <w:r w:rsidRPr="00B47A89">
          <w:rPr>
            <w:rStyle w:val="Lienhypertexte"/>
          </w:rPr>
          <w:t>https://www.canada.ca/content/dam/tbs-sct/documents/reports/eepsfy-emefp/2017/eepsfy-emefp-fra.pdf</w:t>
        </w:r>
      </w:hyperlink>
      <w:r>
        <w:t xml:space="preserve">  </w:t>
      </w:r>
    </w:p>
  </w:footnote>
  <w:footnote w:id="4">
    <w:p w:rsidR="0030747A" w:rsidRDefault="0030747A">
      <w:pPr>
        <w:pStyle w:val="Notedebasdepage"/>
      </w:pPr>
      <w:r>
        <w:rPr>
          <w:rStyle w:val="Appelnotedebasdep"/>
        </w:rPr>
        <w:footnoteRef/>
      </w:r>
      <w:r>
        <w:t xml:space="preserve"> COPHAN, « Accessibilité du Web : de la standardisation à l’utilisabilité », 2017. En ligne : </w:t>
      </w:r>
      <w:hyperlink r:id="rId4" w:history="1">
        <w:r w:rsidRPr="00B47A89">
          <w:rPr>
            <w:rStyle w:val="Lienhypertexte"/>
          </w:rPr>
          <w:t>https://cophan.org/publication/accessibilite-du-web-de-la-standardisation-a-lutilisabilite/</w:t>
        </w:r>
      </w:hyperlink>
      <w:r>
        <w:t xml:space="preserve"> </w:t>
      </w:r>
    </w:p>
  </w:footnote>
  <w:footnote w:id="5">
    <w:p w:rsidR="00523668" w:rsidRDefault="00523668">
      <w:pPr>
        <w:pStyle w:val="Notedebasdepage"/>
      </w:pPr>
      <w:r>
        <w:rPr>
          <w:rStyle w:val="Appelnotedebasdep"/>
        </w:rPr>
        <w:footnoteRef/>
      </w:r>
      <w:r>
        <w:t xml:space="preserve"> L’article 61.1 de la Loi assurant l’exercice des droits des personnes handicapées en vue de leur intégration scolaire, professionnelle et sociale prévoit l’obligation pour les ministères, les organismes publics et les municipalités de plus de 15 000 habitants de produire un plan annuel en vue de réduire les obstacles à l’inclusion des personnes ayant des limitations fonctionnelles. </w:t>
      </w:r>
    </w:p>
  </w:footnote>
  <w:footnote w:id="6">
    <w:p w:rsidR="00D87A2B" w:rsidRDefault="00D87A2B" w:rsidP="00D87A2B">
      <w:pPr>
        <w:pStyle w:val="Notedebasdepage"/>
      </w:pPr>
      <w:r>
        <w:rPr>
          <w:rStyle w:val="Appelnotedebasdep"/>
        </w:rPr>
        <w:footnoteRef/>
      </w:r>
      <w:r>
        <w:t xml:space="preserve"> Pour plus de détail, consulter : COPHAN, « Rapport final du projet Analyse et évaluation des plans d’action à l’égard des personnes handicapées », mars 2017. En ligne :</w:t>
      </w:r>
      <w:r w:rsidRPr="0037462E">
        <w:rPr>
          <w:rStyle w:val="Lienhypertexte"/>
          <w:u w:val="none"/>
        </w:rPr>
        <w:t xml:space="preserve"> </w:t>
      </w:r>
      <w:r w:rsidRPr="00D87A2B">
        <w:rPr>
          <w:rStyle w:val="Lienhypertexte"/>
        </w:rPr>
        <w:t>https://cophan.org/wp-content/uploads/2018/04/2017-03-31-RAP-COPHAN-projet-PAPH.pdf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D4" w:rsidRDefault="007D21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D4" w:rsidRDefault="007D21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D4" w:rsidRDefault="007D21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838"/>
    <w:multiLevelType w:val="hybridMultilevel"/>
    <w:tmpl w:val="FB8CD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CB0C92"/>
    <w:multiLevelType w:val="hybridMultilevel"/>
    <w:tmpl w:val="C74EB7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857D8D"/>
    <w:multiLevelType w:val="hybridMultilevel"/>
    <w:tmpl w:val="36D4E9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500D27"/>
    <w:multiLevelType w:val="hybridMultilevel"/>
    <w:tmpl w:val="77F447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582EC5"/>
    <w:multiLevelType w:val="hybridMultilevel"/>
    <w:tmpl w:val="070CCF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9269F3"/>
    <w:multiLevelType w:val="hybridMultilevel"/>
    <w:tmpl w:val="DDC8E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612D80"/>
    <w:multiLevelType w:val="hybridMultilevel"/>
    <w:tmpl w:val="FF40BE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BF63708"/>
    <w:multiLevelType w:val="hybridMultilevel"/>
    <w:tmpl w:val="D2FCB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233DF8"/>
    <w:multiLevelType w:val="hybridMultilevel"/>
    <w:tmpl w:val="02B892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8A78C1"/>
    <w:multiLevelType w:val="hybridMultilevel"/>
    <w:tmpl w:val="B6902C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CE016FF"/>
    <w:multiLevelType w:val="hybridMultilevel"/>
    <w:tmpl w:val="4C165FC6"/>
    <w:lvl w:ilvl="0" w:tplc="2B9A1EC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647013"/>
    <w:multiLevelType w:val="hybridMultilevel"/>
    <w:tmpl w:val="A9F48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2D52268"/>
    <w:multiLevelType w:val="hybridMultilevel"/>
    <w:tmpl w:val="5746B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593C68"/>
    <w:multiLevelType w:val="hybridMultilevel"/>
    <w:tmpl w:val="83306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47D09E9"/>
    <w:multiLevelType w:val="hybridMultilevel"/>
    <w:tmpl w:val="CB2841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754017B"/>
    <w:multiLevelType w:val="hybridMultilevel"/>
    <w:tmpl w:val="9B746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B6266E9"/>
    <w:multiLevelType w:val="hybridMultilevel"/>
    <w:tmpl w:val="81480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C413C56"/>
    <w:multiLevelType w:val="hybridMultilevel"/>
    <w:tmpl w:val="C4F6A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0744F2E"/>
    <w:multiLevelType w:val="hybridMultilevel"/>
    <w:tmpl w:val="CA92DF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2881F9B"/>
    <w:multiLevelType w:val="hybridMultilevel"/>
    <w:tmpl w:val="58FE6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C07E81"/>
    <w:multiLevelType w:val="hybridMultilevel"/>
    <w:tmpl w:val="E3EC74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9"/>
  </w:num>
  <w:num w:numId="5">
    <w:abstractNumId w:val="11"/>
  </w:num>
  <w:num w:numId="6">
    <w:abstractNumId w:val="17"/>
  </w:num>
  <w:num w:numId="7">
    <w:abstractNumId w:val="16"/>
  </w:num>
  <w:num w:numId="8">
    <w:abstractNumId w:val="4"/>
  </w:num>
  <w:num w:numId="9">
    <w:abstractNumId w:val="14"/>
  </w:num>
  <w:num w:numId="10">
    <w:abstractNumId w:val="9"/>
  </w:num>
  <w:num w:numId="11">
    <w:abstractNumId w:val="2"/>
  </w:num>
  <w:num w:numId="12">
    <w:abstractNumId w:val="18"/>
  </w:num>
  <w:num w:numId="13">
    <w:abstractNumId w:val="1"/>
  </w:num>
  <w:num w:numId="14">
    <w:abstractNumId w:val="13"/>
  </w:num>
  <w:num w:numId="15">
    <w:abstractNumId w:val="12"/>
  </w:num>
  <w:num w:numId="16">
    <w:abstractNumId w:val="8"/>
  </w:num>
  <w:num w:numId="17">
    <w:abstractNumId w:val="3"/>
  </w:num>
  <w:num w:numId="18">
    <w:abstractNumId w:val="7"/>
  </w:num>
  <w:num w:numId="19">
    <w:abstractNumId w:val="20"/>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89"/>
    <w:rsid w:val="0000033B"/>
    <w:rsid w:val="00002A55"/>
    <w:rsid w:val="00002F2D"/>
    <w:rsid w:val="00003FCD"/>
    <w:rsid w:val="00004238"/>
    <w:rsid w:val="00005160"/>
    <w:rsid w:val="000057B4"/>
    <w:rsid w:val="00010779"/>
    <w:rsid w:val="00010C97"/>
    <w:rsid w:val="00010CC4"/>
    <w:rsid w:val="00011EFA"/>
    <w:rsid w:val="0001368B"/>
    <w:rsid w:val="00013802"/>
    <w:rsid w:val="00014903"/>
    <w:rsid w:val="00015903"/>
    <w:rsid w:val="0002054E"/>
    <w:rsid w:val="00020AD1"/>
    <w:rsid w:val="00021F69"/>
    <w:rsid w:val="00024783"/>
    <w:rsid w:val="00024F09"/>
    <w:rsid w:val="000250B1"/>
    <w:rsid w:val="00027950"/>
    <w:rsid w:val="00031CF2"/>
    <w:rsid w:val="00032FA8"/>
    <w:rsid w:val="00033699"/>
    <w:rsid w:val="000372FB"/>
    <w:rsid w:val="00037926"/>
    <w:rsid w:val="000448B3"/>
    <w:rsid w:val="00044AD5"/>
    <w:rsid w:val="00053312"/>
    <w:rsid w:val="000613EF"/>
    <w:rsid w:val="00062C08"/>
    <w:rsid w:val="00063228"/>
    <w:rsid w:val="000650B6"/>
    <w:rsid w:val="000667C0"/>
    <w:rsid w:val="00067454"/>
    <w:rsid w:val="00067D2A"/>
    <w:rsid w:val="00067F13"/>
    <w:rsid w:val="00070A9C"/>
    <w:rsid w:val="000736DD"/>
    <w:rsid w:val="00075FE4"/>
    <w:rsid w:val="000769DD"/>
    <w:rsid w:val="00080956"/>
    <w:rsid w:val="000809AD"/>
    <w:rsid w:val="00084693"/>
    <w:rsid w:val="0008469B"/>
    <w:rsid w:val="00084F46"/>
    <w:rsid w:val="000854F1"/>
    <w:rsid w:val="00085DD5"/>
    <w:rsid w:val="00086280"/>
    <w:rsid w:val="000A0E2E"/>
    <w:rsid w:val="000A4247"/>
    <w:rsid w:val="000A4728"/>
    <w:rsid w:val="000A53AF"/>
    <w:rsid w:val="000B2557"/>
    <w:rsid w:val="000B460A"/>
    <w:rsid w:val="000B6E4A"/>
    <w:rsid w:val="000C49C0"/>
    <w:rsid w:val="000C4E78"/>
    <w:rsid w:val="000C5DB7"/>
    <w:rsid w:val="000D0991"/>
    <w:rsid w:val="000D0A40"/>
    <w:rsid w:val="000D1D27"/>
    <w:rsid w:val="000D21FD"/>
    <w:rsid w:val="000D51F6"/>
    <w:rsid w:val="000E050B"/>
    <w:rsid w:val="000E1A0F"/>
    <w:rsid w:val="000E1A99"/>
    <w:rsid w:val="000E1B7B"/>
    <w:rsid w:val="000E283D"/>
    <w:rsid w:val="000E416E"/>
    <w:rsid w:val="000E60D3"/>
    <w:rsid w:val="000E67E6"/>
    <w:rsid w:val="000F3605"/>
    <w:rsid w:val="000F5B28"/>
    <w:rsid w:val="000F6433"/>
    <w:rsid w:val="000F7B0A"/>
    <w:rsid w:val="0010017F"/>
    <w:rsid w:val="00102A31"/>
    <w:rsid w:val="00110F96"/>
    <w:rsid w:val="00111D62"/>
    <w:rsid w:val="00116B4D"/>
    <w:rsid w:val="001216CC"/>
    <w:rsid w:val="001221DB"/>
    <w:rsid w:val="00123560"/>
    <w:rsid w:val="00124746"/>
    <w:rsid w:val="0012779C"/>
    <w:rsid w:val="001312E4"/>
    <w:rsid w:val="0013212F"/>
    <w:rsid w:val="001341DC"/>
    <w:rsid w:val="001371C5"/>
    <w:rsid w:val="00140407"/>
    <w:rsid w:val="00140CFC"/>
    <w:rsid w:val="001429E6"/>
    <w:rsid w:val="001444AB"/>
    <w:rsid w:val="001514FD"/>
    <w:rsid w:val="00151AAB"/>
    <w:rsid w:val="0015424E"/>
    <w:rsid w:val="00154B5B"/>
    <w:rsid w:val="0015698C"/>
    <w:rsid w:val="00156BF1"/>
    <w:rsid w:val="00160A7D"/>
    <w:rsid w:val="001632AF"/>
    <w:rsid w:val="00166CE6"/>
    <w:rsid w:val="00172008"/>
    <w:rsid w:val="00174357"/>
    <w:rsid w:val="00177FEA"/>
    <w:rsid w:val="001832B0"/>
    <w:rsid w:val="00185032"/>
    <w:rsid w:val="00185A28"/>
    <w:rsid w:val="00192AD3"/>
    <w:rsid w:val="00196ABE"/>
    <w:rsid w:val="0019700E"/>
    <w:rsid w:val="0019767F"/>
    <w:rsid w:val="001979C7"/>
    <w:rsid w:val="001A1B1A"/>
    <w:rsid w:val="001A29C2"/>
    <w:rsid w:val="001A4F4B"/>
    <w:rsid w:val="001A6429"/>
    <w:rsid w:val="001B035D"/>
    <w:rsid w:val="001B4BA9"/>
    <w:rsid w:val="001B6F73"/>
    <w:rsid w:val="001B7BA8"/>
    <w:rsid w:val="001C1DD6"/>
    <w:rsid w:val="001C35EB"/>
    <w:rsid w:val="001C4240"/>
    <w:rsid w:val="001C53BC"/>
    <w:rsid w:val="001C6EF5"/>
    <w:rsid w:val="001C7049"/>
    <w:rsid w:val="001D092C"/>
    <w:rsid w:val="001D588E"/>
    <w:rsid w:val="001D669C"/>
    <w:rsid w:val="001D6911"/>
    <w:rsid w:val="001D7EEE"/>
    <w:rsid w:val="001E01C7"/>
    <w:rsid w:val="001E03EE"/>
    <w:rsid w:val="001E18F3"/>
    <w:rsid w:val="001E1D77"/>
    <w:rsid w:val="001E4889"/>
    <w:rsid w:val="001E74C2"/>
    <w:rsid w:val="001F15CC"/>
    <w:rsid w:val="001F282E"/>
    <w:rsid w:val="001F7A4F"/>
    <w:rsid w:val="00202453"/>
    <w:rsid w:val="00204718"/>
    <w:rsid w:val="00204D5D"/>
    <w:rsid w:val="00205F29"/>
    <w:rsid w:val="00207519"/>
    <w:rsid w:val="002115AE"/>
    <w:rsid w:val="002133DA"/>
    <w:rsid w:val="00214812"/>
    <w:rsid w:val="0021514F"/>
    <w:rsid w:val="00220D86"/>
    <w:rsid w:val="002222B6"/>
    <w:rsid w:val="00223F3B"/>
    <w:rsid w:val="00224314"/>
    <w:rsid w:val="00224695"/>
    <w:rsid w:val="00224BC0"/>
    <w:rsid w:val="00225C88"/>
    <w:rsid w:val="0022680A"/>
    <w:rsid w:val="00227365"/>
    <w:rsid w:val="00227B3B"/>
    <w:rsid w:val="00231E13"/>
    <w:rsid w:val="0023227E"/>
    <w:rsid w:val="00233709"/>
    <w:rsid w:val="00233D83"/>
    <w:rsid w:val="002352E0"/>
    <w:rsid w:val="00240FF6"/>
    <w:rsid w:val="002426F9"/>
    <w:rsid w:val="002438B4"/>
    <w:rsid w:val="00245F15"/>
    <w:rsid w:val="00250DFB"/>
    <w:rsid w:val="00251039"/>
    <w:rsid w:val="00251EA8"/>
    <w:rsid w:val="00252ED7"/>
    <w:rsid w:val="002547D2"/>
    <w:rsid w:val="00255EAB"/>
    <w:rsid w:val="002570D6"/>
    <w:rsid w:val="00261018"/>
    <w:rsid w:val="002615E8"/>
    <w:rsid w:val="00261907"/>
    <w:rsid w:val="0026241F"/>
    <w:rsid w:val="00262DC2"/>
    <w:rsid w:val="00262F2D"/>
    <w:rsid w:val="002638BA"/>
    <w:rsid w:val="00264C70"/>
    <w:rsid w:val="00264D67"/>
    <w:rsid w:val="00270134"/>
    <w:rsid w:val="00270E9A"/>
    <w:rsid w:val="00272C8F"/>
    <w:rsid w:val="002736C4"/>
    <w:rsid w:val="002738DE"/>
    <w:rsid w:val="00273F3F"/>
    <w:rsid w:val="002757E9"/>
    <w:rsid w:val="00276098"/>
    <w:rsid w:val="002801A5"/>
    <w:rsid w:val="002831DF"/>
    <w:rsid w:val="00284BC1"/>
    <w:rsid w:val="002869A2"/>
    <w:rsid w:val="00294279"/>
    <w:rsid w:val="00294F15"/>
    <w:rsid w:val="0029613F"/>
    <w:rsid w:val="0029685D"/>
    <w:rsid w:val="002A0272"/>
    <w:rsid w:val="002A1025"/>
    <w:rsid w:val="002A24E6"/>
    <w:rsid w:val="002A4687"/>
    <w:rsid w:val="002A54B7"/>
    <w:rsid w:val="002A72B2"/>
    <w:rsid w:val="002B1B16"/>
    <w:rsid w:val="002B62D0"/>
    <w:rsid w:val="002B64E1"/>
    <w:rsid w:val="002B7489"/>
    <w:rsid w:val="002C1D22"/>
    <w:rsid w:val="002C373A"/>
    <w:rsid w:val="002C3FA5"/>
    <w:rsid w:val="002C4139"/>
    <w:rsid w:val="002C5CDC"/>
    <w:rsid w:val="002C772E"/>
    <w:rsid w:val="002C7B70"/>
    <w:rsid w:val="002D1BFA"/>
    <w:rsid w:val="002D5A79"/>
    <w:rsid w:val="002E292B"/>
    <w:rsid w:val="002E6DFC"/>
    <w:rsid w:val="002F2532"/>
    <w:rsid w:val="002F3982"/>
    <w:rsid w:val="002F44BE"/>
    <w:rsid w:val="002F4CA3"/>
    <w:rsid w:val="002F4E77"/>
    <w:rsid w:val="002F7A3D"/>
    <w:rsid w:val="002F7B61"/>
    <w:rsid w:val="0030626F"/>
    <w:rsid w:val="0030747A"/>
    <w:rsid w:val="0031141E"/>
    <w:rsid w:val="00320A08"/>
    <w:rsid w:val="00321588"/>
    <w:rsid w:val="00323D3D"/>
    <w:rsid w:val="00324FE9"/>
    <w:rsid w:val="003250F5"/>
    <w:rsid w:val="00325D5E"/>
    <w:rsid w:val="00326259"/>
    <w:rsid w:val="0032748E"/>
    <w:rsid w:val="003301A3"/>
    <w:rsid w:val="003319B6"/>
    <w:rsid w:val="0033285D"/>
    <w:rsid w:val="003342ED"/>
    <w:rsid w:val="003360AF"/>
    <w:rsid w:val="00340AAE"/>
    <w:rsid w:val="00341CD7"/>
    <w:rsid w:val="00342F2D"/>
    <w:rsid w:val="00343BE5"/>
    <w:rsid w:val="0035149D"/>
    <w:rsid w:val="00352AE6"/>
    <w:rsid w:val="0035523F"/>
    <w:rsid w:val="003569CE"/>
    <w:rsid w:val="00356A6B"/>
    <w:rsid w:val="00357ECC"/>
    <w:rsid w:val="0036015B"/>
    <w:rsid w:val="00363B20"/>
    <w:rsid w:val="00364899"/>
    <w:rsid w:val="003669D9"/>
    <w:rsid w:val="003709B7"/>
    <w:rsid w:val="00371EC4"/>
    <w:rsid w:val="0037462E"/>
    <w:rsid w:val="00374E9C"/>
    <w:rsid w:val="00376247"/>
    <w:rsid w:val="003853FA"/>
    <w:rsid w:val="0039023C"/>
    <w:rsid w:val="00394259"/>
    <w:rsid w:val="003960E9"/>
    <w:rsid w:val="00396175"/>
    <w:rsid w:val="003A122D"/>
    <w:rsid w:val="003A5010"/>
    <w:rsid w:val="003A749F"/>
    <w:rsid w:val="003B018C"/>
    <w:rsid w:val="003B2BB3"/>
    <w:rsid w:val="003B2D58"/>
    <w:rsid w:val="003B5279"/>
    <w:rsid w:val="003B6505"/>
    <w:rsid w:val="003C2017"/>
    <w:rsid w:val="003C2946"/>
    <w:rsid w:val="003C6D73"/>
    <w:rsid w:val="003D22FA"/>
    <w:rsid w:val="003E0364"/>
    <w:rsid w:val="003E4AAC"/>
    <w:rsid w:val="003E5735"/>
    <w:rsid w:val="003E7884"/>
    <w:rsid w:val="003F07BA"/>
    <w:rsid w:val="003F3605"/>
    <w:rsid w:val="003F3D2C"/>
    <w:rsid w:val="003F4D4B"/>
    <w:rsid w:val="003F54DC"/>
    <w:rsid w:val="00402894"/>
    <w:rsid w:val="00403BA0"/>
    <w:rsid w:val="004061EE"/>
    <w:rsid w:val="004142E9"/>
    <w:rsid w:val="004168AD"/>
    <w:rsid w:val="004176DE"/>
    <w:rsid w:val="00420B2D"/>
    <w:rsid w:val="004238F7"/>
    <w:rsid w:val="0042653C"/>
    <w:rsid w:val="00426ED5"/>
    <w:rsid w:val="00431B0B"/>
    <w:rsid w:val="00431F2D"/>
    <w:rsid w:val="00435F85"/>
    <w:rsid w:val="004360CE"/>
    <w:rsid w:val="00436C20"/>
    <w:rsid w:val="00437963"/>
    <w:rsid w:val="00446D3D"/>
    <w:rsid w:val="00447EEF"/>
    <w:rsid w:val="004606EA"/>
    <w:rsid w:val="00462760"/>
    <w:rsid w:val="0046568F"/>
    <w:rsid w:val="004669E0"/>
    <w:rsid w:val="00472076"/>
    <w:rsid w:val="00473897"/>
    <w:rsid w:val="00473D5B"/>
    <w:rsid w:val="00477188"/>
    <w:rsid w:val="00480A84"/>
    <w:rsid w:val="004831B0"/>
    <w:rsid w:val="00486D02"/>
    <w:rsid w:val="004916B8"/>
    <w:rsid w:val="00492D12"/>
    <w:rsid w:val="004939FD"/>
    <w:rsid w:val="0049537E"/>
    <w:rsid w:val="004959F1"/>
    <w:rsid w:val="00495BDF"/>
    <w:rsid w:val="00496005"/>
    <w:rsid w:val="00497F41"/>
    <w:rsid w:val="004A1715"/>
    <w:rsid w:val="004A3D73"/>
    <w:rsid w:val="004B0306"/>
    <w:rsid w:val="004B14E2"/>
    <w:rsid w:val="004B249D"/>
    <w:rsid w:val="004B5923"/>
    <w:rsid w:val="004B5E6F"/>
    <w:rsid w:val="004C6695"/>
    <w:rsid w:val="004D12C0"/>
    <w:rsid w:val="004D17A9"/>
    <w:rsid w:val="004D3A79"/>
    <w:rsid w:val="004E318B"/>
    <w:rsid w:val="004E6759"/>
    <w:rsid w:val="004E7A67"/>
    <w:rsid w:val="004F3C98"/>
    <w:rsid w:val="004F4D71"/>
    <w:rsid w:val="004F517C"/>
    <w:rsid w:val="004F6B9E"/>
    <w:rsid w:val="004F7C56"/>
    <w:rsid w:val="00500473"/>
    <w:rsid w:val="00502FAD"/>
    <w:rsid w:val="005059ED"/>
    <w:rsid w:val="00506E3A"/>
    <w:rsid w:val="00510391"/>
    <w:rsid w:val="00511C75"/>
    <w:rsid w:val="0051390F"/>
    <w:rsid w:val="00514251"/>
    <w:rsid w:val="00514974"/>
    <w:rsid w:val="00517079"/>
    <w:rsid w:val="00520F6F"/>
    <w:rsid w:val="00523668"/>
    <w:rsid w:val="0053137B"/>
    <w:rsid w:val="005314C3"/>
    <w:rsid w:val="00535ED9"/>
    <w:rsid w:val="005455A4"/>
    <w:rsid w:val="005469FE"/>
    <w:rsid w:val="00547799"/>
    <w:rsid w:val="00550192"/>
    <w:rsid w:val="005502F2"/>
    <w:rsid w:val="00554570"/>
    <w:rsid w:val="0056500C"/>
    <w:rsid w:val="00566F73"/>
    <w:rsid w:val="0056739B"/>
    <w:rsid w:val="0057114C"/>
    <w:rsid w:val="00573186"/>
    <w:rsid w:val="00573A88"/>
    <w:rsid w:val="00577EF6"/>
    <w:rsid w:val="0058081D"/>
    <w:rsid w:val="00581FAF"/>
    <w:rsid w:val="00583751"/>
    <w:rsid w:val="00585BFF"/>
    <w:rsid w:val="0058772D"/>
    <w:rsid w:val="00590260"/>
    <w:rsid w:val="00590263"/>
    <w:rsid w:val="00591633"/>
    <w:rsid w:val="0059331F"/>
    <w:rsid w:val="00594D2E"/>
    <w:rsid w:val="00596D1B"/>
    <w:rsid w:val="005A51BB"/>
    <w:rsid w:val="005A764B"/>
    <w:rsid w:val="005A7BCB"/>
    <w:rsid w:val="005B57BB"/>
    <w:rsid w:val="005B6E4E"/>
    <w:rsid w:val="005B78E0"/>
    <w:rsid w:val="005C2970"/>
    <w:rsid w:val="005C5106"/>
    <w:rsid w:val="005C7463"/>
    <w:rsid w:val="005D5A72"/>
    <w:rsid w:val="005E0352"/>
    <w:rsid w:val="005E22C3"/>
    <w:rsid w:val="005E2E52"/>
    <w:rsid w:val="005E3E96"/>
    <w:rsid w:val="005E60D6"/>
    <w:rsid w:val="005E63E8"/>
    <w:rsid w:val="005E6985"/>
    <w:rsid w:val="005E6C38"/>
    <w:rsid w:val="005F011E"/>
    <w:rsid w:val="005F09D8"/>
    <w:rsid w:val="005F15EC"/>
    <w:rsid w:val="005F3EFA"/>
    <w:rsid w:val="005F5401"/>
    <w:rsid w:val="005F6F7B"/>
    <w:rsid w:val="0060245E"/>
    <w:rsid w:val="006024BA"/>
    <w:rsid w:val="00602D5C"/>
    <w:rsid w:val="006033C4"/>
    <w:rsid w:val="00603FB6"/>
    <w:rsid w:val="0060476F"/>
    <w:rsid w:val="00606C5C"/>
    <w:rsid w:val="00612BEA"/>
    <w:rsid w:val="00613962"/>
    <w:rsid w:val="006142ED"/>
    <w:rsid w:val="00617881"/>
    <w:rsid w:val="006216EA"/>
    <w:rsid w:val="0062427E"/>
    <w:rsid w:val="00626EC9"/>
    <w:rsid w:val="00635209"/>
    <w:rsid w:val="00636078"/>
    <w:rsid w:val="00636A1A"/>
    <w:rsid w:val="006374C0"/>
    <w:rsid w:val="00641439"/>
    <w:rsid w:val="00641600"/>
    <w:rsid w:val="00646C96"/>
    <w:rsid w:val="00647252"/>
    <w:rsid w:val="00651DC4"/>
    <w:rsid w:val="006522DE"/>
    <w:rsid w:val="00660EB8"/>
    <w:rsid w:val="00661229"/>
    <w:rsid w:val="0066384C"/>
    <w:rsid w:val="006645D1"/>
    <w:rsid w:val="0067240A"/>
    <w:rsid w:val="00673F4A"/>
    <w:rsid w:val="00674900"/>
    <w:rsid w:val="0067668F"/>
    <w:rsid w:val="00682406"/>
    <w:rsid w:val="00683214"/>
    <w:rsid w:val="00683966"/>
    <w:rsid w:val="00687915"/>
    <w:rsid w:val="00693370"/>
    <w:rsid w:val="0069434D"/>
    <w:rsid w:val="00694A23"/>
    <w:rsid w:val="00697DE4"/>
    <w:rsid w:val="006A7573"/>
    <w:rsid w:val="006B2C6D"/>
    <w:rsid w:val="006B60D7"/>
    <w:rsid w:val="006C027A"/>
    <w:rsid w:val="006C20AD"/>
    <w:rsid w:val="006C2B7E"/>
    <w:rsid w:val="006C3F9B"/>
    <w:rsid w:val="006C408F"/>
    <w:rsid w:val="006C429B"/>
    <w:rsid w:val="006C4BF1"/>
    <w:rsid w:val="006C4D69"/>
    <w:rsid w:val="006C5956"/>
    <w:rsid w:val="006C64C0"/>
    <w:rsid w:val="006C66AA"/>
    <w:rsid w:val="006C7F6D"/>
    <w:rsid w:val="006D060F"/>
    <w:rsid w:val="006D3870"/>
    <w:rsid w:val="006D7F45"/>
    <w:rsid w:val="006E09B7"/>
    <w:rsid w:val="006E431E"/>
    <w:rsid w:val="006F096B"/>
    <w:rsid w:val="006F15C0"/>
    <w:rsid w:val="006F4D05"/>
    <w:rsid w:val="006F5D5D"/>
    <w:rsid w:val="006F618F"/>
    <w:rsid w:val="007040D5"/>
    <w:rsid w:val="007044C4"/>
    <w:rsid w:val="00705C0D"/>
    <w:rsid w:val="00707299"/>
    <w:rsid w:val="007121F8"/>
    <w:rsid w:val="00712634"/>
    <w:rsid w:val="00713EAC"/>
    <w:rsid w:val="007140AE"/>
    <w:rsid w:val="007161D2"/>
    <w:rsid w:val="007161D3"/>
    <w:rsid w:val="00720478"/>
    <w:rsid w:val="00721EF4"/>
    <w:rsid w:val="0072610F"/>
    <w:rsid w:val="00726147"/>
    <w:rsid w:val="007268AD"/>
    <w:rsid w:val="00726E7D"/>
    <w:rsid w:val="0073357C"/>
    <w:rsid w:val="007342DF"/>
    <w:rsid w:val="00734DC3"/>
    <w:rsid w:val="00740D87"/>
    <w:rsid w:val="007436C1"/>
    <w:rsid w:val="007438B5"/>
    <w:rsid w:val="00745295"/>
    <w:rsid w:val="00753FEC"/>
    <w:rsid w:val="00754533"/>
    <w:rsid w:val="00756B54"/>
    <w:rsid w:val="0075774F"/>
    <w:rsid w:val="00761D55"/>
    <w:rsid w:val="00764E41"/>
    <w:rsid w:val="00766507"/>
    <w:rsid w:val="00770224"/>
    <w:rsid w:val="0078643D"/>
    <w:rsid w:val="00786D2A"/>
    <w:rsid w:val="00787DD1"/>
    <w:rsid w:val="00792A95"/>
    <w:rsid w:val="00793C2F"/>
    <w:rsid w:val="00794000"/>
    <w:rsid w:val="00796291"/>
    <w:rsid w:val="007A27B2"/>
    <w:rsid w:val="007A47BC"/>
    <w:rsid w:val="007A5174"/>
    <w:rsid w:val="007B6DD9"/>
    <w:rsid w:val="007B7F56"/>
    <w:rsid w:val="007C5BB0"/>
    <w:rsid w:val="007C6EDC"/>
    <w:rsid w:val="007C7DBB"/>
    <w:rsid w:val="007D21D4"/>
    <w:rsid w:val="007D2E6C"/>
    <w:rsid w:val="007D62C0"/>
    <w:rsid w:val="007D73CD"/>
    <w:rsid w:val="007E55F1"/>
    <w:rsid w:val="007E5A3F"/>
    <w:rsid w:val="007E7C25"/>
    <w:rsid w:val="007F5851"/>
    <w:rsid w:val="007F6787"/>
    <w:rsid w:val="007F76CC"/>
    <w:rsid w:val="00800497"/>
    <w:rsid w:val="008011F1"/>
    <w:rsid w:val="00807589"/>
    <w:rsid w:val="00807634"/>
    <w:rsid w:val="00810080"/>
    <w:rsid w:val="00811D4E"/>
    <w:rsid w:val="00812109"/>
    <w:rsid w:val="0081305D"/>
    <w:rsid w:val="00817B82"/>
    <w:rsid w:val="0082278A"/>
    <w:rsid w:val="008227F3"/>
    <w:rsid w:val="008240A8"/>
    <w:rsid w:val="00826233"/>
    <w:rsid w:val="008264FF"/>
    <w:rsid w:val="00826A2D"/>
    <w:rsid w:val="00826EF9"/>
    <w:rsid w:val="008303B1"/>
    <w:rsid w:val="008304F8"/>
    <w:rsid w:val="00830D32"/>
    <w:rsid w:val="00830E2B"/>
    <w:rsid w:val="0083149A"/>
    <w:rsid w:val="0083602C"/>
    <w:rsid w:val="00836A7E"/>
    <w:rsid w:val="00837C9E"/>
    <w:rsid w:val="008411B4"/>
    <w:rsid w:val="00845ACF"/>
    <w:rsid w:val="008469C1"/>
    <w:rsid w:val="0085064D"/>
    <w:rsid w:val="00850D03"/>
    <w:rsid w:val="00860BC0"/>
    <w:rsid w:val="008614DF"/>
    <w:rsid w:val="00862A47"/>
    <w:rsid w:val="0086317B"/>
    <w:rsid w:val="00863AD4"/>
    <w:rsid w:val="00864F7D"/>
    <w:rsid w:val="00870999"/>
    <w:rsid w:val="00872B67"/>
    <w:rsid w:val="00873E36"/>
    <w:rsid w:val="008764D0"/>
    <w:rsid w:val="008778EC"/>
    <w:rsid w:val="008803DA"/>
    <w:rsid w:val="00881511"/>
    <w:rsid w:val="0088167B"/>
    <w:rsid w:val="00883D81"/>
    <w:rsid w:val="00883FF5"/>
    <w:rsid w:val="00885B22"/>
    <w:rsid w:val="008862BB"/>
    <w:rsid w:val="0089049F"/>
    <w:rsid w:val="00890770"/>
    <w:rsid w:val="008935D4"/>
    <w:rsid w:val="00894444"/>
    <w:rsid w:val="00897657"/>
    <w:rsid w:val="008A0406"/>
    <w:rsid w:val="008A3687"/>
    <w:rsid w:val="008A37CF"/>
    <w:rsid w:val="008A3EC4"/>
    <w:rsid w:val="008A4DAB"/>
    <w:rsid w:val="008A53F2"/>
    <w:rsid w:val="008B3AB1"/>
    <w:rsid w:val="008B4589"/>
    <w:rsid w:val="008B5139"/>
    <w:rsid w:val="008B620A"/>
    <w:rsid w:val="008C0649"/>
    <w:rsid w:val="008C21A0"/>
    <w:rsid w:val="008C2E92"/>
    <w:rsid w:val="008C3012"/>
    <w:rsid w:val="008C364E"/>
    <w:rsid w:val="008C4BF5"/>
    <w:rsid w:val="008C5EAA"/>
    <w:rsid w:val="008D7BD2"/>
    <w:rsid w:val="008D7C25"/>
    <w:rsid w:val="008D7CA7"/>
    <w:rsid w:val="008E2E65"/>
    <w:rsid w:val="008F0081"/>
    <w:rsid w:val="008F3950"/>
    <w:rsid w:val="008F431C"/>
    <w:rsid w:val="00901926"/>
    <w:rsid w:val="00901E8D"/>
    <w:rsid w:val="009023EF"/>
    <w:rsid w:val="00903ABA"/>
    <w:rsid w:val="009065A6"/>
    <w:rsid w:val="00914CEF"/>
    <w:rsid w:val="009165CD"/>
    <w:rsid w:val="00922801"/>
    <w:rsid w:val="00922D2B"/>
    <w:rsid w:val="0092319D"/>
    <w:rsid w:val="009236D7"/>
    <w:rsid w:val="00923BF3"/>
    <w:rsid w:val="009248FB"/>
    <w:rsid w:val="009257C8"/>
    <w:rsid w:val="00925A68"/>
    <w:rsid w:val="00927F92"/>
    <w:rsid w:val="009301F3"/>
    <w:rsid w:val="00932E06"/>
    <w:rsid w:val="00934B83"/>
    <w:rsid w:val="00934F16"/>
    <w:rsid w:val="00936FE7"/>
    <w:rsid w:val="00937A81"/>
    <w:rsid w:val="00942867"/>
    <w:rsid w:val="00942E07"/>
    <w:rsid w:val="00947D7A"/>
    <w:rsid w:val="00952833"/>
    <w:rsid w:val="00953417"/>
    <w:rsid w:val="00953D72"/>
    <w:rsid w:val="00954BE0"/>
    <w:rsid w:val="00956340"/>
    <w:rsid w:val="009640AC"/>
    <w:rsid w:val="009651DC"/>
    <w:rsid w:val="00967D63"/>
    <w:rsid w:val="00971403"/>
    <w:rsid w:val="00972028"/>
    <w:rsid w:val="00975856"/>
    <w:rsid w:val="00980A88"/>
    <w:rsid w:val="00983716"/>
    <w:rsid w:val="009864D5"/>
    <w:rsid w:val="00987CB6"/>
    <w:rsid w:val="0099162B"/>
    <w:rsid w:val="00992DC6"/>
    <w:rsid w:val="00993990"/>
    <w:rsid w:val="00993C2D"/>
    <w:rsid w:val="009958CB"/>
    <w:rsid w:val="009A08A4"/>
    <w:rsid w:val="009A1B65"/>
    <w:rsid w:val="009A4641"/>
    <w:rsid w:val="009A5F36"/>
    <w:rsid w:val="009A5FFC"/>
    <w:rsid w:val="009B3E08"/>
    <w:rsid w:val="009B44F1"/>
    <w:rsid w:val="009B5745"/>
    <w:rsid w:val="009B66AD"/>
    <w:rsid w:val="009C00F4"/>
    <w:rsid w:val="009C1A51"/>
    <w:rsid w:val="009C2684"/>
    <w:rsid w:val="009C2B34"/>
    <w:rsid w:val="009C48DA"/>
    <w:rsid w:val="009C577B"/>
    <w:rsid w:val="009C7969"/>
    <w:rsid w:val="009D0C8F"/>
    <w:rsid w:val="009D379E"/>
    <w:rsid w:val="009D3D24"/>
    <w:rsid w:val="009D4B13"/>
    <w:rsid w:val="009D66F9"/>
    <w:rsid w:val="009E18F2"/>
    <w:rsid w:val="009E3C43"/>
    <w:rsid w:val="009E4436"/>
    <w:rsid w:val="009E64F5"/>
    <w:rsid w:val="009E6E8B"/>
    <w:rsid w:val="009E7EEE"/>
    <w:rsid w:val="009F062A"/>
    <w:rsid w:val="009F17EA"/>
    <w:rsid w:val="009F3494"/>
    <w:rsid w:val="009F5086"/>
    <w:rsid w:val="009F5E17"/>
    <w:rsid w:val="009F7D84"/>
    <w:rsid w:val="00A004CD"/>
    <w:rsid w:val="00A012EE"/>
    <w:rsid w:val="00A03373"/>
    <w:rsid w:val="00A03628"/>
    <w:rsid w:val="00A06630"/>
    <w:rsid w:val="00A07778"/>
    <w:rsid w:val="00A079F5"/>
    <w:rsid w:val="00A12CE1"/>
    <w:rsid w:val="00A13F70"/>
    <w:rsid w:val="00A14E66"/>
    <w:rsid w:val="00A15139"/>
    <w:rsid w:val="00A156C6"/>
    <w:rsid w:val="00A2224A"/>
    <w:rsid w:val="00A22712"/>
    <w:rsid w:val="00A24F6B"/>
    <w:rsid w:val="00A25034"/>
    <w:rsid w:val="00A252BA"/>
    <w:rsid w:val="00A36E76"/>
    <w:rsid w:val="00A370A1"/>
    <w:rsid w:val="00A37CE3"/>
    <w:rsid w:val="00A407D0"/>
    <w:rsid w:val="00A43212"/>
    <w:rsid w:val="00A46B0C"/>
    <w:rsid w:val="00A51725"/>
    <w:rsid w:val="00A51A44"/>
    <w:rsid w:val="00A55659"/>
    <w:rsid w:val="00A57879"/>
    <w:rsid w:val="00A618E1"/>
    <w:rsid w:val="00A62587"/>
    <w:rsid w:val="00A644E2"/>
    <w:rsid w:val="00A66B53"/>
    <w:rsid w:val="00A70EC9"/>
    <w:rsid w:val="00A76331"/>
    <w:rsid w:val="00A80F68"/>
    <w:rsid w:val="00A81593"/>
    <w:rsid w:val="00A829B3"/>
    <w:rsid w:val="00A834C8"/>
    <w:rsid w:val="00A842F6"/>
    <w:rsid w:val="00A87A64"/>
    <w:rsid w:val="00A9133F"/>
    <w:rsid w:val="00A92018"/>
    <w:rsid w:val="00A932FD"/>
    <w:rsid w:val="00A94F8F"/>
    <w:rsid w:val="00A96536"/>
    <w:rsid w:val="00A9715D"/>
    <w:rsid w:val="00AA63CC"/>
    <w:rsid w:val="00AA6A0B"/>
    <w:rsid w:val="00AA6DDC"/>
    <w:rsid w:val="00AB151B"/>
    <w:rsid w:val="00AC0956"/>
    <w:rsid w:val="00AC291A"/>
    <w:rsid w:val="00AC4BD8"/>
    <w:rsid w:val="00AC5547"/>
    <w:rsid w:val="00AC5C3A"/>
    <w:rsid w:val="00AC640B"/>
    <w:rsid w:val="00AD0DF5"/>
    <w:rsid w:val="00AD0EFA"/>
    <w:rsid w:val="00AD2DA4"/>
    <w:rsid w:val="00AE62FF"/>
    <w:rsid w:val="00AE71AB"/>
    <w:rsid w:val="00AE7FDE"/>
    <w:rsid w:val="00AF0D13"/>
    <w:rsid w:val="00AF33CD"/>
    <w:rsid w:val="00AF405D"/>
    <w:rsid w:val="00AF62E3"/>
    <w:rsid w:val="00B00BAE"/>
    <w:rsid w:val="00B044C2"/>
    <w:rsid w:val="00B1064A"/>
    <w:rsid w:val="00B10BDA"/>
    <w:rsid w:val="00B10D2E"/>
    <w:rsid w:val="00B11CD0"/>
    <w:rsid w:val="00B12089"/>
    <w:rsid w:val="00B144CC"/>
    <w:rsid w:val="00B14EFF"/>
    <w:rsid w:val="00B17A6F"/>
    <w:rsid w:val="00B2222E"/>
    <w:rsid w:val="00B24679"/>
    <w:rsid w:val="00B255AF"/>
    <w:rsid w:val="00B26729"/>
    <w:rsid w:val="00B26E41"/>
    <w:rsid w:val="00B326A3"/>
    <w:rsid w:val="00B346EF"/>
    <w:rsid w:val="00B35538"/>
    <w:rsid w:val="00B400A0"/>
    <w:rsid w:val="00B4558B"/>
    <w:rsid w:val="00B50A27"/>
    <w:rsid w:val="00B52C98"/>
    <w:rsid w:val="00B57477"/>
    <w:rsid w:val="00B606F5"/>
    <w:rsid w:val="00B6086B"/>
    <w:rsid w:val="00B60F25"/>
    <w:rsid w:val="00B615F0"/>
    <w:rsid w:val="00B63F93"/>
    <w:rsid w:val="00B6579A"/>
    <w:rsid w:val="00B73935"/>
    <w:rsid w:val="00B73F09"/>
    <w:rsid w:val="00B74AF9"/>
    <w:rsid w:val="00B76785"/>
    <w:rsid w:val="00B80BE3"/>
    <w:rsid w:val="00B80E8A"/>
    <w:rsid w:val="00B82929"/>
    <w:rsid w:val="00B85C9F"/>
    <w:rsid w:val="00B86376"/>
    <w:rsid w:val="00B8647E"/>
    <w:rsid w:val="00B92AD5"/>
    <w:rsid w:val="00B94ADB"/>
    <w:rsid w:val="00B94FF3"/>
    <w:rsid w:val="00B95C2E"/>
    <w:rsid w:val="00BA00F0"/>
    <w:rsid w:val="00BA2598"/>
    <w:rsid w:val="00BB3A64"/>
    <w:rsid w:val="00BB58F8"/>
    <w:rsid w:val="00BB6DB0"/>
    <w:rsid w:val="00BB71B1"/>
    <w:rsid w:val="00BC1644"/>
    <w:rsid w:val="00BC3EED"/>
    <w:rsid w:val="00BC46AD"/>
    <w:rsid w:val="00BC6DF4"/>
    <w:rsid w:val="00BD32FC"/>
    <w:rsid w:val="00BD7ED7"/>
    <w:rsid w:val="00BE1273"/>
    <w:rsid w:val="00BE5A0D"/>
    <w:rsid w:val="00BE5A45"/>
    <w:rsid w:val="00BE5CC7"/>
    <w:rsid w:val="00BE5F33"/>
    <w:rsid w:val="00BF4196"/>
    <w:rsid w:val="00C04AB0"/>
    <w:rsid w:val="00C0628D"/>
    <w:rsid w:val="00C067A7"/>
    <w:rsid w:val="00C1223E"/>
    <w:rsid w:val="00C17EF9"/>
    <w:rsid w:val="00C2382C"/>
    <w:rsid w:val="00C24A4C"/>
    <w:rsid w:val="00C261C6"/>
    <w:rsid w:val="00C26DFC"/>
    <w:rsid w:val="00C3027B"/>
    <w:rsid w:val="00C320F4"/>
    <w:rsid w:val="00C33376"/>
    <w:rsid w:val="00C3443C"/>
    <w:rsid w:val="00C367E0"/>
    <w:rsid w:val="00C3691E"/>
    <w:rsid w:val="00C37D61"/>
    <w:rsid w:val="00C4004E"/>
    <w:rsid w:val="00C417B0"/>
    <w:rsid w:val="00C508A8"/>
    <w:rsid w:val="00C52270"/>
    <w:rsid w:val="00C567D3"/>
    <w:rsid w:val="00C6163B"/>
    <w:rsid w:val="00C64E33"/>
    <w:rsid w:val="00C66B0C"/>
    <w:rsid w:val="00C70A54"/>
    <w:rsid w:val="00C75614"/>
    <w:rsid w:val="00C77329"/>
    <w:rsid w:val="00C80320"/>
    <w:rsid w:val="00C803C8"/>
    <w:rsid w:val="00C813FE"/>
    <w:rsid w:val="00C81D46"/>
    <w:rsid w:val="00C85944"/>
    <w:rsid w:val="00C8704C"/>
    <w:rsid w:val="00C91F8F"/>
    <w:rsid w:val="00C925ED"/>
    <w:rsid w:val="00C952B0"/>
    <w:rsid w:val="00C96C98"/>
    <w:rsid w:val="00C97638"/>
    <w:rsid w:val="00C97796"/>
    <w:rsid w:val="00CA04B6"/>
    <w:rsid w:val="00CA0DE2"/>
    <w:rsid w:val="00CA3792"/>
    <w:rsid w:val="00CA519C"/>
    <w:rsid w:val="00CA73BF"/>
    <w:rsid w:val="00CB048A"/>
    <w:rsid w:val="00CB7DE4"/>
    <w:rsid w:val="00CC392D"/>
    <w:rsid w:val="00CD1316"/>
    <w:rsid w:val="00CD17D6"/>
    <w:rsid w:val="00CD1828"/>
    <w:rsid w:val="00CE15D6"/>
    <w:rsid w:val="00CE1CCC"/>
    <w:rsid w:val="00CE1E77"/>
    <w:rsid w:val="00CE3884"/>
    <w:rsid w:val="00CE4106"/>
    <w:rsid w:val="00CE5005"/>
    <w:rsid w:val="00CE7725"/>
    <w:rsid w:val="00CF2654"/>
    <w:rsid w:val="00CF3753"/>
    <w:rsid w:val="00CF4810"/>
    <w:rsid w:val="00CF6093"/>
    <w:rsid w:val="00CF7308"/>
    <w:rsid w:val="00CF7B56"/>
    <w:rsid w:val="00D00965"/>
    <w:rsid w:val="00D016B5"/>
    <w:rsid w:val="00D019EC"/>
    <w:rsid w:val="00D03562"/>
    <w:rsid w:val="00D0617F"/>
    <w:rsid w:val="00D10830"/>
    <w:rsid w:val="00D141C9"/>
    <w:rsid w:val="00D245A7"/>
    <w:rsid w:val="00D26C5B"/>
    <w:rsid w:val="00D3233B"/>
    <w:rsid w:val="00D3520B"/>
    <w:rsid w:val="00D442C9"/>
    <w:rsid w:val="00D449AF"/>
    <w:rsid w:val="00D45CAC"/>
    <w:rsid w:val="00D4698D"/>
    <w:rsid w:val="00D4756C"/>
    <w:rsid w:val="00D52CE2"/>
    <w:rsid w:val="00D52DF4"/>
    <w:rsid w:val="00D542B9"/>
    <w:rsid w:val="00D55068"/>
    <w:rsid w:val="00D57549"/>
    <w:rsid w:val="00D57663"/>
    <w:rsid w:val="00D61878"/>
    <w:rsid w:val="00D61AE2"/>
    <w:rsid w:val="00D66768"/>
    <w:rsid w:val="00D70638"/>
    <w:rsid w:val="00D71334"/>
    <w:rsid w:val="00D71391"/>
    <w:rsid w:val="00D74F76"/>
    <w:rsid w:val="00D756D8"/>
    <w:rsid w:val="00D808A6"/>
    <w:rsid w:val="00D81552"/>
    <w:rsid w:val="00D81FA2"/>
    <w:rsid w:val="00D82157"/>
    <w:rsid w:val="00D84721"/>
    <w:rsid w:val="00D87692"/>
    <w:rsid w:val="00D87A2B"/>
    <w:rsid w:val="00D92811"/>
    <w:rsid w:val="00D94C77"/>
    <w:rsid w:val="00DA0697"/>
    <w:rsid w:val="00DA482D"/>
    <w:rsid w:val="00DA5AEA"/>
    <w:rsid w:val="00DA68E0"/>
    <w:rsid w:val="00DA6DCC"/>
    <w:rsid w:val="00DB1A06"/>
    <w:rsid w:val="00DB2E00"/>
    <w:rsid w:val="00DB4474"/>
    <w:rsid w:val="00DB7A1B"/>
    <w:rsid w:val="00DC11E4"/>
    <w:rsid w:val="00DC3BA7"/>
    <w:rsid w:val="00DC3C37"/>
    <w:rsid w:val="00DC50B6"/>
    <w:rsid w:val="00DC526C"/>
    <w:rsid w:val="00DC6818"/>
    <w:rsid w:val="00DC7793"/>
    <w:rsid w:val="00DD078C"/>
    <w:rsid w:val="00DD18E1"/>
    <w:rsid w:val="00DD252A"/>
    <w:rsid w:val="00DD475B"/>
    <w:rsid w:val="00DD5AF8"/>
    <w:rsid w:val="00DE0D88"/>
    <w:rsid w:val="00DE12D4"/>
    <w:rsid w:val="00DE158E"/>
    <w:rsid w:val="00DE657D"/>
    <w:rsid w:val="00DF23E5"/>
    <w:rsid w:val="00DF379A"/>
    <w:rsid w:val="00E005AF"/>
    <w:rsid w:val="00E04B3A"/>
    <w:rsid w:val="00E071B6"/>
    <w:rsid w:val="00E124A1"/>
    <w:rsid w:val="00E12E81"/>
    <w:rsid w:val="00E148C9"/>
    <w:rsid w:val="00E153FB"/>
    <w:rsid w:val="00E15B14"/>
    <w:rsid w:val="00E1751C"/>
    <w:rsid w:val="00E20A4B"/>
    <w:rsid w:val="00E2173A"/>
    <w:rsid w:val="00E218DB"/>
    <w:rsid w:val="00E23B45"/>
    <w:rsid w:val="00E27578"/>
    <w:rsid w:val="00E3169F"/>
    <w:rsid w:val="00E332AF"/>
    <w:rsid w:val="00E341F9"/>
    <w:rsid w:val="00E36216"/>
    <w:rsid w:val="00E368AC"/>
    <w:rsid w:val="00E36963"/>
    <w:rsid w:val="00E40251"/>
    <w:rsid w:val="00E4035E"/>
    <w:rsid w:val="00E5271C"/>
    <w:rsid w:val="00E52B9A"/>
    <w:rsid w:val="00E553A2"/>
    <w:rsid w:val="00E56718"/>
    <w:rsid w:val="00E5741E"/>
    <w:rsid w:val="00E60AD2"/>
    <w:rsid w:val="00E6430B"/>
    <w:rsid w:val="00E65640"/>
    <w:rsid w:val="00E712FD"/>
    <w:rsid w:val="00E73FEA"/>
    <w:rsid w:val="00E76FC5"/>
    <w:rsid w:val="00E7779A"/>
    <w:rsid w:val="00E81066"/>
    <w:rsid w:val="00E816D9"/>
    <w:rsid w:val="00E83145"/>
    <w:rsid w:val="00E850C1"/>
    <w:rsid w:val="00E853A6"/>
    <w:rsid w:val="00E94F17"/>
    <w:rsid w:val="00E95D9A"/>
    <w:rsid w:val="00E96E40"/>
    <w:rsid w:val="00EA0D32"/>
    <w:rsid w:val="00EA2016"/>
    <w:rsid w:val="00EA4AFB"/>
    <w:rsid w:val="00EB17E0"/>
    <w:rsid w:val="00EB3A78"/>
    <w:rsid w:val="00EB635C"/>
    <w:rsid w:val="00EB673E"/>
    <w:rsid w:val="00EC3B72"/>
    <w:rsid w:val="00EC55F2"/>
    <w:rsid w:val="00EC604F"/>
    <w:rsid w:val="00EC61EC"/>
    <w:rsid w:val="00EC76BF"/>
    <w:rsid w:val="00ED14D4"/>
    <w:rsid w:val="00ED21D7"/>
    <w:rsid w:val="00ED497E"/>
    <w:rsid w:val="00ED5F63"/>
    <w:rsid w:val="00EE3A54"/>
    <w:rsid w:val="00EE4BEF"/>
    <w:rsid w:val="00EE7DB2"/>
    <w:rsid w:val="00EE7F7C"/>
    <w:rsid w:val="00EF072F"/>
    <w:rsid w:val="00EF18B2"/>
    <w:rsid w:val="00EF1E69"/>
    <w:rsid w:val="00EF4883"/>
    <w:rsid w:val="00EF4C7B"/>
    <w:rsid w:val="00EF72C5"/>
    <w:rsid w:val="00F0224F"/>
    <w:rsid w:val="00F02812"/>
    <w:rsid w:val="00F0678C"/>
    <w:rsid w:val="00F1551E"/>
    <w:rsid w:val="00F15684"/>
    <w:rsid w:val="00F2294D"/>
    <w:rsid w:val="00F22B76"/>
    <w:rsid w:val="00F22FD1"/>
    <w:rsid w:val="00F2493D"/>
    <w:rsid w:val="00F25376"/>
    <w:rsid w:val="00F324FB"/>
    <w:rsid w:val="00F32D75"/>
    <w:rsid w:val="00F356DA"/>
    <w:rsid w:val="00F455EF"/>
    <w:rsid w:val="00F45B87"/>
    <w:rsid w:val="00F5240A"/>
    <w:rsid w:val="00F5412D"/>
    <w:rsid w:val="00F555F5"/>
    <w:rsid w:val="00F56ECE"/>
    <w:rsid w:val="00F6110E"/>
    <w:rsid w:val="00F65AC4"/>
    <w:rsid w:val="00F73E51"/>
    <w:rsid w:val="00F82D04"/>
    <w:rsid w:val="00F83351"/>
    <w:rsid w:val="00F85B24"/>
    <w:rsid w:val="00F865DC"/>
    <w:rsid w:val="00F86936"/>
    <w:rsid w:val="00F92436"/>
    <w:rsid w:val="00F92DB3"/>
    <w:rsid w:val="00F942C2"/>
    <w:rsid w:val="00F96EA6"/>
    <w:rsid w:val="00FA034E"/>
    <w:rsid w:val="00FA1CE3"/>
    <w:rsid w:val="00FA290C"/>
    <w:rsid w:val="00FA3C41"/>
    <w:rsid w:val="00FA5940"/>
    <w:rsid w:val="00FA7342"/>
    <w:rsid w:val="00FA7EE8"/>
    <w:rsid w:val="00FB4165"/>
    <w:rsid w:val="00FB4938"/>
    <w:rsid w:val="00FB7960"/>
    <w:rsid w:val="00FC2298"/>
    <w:rsid w:val="00FC2C6B"/>
    <w:rsid w:val="00FC5F3A"/>
    <w:rsid w:val="00FC6C51"/>
    <w:rsid w:val="00FC72BC"/>
    <w:rsid w:val="00FC7516"/>
    <w:rsid w:val="00FD0EAF"/>
    <w:rsid w:val="00FD185F"/>
    <w:rsid w:val="00FD23FE"/>
    <w:rsid w:val="00FE203F"/>
    <w:rsid w:val="00FE301D"/>
    <w:rsid w:val="00FF1663"/>
    <w:rsid w:val="00FF33A6"/>
    <w:rsid w:val="00FF5154"/>
    <w:rsid w:val="00FF6B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AB6B"/>
  <w15:chartTrackingRefBased/>
  <w15:docId w15:val="{11BB9186-F57C-4049-B08C-F681DEBB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89"/>
    <w:pPr>
      <w:spacing w:after="200" w:line="276" w:lineRule="auto"/>
    </w:pPr>
  </w:style>
  <w:style w:type="paragraph" w:styleId="Titre1">
    <w:name w:val="heading 1"/>
    <w:basedOn w:val="Normal"/>
    <w:next w:val="Normal"/>
    <w:link w:val="Titre1Car"/>
    <w:uiPriority w:val="9"/>
    <w:qFormat/>
    <w:rsid w:val="00CE388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E3884"/>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576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576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4889"/>
    <w:pPr>
      <w:ind w:left="720"/>
      <w:contextualSpacing/>
    </w:pPr>
  </w:style>
  <w:style w:type="table" w:styleId="Grilledutableau">
    <w:name w:val="Table Grid"/>
    <w:basedOn w:val="TableauNormal"/>
    <w:uiPriority w:val="39"/>
    <w:rsid w:val="00FC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B1B16"/>
    <w:rPr>
      <w:color w:val="0563C1" w:themeColor="hyperlink"/>
      <w:u w:val="single"/>
    </w:rPr>
  </w:style>
  <w:style w:type="paragraph" w:styleId="En-tte">
    <w:name w:val="header"/>
    <w:basedOn w:val="Normal"/>
    <w:link w:val="En-tteCar"/>
    <w:uiPriority w:val="99"/>
    <w:unhideWhenUsed/>
    <w:rsid w:val="00DE657D"/>
    <w:pPr>
      <w:tabs>
        <w:tab w:val="center" w:pos="4320"/>
        <w:tab w:val="right" w:pos="8640"/>
      </w:tabs>
      <w:spacing w:after="0" w:line="240" w:lineRule="auto"/>
    </w:pPr>
  </w:style>
  <w:style w:type="character" w:customStyle="1" w:styleId="En-tteCar">
    <w:name w:val="En-tête Car"/>
    <w:basedOn w:val="Policepardfaut"/>
    <w:link w:val="En-tte"/>
    <w:uiPriority w:val="99"/>
    <w:rsid w:val="00DE657D"/>
  </w:style>
  <w:style w:type="paragraph" w:styleId="Pieddepage">
    <w:name w:val="footer"/>
    <w:basedOn w:val="Normal"/>
    <w:link w:val="PieddepageCar"/>
    <w:uiPriority w:val="99"/>
    <w:unhideWhenUsed/>
    <w:rsid w:val="00DE657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657D"/>
  </w:style>
  <w:style w:type="character" w:customStyle="1" w:styleId="Titre1Car">
    <w:name w:val="Titre 1 Car"/>
    <w:basedOn w:val="Policepardfaut"/>
    <w:link w:val="Titre1"/>
    <w:uiPriority w:val="9"/>
    <w:rsid w:val="00CE388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E388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5766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D57663"/>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uiPriority w:val="99"/>
    <w:semiHidden/>
    <w:unhideWhenUsed/>
    <w:rsid w:val="005F3E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3EFA"/>
    <w:rPr>
      <w:sz w:val="20"/>
      <w:szCs w:val="20"/>
    </w:rPr>
  </w:style>
  <w:style w:type="character" w:styleId="Appelnotedebasdep">
    <w:name w:val="footnote reference"/>
    <w:basedOn w:val="Policepardfaut"/>
    <w:uiPriority w:val="99"/>
    <w:semiHidden/>
    <w:unhideWhenUsed/>
    <w:rsid w:val="005F3EFA"/>
    <w:rPr>
      <w:vertAlign w:val="superscript"/>
    </w:rPr>
  </w:style>
  <w:style w:type="paragraph" w:styleId="Sansinterligne">
    <w:name w:val="No Spacing"/>
    <w:uiPriority w:val="1"/>
    <w:qFormat/>
    <w:rsid w:val="00326259"/>
    <w:pPr>
      <w:spacing w:after="0" w:line="240" w:lineRule="auto"/>
    </w:pPr>
    <w:rPr>
      <w:rFonts w:ascii="Arial" w:eastAsia="Arial" w:hAnsi="Arial" w:cs="Arial"/>
      <w:color w:val="00000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ag-bvg.gc.ca/internet/Francais/pet_lp_f_930.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content/dam/tbs-sct/documents/reports/eepsfy-emefp/2017/eepsfy-emefp-fra.pdf" TargetMode="External"/><Relationship Id="rId2" Type="http://schemas.openxmlformats.org/officeDocument/2006/relationships/hyperlink" Target="https://cophan.org/wp-content/uploads/2015/02/COPHAN_M--moire-Strat--gie-developpement-durable_20151.pdf" TargetMode="External"/><Relationship Id="rId1" Type="http://schemas.openxmlformats.org/officeDocument/2006/relationships/hyperlink" Target="https://cophan.org/wp-content/uploads/2017/07/2017-07-11-MEM-COPHAN-canada-accessible.pdf" TargetMode="External"/><Relationship Id="rId4" Type="http://schemas.openxmlformats.org/officeDocument/2006/relationships/hyperlink" Target="https://cophan.org/publication/accessibilite-du-web-de-la-standardisation-a-lutilis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BF34-1BC6-4B42-A8AB-B429664F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2449</Words>
  <Characters>13474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40</cp:revision>
  <dcterms:created xsi:type="dcterms:W3CDTF">2018-10-23T15:46:00Z</dcterms:created>
  <dcterms:modified xsi:type="dcterms:W3CDTF">2018-10-23T19:35:00Z</dcterms:modified>
</cp:coreProperties>
</file>