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AD" w:rsidRPr="005E5464" w:rsidRDefault="00FD5FAD" w:rsidP="00FD5FAD">
      <w:pPr>
        <w:rPr>
          <w:rFonts w:cs="Arial"/>
          <w:b/>
          <w:szCs w:val="24"/>
        </w:rPr>
      </w:pPr>
      <w:r w:rsidRPr="005E5464">
        <w:rPr>
          <w:rFonts w:cs="Arial"/>
          <w:b/>
          <w:noProof/>
          <w:szCs w:val="24"/>
          <w:lang w:eastAsia="fr-CA"/>
        </w:rPr>
        <w:drawing>
          <wp:inline distT="0" distB="0" distL="0" distR="0">
            <wp:extent cx="4775200" cy="1230630"/>
            <wp:effectExtent l="19050" t="0" r="6350" b="0"/>
            <wp:docPr id="3"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5200" cy="1230630"/>
                    </a:xfrm>
                    <a:prstGeom prst="rect">
                      <a:avLst/>
                    </a:prstGeom>
                    <a:noFill/>
                    <a:ln w="9525">
                      <a:noFill/>
                      <a:miter lim="800000"/>
                      <a:headEnd/>
                      <a:tailEnd/>
                    </a:ln>
                  </pic:spPr>
                </pic:pic>
              </a:graphicData>
            </a:graphic>
          </wp:inline>
        </w:drawing>
      </w:r>
    </w:p>
    <w:p w:rsidR="00FD5FAD" w:rsidRPr="005E5464" w:rsidRDefault="00FD5FAD" w:rsidP="00FD5FAD">
      <w:pPr>
        <w:rPr>
          <w:rFonts w:cs="Arial"/>
          <w:b/>
          <w:szCs w:val="24"/>
        </w:rPr>
      </w:pPr>
    </w:p>
    <w:p w:rsidR="00FD5FAD" w:rsidRDefault="00FD5FAD" w:rsidP="00FD5FAD">
      <w:pPr>
        <w:rPr>
          <w:rFonts w:cs="Arial"/>
          <w:b/>
          <w:szCs w:val="24"/>
        </w:rPr>
      </w:pPr>
    </w:p>
    <w:p w:rsidR="00AF6000" w:rsidRDefault="00AF6000" w:rsidP="00FD5FAD">
      <w:pPr>
        <w:rPr>
          <w:rFonts w:cs="Arial"/>
          <w:b/>
          <w:szCs w:val="24"/>
        </w:rPr>
      </w:pPr>
    </w:p>
    <w:p w:rsidR="00AF6000" w:rsidRPr="005E5464" w:rsidRDefault="00AF6000" w:rsidP="00FD5FAD">
      <w:pPr>
        <w:rPr>
          <w:rFonts w:cs="Arial"/>
          <w:b/>
          <w:szCs w:val="24"/>
        </w:rPr>
      </w:pPr>
    </w:p>
    <w:p w:rsidR="00FD5FAD" w:rsidRDefault="00FD5FAD" w:rsidP="00FD5FAD">
      <w:pPr>
        <w:rPr>
          <w:rFonts w:cs="Arial"/>
          <w:b/>
          <w:szCs w:val="24"/>
        </w:rPr>
      </w:pPr>
    </w:p>
    <w:p w:rsidR="000621B9" w:rsidRDefault="000621B9" w:rsidP="00FD5FAD">
      <w:pPr>
        <w:rPr>
          <w:rFonts w:cs="Arial"/>
          <w:b/>
          <w:szCs w:val="24"/>
        </w:rPr>
      </w:pPr>
    </w:p>
    <w:p w:rsidR="000621B9" w:rsidRDefault="000621B9" w:rsidP="00FD5FAD">
      <w:pPr>
        <w:rPr>
          <w:rFonts w:cs="Arial"/>
          <w:b/>
          <w:szCs w:val="24"/>
        </w:rPr>
      </w:pPr>
    </w:p>
    <w:p w:rsidR="000621B9" w:rsidRPr="005E5464" w:rsidRDefault="000621B9" w:rsidP="00FD5FAD">
      <w:pPr>
        <w:rPr>
          <w:rFonts w:cs="Arial"/>
          <w:b/>
          <w:szCs w:val="24"/>
        </w:rPr>
      </w:pPr>
    </w:p>
    <w:p w:rsidR="00FD5FAD" w:rsidRPr="005E5464" w:rsidRDefault="00FD5FAD" w:rsidP="00FD5FAD">
      <w:pPr>
        <w:rPr>
          <w:rFonts w:cs="Arial"/>
          <w:b/>
          <w:szCs w:val="24"/>
        </w:rPr>
      </w:pPr>
    </w:p>
    <w:p w:rsidR="00FD5FAD" w:rsidRPr="005E5464" w:rsidRDefault="00FD5FAD" w:rsidP="000621B9">
      <w:pPr>
        <w:spacing w:before="60" w:after="60"/>
        <w:rPr>
          <w:rFonts w:cs="Arial"/>
          <w:b/>
          <w:szCs w:val="24"/>
        </w:rPr>
      </w:pPr>
    </w:p>
    <w:p w:rsidR="00FD5FAD" w:rsidRPr="005E5464" w:rsidRDefault="00FD5FAD" w:rsidP="000621B9">
      <w:pPr>
        <w:spacing w:before="60" w:after="60"/>
        <w:rPr>
          <w:rFonts w:cs="Arial"/>
          <w:b/>
          <w:szCs w:val="24"/>
        </w:rPr>
      </w:pPr>
    </w:p>
    <w:p w:rsidR="000621B9" w:rsidRPr="00494896" w:rsidRDefault="00FD5FAD" w:rsidP="000621B9">
      <w:pPr>
        <w:pBdr>
          <w:bottom w:val="single" w:sz="6" w:space="1" w:color="auto"/>
        </w:pBdr>
        <w:spacing w:before="60" w:after="60"/>
        <w:rPr>
          <w:rFonts w:cs="Arial"/>
          <w:b/>
          <w:color w:val="1F497D" w:themeColor="text2"/>
          <w:sz w:val="32"/>
          <w:szCs w:val="32"/>
        </w:rPr>
      </w:pPr>
      <w:r w:rsidRPr="00494896">
        <w:rPr>
          <w:rFonts w:cs="Arial"/>
          <w:b/>
          <w:color w:val="1F497D" w:themeColor="text2"/>
          <w:sz w:val="32"/>
          <w:szCs w:val="32"/>
        </w:rPr>
        <w:t xml:space="preserve">Mémoire dans le cadre de la consultation sur la sécurité routière </w:t>
      </w:r>
    </w:p>
    <w:p w:rsidR="00FD5FAD" w:rsidRPr="00AF6000" w:rsidRDefault="00FD5FAD" w:rsidP="000621B9">
      <w:pPr>
        <w:spacing w:before="60" w:after="60"/>
        <w:rPr>
          <w:rFonts w:cs="Arial"/>
          <w:sz w:val="28"/>
          <w:szCs w:val="28"/>
        </w:rPr>
      </w:pPr>
      <w:r w:rsidRPr="00AF6000">
        <w:rPr>
          <w:rFonts w:cs="Arial"/>
          <w:sz w:val="28"/>
          <w:szCs w:val="28"/>
        </w:rPr>
        <w:t>Remis par la Confédération des organismes de personnes handicapées du Québec (COPHAN) au ministre des Transports, de la Mobilité durable et de l’Électrification des transports (MTMDET) et à la Société de l’assurance automobile du Québec (SAAQ)</w:t>
      </w:r>
    </w:p>
    <w:p w:rsidR="00FD5FAD" w:rsidRPr="005E5464" w:rsidRDefault="00FD5FAD" w:rsidP="00FD5FAD">
      <w:pPr>
        <w:rPr>
          <w:rFonts w:cs="Arial"/>
          <w:szCs w:val="24"/>
        </w:rPr>
      </w:pPr>
    </w:p>
    <w:p w:rsidR="00FD5FAD" w:rsidRPr="005E5464" w:rsidRDefault="00FD5FAD" w:rsidP="00FD5FAD">
      <w:pPr>
        <w:rPr>
          <w:rFonts w:cs="Arial"/>
          <w:szCs w:val="24"/>
        </w:rPr>
      </w:pPr>
    </w:p>
    <w:p w:rsidR="000621B9" w:rsidRDefault="000621B9" w:rsidP="00FD5FAD">
      <w:pPr>
        <w:rPr>
          <w:rFonts w:cs="Arial"/>
          <w:szCs w:val="24"/>
        </w:rPr>
      </w:pPr>
    </w:p>
    <w:p w:rsidR="000621B9" w:rsidRDefault="000621B9" w:rsidP="00FD5FAD">
      <w:pPr>
        <w:rPr>
          <w:rFonts w:cs="Arial"/>
          <w:szCs w:val="24"/>
        </w:rPr>
      </w:pPr>
    </w:p>
    <w:p w:rsidR="000621B9" w:rsidRDefault="000621B9" w:rsidP="00FD5FAD">
      <w:pPr>
        <w:rPr>
          <w:rFonts w:cs="Arial"/>
          <w:szCs w:val="24"/>
        </w:rPr>
      </w:pPr>
    </w:p>
    <w:p w:rsidR="000621B9" w:rsidRDefault="000621B9" w:rsidP="00FD5FAD">
      <w:pPr>
        <w:rPr>
          <w:rFonts w:cs="Arial"/>
          <w:szCs w:val="24"/>
        </w:rPr>
      </w:pPr>
    </w:p>
    <w:p w:rsidR="000621B9" w:rsidRDefault="000621B9" w:rsidP="00FD5FAD">
      <w:pPr>
        <w:rPr>
          <w:rFonts w:cs="Arial"/>
          <w:szCs w:val="24"/>
        </w:rPr>
      </w:pPr>
    </w:p>
    <w:p w:rsidR="000621B9" w:rsidRDefault="000621B9" w:rsidP="00FD5FAD">
      <w:pPr>
        <w:rPr>
          <w:rFonts w:cs="Arial"/>
          <w:szCs w:val="24"/>
        </w:rPr>
      </w:pPr>
    </w:p>
    <w:p w:rsidR="000621B9" w:rsidRDefault="000621B9" w:rsidP="00FD5FAD">
      <w:pPr>
        <w:rPr>
          <w:rFonts w:cs="Arial"/>
          <w:szCs w:val="24"/>
        </w:rPr>
      </w:pPr>
    </w:p>
    <w:p w:rsidR="000621B9" w:rsidRPr="005E5464" w:rsidRDefault="000621B9"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494896" w:rsidRDefault="00FD5FAD" w:rsidP="00FD5FAD">
      <w:pPr>
        <w:rPr>
          <w:rFonts w:cs="Arial"/>
          <w:b/>
          <w:color w:val="1F497D" w:themeColor="text2"/>
          <w:sz w:val="36"/>
          <w:szCs w:val="36"/>
        </w:rPr>
      </w:pPr>
      <w:r w:rsidRPr="00494896">
        <w:rPr>
          <w:rFonts w:cs="Arial"/>
          <w:b/>
          <w:color w:val="1F497D" w:themeColor="text2"/>
          <w:sz w:val="36"/>
          <w:szCs w:val="36"/>
        </w:rPr>
        <w:t>Mars 2017</w:t>
      </w: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pPr>
    </w:p>
    <w:p w:rsidR="00FD5FAD" w:rsidRPr="005E5464" w:rsidRDefault="00FD5FAD" w:rsidP="00FD5FAD">
      <w:pPr>
        <w:rPr>
          <w:rFonts w:cs="Arial"/>
          <w:szCs w:val="24"/>
        </w:rPr>
        <w:sectPr w:rsidR="00FD5FAD" w:rsidRPr="005E5464" w:rsidSect="003C404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0621B9" w:rsidRDefault="000621B9" w:rsidP="00FD5FAD">
      <w:pPr>
        <w:rPr>
          <w:rFonts w:cs="Arial"/>
          <w:b/>
          <w:smallCaps/>
          <w:szCs w:val="24"/>
        </w:rPr>
      </w:pPr>
    </w:p>
    <w:p w:rsidR="000621B9" w:rsidRDefault="000621B9" w:rsidP="00FD5FAD">
      <w:pPr>
        <w:rPr>
          <w:rFonts w:cs="Arial"/>
          <w:b/>
          <w:smallCaps/>
          <w:szCs w:val="24"/>
        </w:rPr>
      </w:pPr>
    </w:p>
    <w:p w:rsidR="000621B9" w:rsidRDefault="000621B9" w:rsidP="00FD5FAD">
      <w:pPr>
        <w:rPr>
          <w:rFonts w:cs="Arial"/>
          <w:b/>
          <w:smallCaps/>
          <w:szCs w:val="24"/>
        </w:rPr>
      </w:pPr>
    </w:p>
    <w:p w:rsidR="000621B9" w:rsidRDefault="000621B9" w:rsidP="00FD5FAD">
      <w:pPr>
        <w:rPr>
          <w:rFonts w:cs="Arial"/>
          <w:b/>
          <w:smallCaps/>
          <w:szCs w:val="24"/>
        </w:rPr>
      </w:pPr>
    </w:p>
    <w:p w:rsidR="00FD5FAD" w:rsidRPr="00494896" w:rsidRDefault="00FD5FAD" w:rsidP="00FD5FAD">
      <w:pPr>
        <w:rPr>
          <w:rFonts w:cs="Arial"/>
          <w:b/>
          <w:smallCaps/>
          <w:color w:val="1F497D" w:themeColor="text2"/>
          <w:szCs w:val="24"/>
        </w:rPr>
      </w:pPr>
      <w:r w:rsidRPr="00494896">
        <w:rPr>
          <w:rFonts w:cs="Arial"/>
          <w:b/>
          <w:noProof/>
          <w:color w:val="1F497D" w:themeColor="text2"/>
          <w:szCs w:val="24"/>
          <w:lang w:eastAsia="fr-CA"/>
        </w:rPr>
        <w:drawing>
          <wp:anchor distT="0" distB="0" distL="114300" distR="114300" simplePos="0" relativeHeight="251659264" behindDoc="0" locked="0" layoutInCell="1" allowOverlap="1">
            <wp:simplePos x="0" y="0"/>
            <wp:positionH relativeFrom="margin">
              <wp:posOffset>4157345</wp:posOffset>
            </wp:positionH>
            <wp:positionV relativeFrom="margin">
              <wp:posOffset>-598805</wp:posOffset>
            </wp:positionV>
            <wp:extent cx="2503170" cy="1008380"/>
            <wp:effectExtent l="19050" t="0" r="0" b="0"/>
            <wp:wrapSquare wrapText="bothSides"/>
            <wp:docPr id="4" name="Image 3"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PHAN-rgb-S"/>
                    <pic:cNvPicPr>
                      <a:picLocks noChangeAspect="1" noChangeArrowheads="1"/>
                    </pic:cNvPicPr>
                  </pic:nvPicPr>
                  <pic:blipFill>
                    <a:blip r:embed="rId15" cstate="print"/>
                    <a:srcRect/>
                    <a:stretch>
                      <a:fillRect/>
                    </a:stretch>
                  </pic:blipFill>
                  <pic:spPr bwMode="auto">
                    <a:xfrm>
                      <a:off x="0" y="0"/>
                      <a:ext cx="2503170" cy="1008380"/>
                    </a:xfrm>
                    <a:prstGeom prst="rect">
                      <a:avLst/>
                    </a:prstGeom>
                    <a:noFill/>
                    <a:ln w="9525">
                      <a:noFill/>
                      <a:miter lim="800000"/>
                      <a:headEnd/>
                      <a:tailEnd/>
                    </a:ln>
                  </pic:spPr>
                </pic:pic>
              </a:graphicData>
            </a:graphic>
          </wp:anchor>
        </w:drawing>
      </w:r>
      <w:r w:rsidRPr="00494896">
        <w:rPr>
          <w:rFonts w:cs="Arial"/>
          <w:b/>
          <w:smallCaps/>
          <w:color w:val="1F497D" w:themeColor="text2"/>
          <w:szCs w:val="24"/>
        </w:rPr>
        <w:t>Rédaction</w:t>
      </w:r>
    </w:p>
    <w:p w:rsidR="000621B9" w:rsidRPr="005E5464" w:rsidRDefault="000621B9" w:rsidP="00FD5FAD">
      <w:pPr>
        <w:rPr>
          <w:rFonts w:cs="Arial"/>
          <w:b/>
          <w:smallCaps/>
          <w:szCs w:val="24"/>
        </w:rPr>
      </w:pPr>
    </w:p>
    <w:p w:rsidR="00FD5FAD" w:rsidRPr="005E5464" w:rsidRDefault="00FD5FAD" w:rsidP="00FD5FAD">
      <w:pPr>
        <w:rPr>
          <w:rFonts w:cs="Arial"/>
          <w:szCs w:val="24"/>
        </w:rPr>
      </w:pPr>
      <w:r w:rsidRPr="005E5464">
        <w:rPr>
          <w:rFonts w:cs="Arial"/>
          <w:szCs w:val="24"/>
        </w:rPr>
        <w:t>Audrey-Anne Trudel</w:t>
      </w:r>
    </w:p>
    <w:p w:rsidR="00FD5FAD" w:rsidRPr="005E5464" w:rsidRDefault="00FD5FAD" w:rsidP="00FD5FAD">
      <w:pPr>
        <w:rPr>
          <w:rFonts w:cs="Arial"/>
          <w:szCs w:val="24"/>
        </w:rPr>
      </w:pPr>
      <w:r w:rsidRPr="005E5464">
        <w:rPr>
          <w:rFonts w:cs="Arial"/>
          <w:szCs w:val="24"/>
        </w:rPr>
        <w:t>Responsable de dossiers, COPHAN</w:t>
      </w:r>
    </w:p>
    <w:p w:rsidR="00FD5FAD" w:rsidRPr="005E5464" w:rsidRDefault="00FD5FAD" w:rsidP="00FD5FAD">
      <w:pPr>
        <w:rPr>
          <w:rFonts w:cs="Arial"/>
          <w:szCs w:val="24"/>
        </w:rPr>
      </w:pPr>
    </w:p>
    <w:p w:rsidR="000621B9" w:rsidRDefault="000621B9" w:rsidP="00FD5FAD">
      <w:pPr>
        <w:rPr>
          <w:rFonts w:cs="Arial"/>
          <w:b/>
          <w:smallCaps/>
          <w:szCs w:val="24"/>
        </w:rPr>
      </w:pPr>
    </w:p>
    <w:p w:rsidR="00FD5FAD" w:rsidRPr="00494896" w:rsidRDefault="00FD5FAD" w:rsidP="00FD5FAD">
      <w:pPr>
        <w:rPr>
          <w:rFonts w:cs="Arial"/>
          <w:b/>
          <w:smallCaps/>
          <w:color w:val="1F497D" w:themeColor="text2"/>
          <w:szCs w:val="24"/>
        </w:rPr>
      </w:pPr>
      <w:r w:rsidRPr="00494896">
        <w:rPr>
          <w:rFonts w:cs="Arial"/>
          <w:b/>
          <w:smallCaps/>
          <w:color w:val="1F497D" w:themeColor="text2"/>
          <w:szCs w:val="24"/>
        </w:rPr>
        <w:t>Sous la supervision de </w:t>
      </w:r>
    </w:p>
    <w:p w:rsidR="000621B9" w:rsidRPr="005E5464" w:rsidRDefault="000621B9" w:rsidP="00FD5FAD">
      <w:pPr>
        <w:rPr>
          <w:rFonts w:cs="Arial"/>
          <w:b/>
          <w:smallCaps/>
          <w:szCs w:val="24"/>
        </w:rPr>
      </w:pPr>
    </w:p>
    <w:p w:rsidR="00FD5FAD" w:rsidRDefault="000621B9" w:rsidP="00FD5FAD">
      <w:pPr>
        <w:rPr>
          <w:rFonts w:cs="Arial"/>
          <w:szCs w:val="24"/>
        </w:rPr>
      </w:pPr>
      <w:r>
        <w:rPr>
          <w:rFonts w:cs="Arial"/>
          <w:szCs w:val="24"/>
        </w:rPr>
        <w:t>Véronique Vézina</w:t>
      </w:r>
    </w:p>
    <w:p w:rsidR="000621B9" w:rsidRDefault="000621B9" w:rsidP="00FD5FAD">
      <w:pPr>
        <w:rPr>
          <w:rFonts w:cs="Arial"/>
          <w:szCs w:val="24"/>
        </w:rPr>
      </w:pPr>
      <w:r>
        <w:rPr>
          <w:rFonts w:cs="Arial"/>
          <w:szCs w:val="24"/>
        </w:rPr>
        <w:t>Présidente, COPHAN</w:t>
      </w:r>
    </w:p>
    <w:p w:rsidR="000621B9" w:rsidRPr="005E5464" w:rsidRDefault="000621B9" w:rsidP="00FD5FAD">
      <w:pPr>
        <w:rPr>
          <w:rFonts w:cs="Arial"/>
          <w:szCs w:val="24"/>
        </w:rPr>
      </w:pPr>
    </w:p>
    <w:p w:rsidR="000621B9" w:rsidRDefault="000621B9" w:rsidP="00FD5FAD">
      <w:pPr>
        <w:rPr>
          <w:rFonts w:cs="Arial"/>
          <w:b/>
          <w:smallCaps/>
          <w:szCs w:val="24"/>
        </w:rPr>
      </w:pPr>
    </w:p>
    <w:p w:rsidR="00FD5FAD" w:rsidRPr="00494896" w:rsidRDefault="00FD5FAD" w:rsidP="00FD5FAD">
      <w:pPr>
        <w:rPr>
          <w:rFonts w:cs="Arial"/>
          <w:b/>
          <w:smallCaps/>
          <w:color w:val="1F497D" w:themeColor="text2"/>
          <w:szCs w:val="24"/>
        </w:rPr>
      </w:pPr>
      <w:r w:rsidRPr="00494896">
        <w:rPr>
          <w:rFonts w:cs="Arial"/>
          <w:b/>
          <w:smallCaps/>
          <w:color w:val="1F497D" w:themeColor="text2"/>
          <w:szCs w:val="24"/>
        </w:rPr>
        <w:t>Avec la collaboration de</w:t>
      </w:r>
    </w:p>
    <w:p w:rsidR="000621B9" w:rsidRDefault="000621B9" w:rsidP="00FD5FAD">
      <w:pPr>
        <w:rPr>
          <w:rFonts w:cs="Arial"/>
          <w:szCs w:val="24"/>
        </w:rPr>
      </w:pPr>
    </w:p>
    <w:p w:rsidR="00FD5FAD" w:rsidRDefault="00FD5FAD" w:rsidP="00FD5FAD">
      <w:pPr>
        <w:rPr>
          <w:rFonts w:cs="Arial"/>
          <w:szCs w:val="24"/>
        </w:rPr>
      </w:pPr>
      <w:r w:rsidRPr="005E5464">
        <w:rPr>
          <w:rFonts w:cs="Arial"/>
          <w:szCs w:val="24"/>
        </w:rPr>
        <w:t>Ex Aequo</w:t>
      </w:r>
    </w:p>
    <w:p w:rsidR="000621B9" w:rsidRPr="005E5464" w:rsidRDefault="000621B9" w:rsidP="00FD5FAD">
      <w:pPr>
        <w:rPr>
          <w:rFonts w:cs="Arial"/>
          <w:szCs w:val="24"/>
        </w:rPr>
      </w:pPr>
    </w:p>
    <w:p w:rsidR="00FD5FAD" w:rsidRDefault="00FD5FAD" w:rsidP="00FD5FAD">
      <w:pPr>
        <w:rPr>
          <w:rFonts w:cs="Arial"/>
          <w:szCs w:val="24"/>
          <w:lang w:eastAsia="fr-CA"/>
        </w:rPr>
      </w:pPr>
      <w:bookmarkStart w:id="0" w:name="_Toc469318375"/>
      <w:r w:rsidRPr="005E5464">
        <w:rPr>
          <w:rFonts w:cs="Arial"/>
          <w:szCs w:val="24"/>
          <w:lang w:eastAsia="fr-CA"/>
        </w:rPr>
        <w:t>Regroupement des associations de personnes handicapées de l’Outaouais (RAPHO)</w:t>
      </w:r>
      <w:bookmarkEnd w:id="0"/>
    </w:p>
    <w:p w:rsidR="000621B9" w:rsidRPr="005E5464" w:rsidRDefault="000621B9" w:rsidP="00FD5FAD">
      <w:pPr>
        <w:rPr>
          <w:rFonts w:cs="Arial"/>
          <w:szCs w:val="24"/>
          <w:lang w:eastAsia="fr-CA"/>
        </w:rPr>
      </w:pPr>
    </w:p>
    <w:p w:rsidR="00FD5FAD" w:rsidRDefault="00FD5FAD" w:rsidP="00FD5FAD">
      <w:pPr>
        <w:rPr>
          <w:rFonts w:cs="Arial"/>
          <w:szCs w:val="24"/>
          <w:lang w:eastAsia="fr-CA"/>
        </w:rPr>
      </w:pPr>
      <w:bookmarkStart w:id="1" w:name="_Toc469318377"/>
      <w:r w:rsidRPr="005E5464">
        <w:rPr>
          <w:rFonts w:cs="Arial"/>
          <w:szCs w:val="24"/>
          <w:lang w:eastAsia="fr-CA"/>
        </w:rPr>
        <w:t>Regroupement des aveugles et amblyopes du Québec (RAAQ)</w:t>
      </w:r>
      <w:bookmarkEnd w:id="1"/>
    </w:p>
    <w:p w:rsidR="000621B9" w:rsidRDefault="000621B9" w:rsidP="00FD5FAD">
      <w:pPr>
        <w:rPr>
          <w:rFonts w:cs="Arial"/>
          <w:szCs w:val="24"/>
          <w:lang w:eastAsia="fr-CA"/>
        </w:rPr>
      </w:pPr>
    </w:p>
    <w:p w:rsidR="000621B9" w:rsidRDefault="000621B9" w:rsidP="00FD5FAD">
      <w:pPr>
        <w:rPr>
          <w:rFonts w:cs="Arial"/>
          <w:szCs w:val="24"/>
          <w:lang w:eastAsia="fr-CA"/>
        </w:rPr>
      </w:pPr>
      <w:r>
        <w:rPr>
          <w:rFonts w:cs="Arial"/>
          <w:szCs w:val="24"/>
          <w:lang w:eastAsia="fr-CA"/>
        </w:rPr>
        <w:t xml:space="preserve">Regroupement des associations de personnes traumatisées </w:t>
      </w:r>
      <w:proofErr w:type="spellStart"/>
      <w:r>
        <w:rPr>
          <w:rFonts w:cs="Arial"/>
          <w:szCs w:val="24"/>
          <w:lang w:eastAsia="fr-CA"/>
        </w:rPr>
        <w:t>craniocérébrales</w:t>
      </w:r>
      <w:proofErr w:type="spellEnd"/>
      <w:r>
        <w:rPr>
          <w:rFonts w:cs="Arial"/>
          <w:szCs w:val="24"/>
          <w:lang w:eastAsia="fr-CA"/>
        </w:rPr>
        <w:t xml:space="preserve"> du Québec (RAPTCCQ)</w:t>
      </w:r>
    </w:p>
    <w:p w:rsidR="000621B9" w:rsidRPr="005E5464" w:rsidRDefault="000621B9" w:rsidP="00FD5FAD">
      <w:pPr>
        <w:rPr>
          <w:rFonts w:cs="Arial"/>
          <w:szCs w:val="24"/>
          <w:lang w:eastAsia="fr-CA"/>
        </w:rPr>
      </w:pPr>
    </w:p>
    <w:p w:rsidR="00FD5FAD" w:rsidRPr="005E5464" w:rsidRDefault="00FD5FAD" w:rsidP="00FD5FAD">
      <w:pPr>
        <w:rPr>
          <w:rFonts w:cs="Arial"/>
          <w:szCs w:val="24"/>
        </w:rPr>
      </w:pPr>
      <w:r w:rsidRPr="005E5464">
        <w:rPr>
          <w:rFonts w:cs="Arial"/>
          <w:szCs w:val="24"/>
        </w:rPr>
        <w:t>Regroupement des organismes de personnes handicapées  de la région 03 (ROP03)</w:t>
      </w:r>
    </w:p>
    <w:p w:rsidR="000621B9" w:rsidRDefault="000621B9" w:rsidP="00FD5FAD">
      <w:pPr>
        <w:rPr>
          <w:rFonts w:cs="Arial"/>
          <w:szCs w:val="24"/>
        </w:rPr>
      </w:pPr>
    </w:p>
    <w:p w:rsidR="000621B9" w:rsidRDefault="000621B9" w:rsidP="00FD5FAD">
      <w:pPr>
        <w:rPr>
          <w:rFonts w:cs="Arial"/>
          <w:b/>
          <w:smallCaps/>
          <w:szCs w:val="24"/>
        </w:rPr>
      </w:pPr>
    </w:p>
    <w:p w:rsidR="00FD5FAD" w:rsidRPr="00494896" w:rsidRDefault="00FD5FAD" w:rsidP="00FD5FAD">
      <w:pPr>
        <w:rPr>
          <w:rFonts w:cs="Arial"/>
          <w:b/>
          <w:smallCaps/>
          <w:color w:val="1F497D" w:themeColor="text2"/>
          <w:szCs w:val="24"/>
        </w:rPr>
      </w:pPr>
      <w:r w:rsidRPr="00494896">
        <w:rPr>
          <w:rFonts w:cs="Arial"/>
          <w:b/>
          <w:smallCaps/>
          <w:color w:val="1F497D" w:themeColor="text2"/>
          <w:szCs w:val="24"/>
        </w:rPr>
        <w:t>Date de transmission</w:t>
      </w:r>
    </w:p>
    <w:p w:rsidR="000621B9" w:rsidRDefault="000621B9" w:rsidP="00FD5FAD">
      <w:pPr>
        <w:rPr>
          <w:rFonts w:cs="Arial"/>
          <w:szCs w:val="24"/>
        </w:rPr>
      </w:pPr>
    </w:p>
    <w:p w:rsidR="000621B9" w:rsidRDefault="000621B9" w:rsidP="00FD5FAD">
      <w:pPr>
        <w:rPr>
          <w:rFonts w:cs="Arial"/>
          <w:szCs w:val="24"/>
        </w:rPr>
        <w:sectPr w:rsidR="000621B9" w:rsidSect="003C4043">
          <w:footerReference w:type="default" r:id="rId16"/>
          <w:pgSz w:w="12240" w:h="15840"/>
          <w:pgMar w:top="1440" w:right="1080" w:bottom="1440" w:left="1080" w:header="708" w:footer="708" w:gutter="0"/>
          <w:cols w:space="708"/>
          <w:docGrid w:linePitch="360"/>
        </w:sectPr>
      </w:pPr>
      <w:r>
        <w:rPr>
          <w:rFonts w:cs="Arial"/>
          <w:szCs w:val="24"/>
        </w:rPr>
        <w:t>L</w:t>
      </w:r>
      <w:r w:rsidR="00FD5FAD" w:rsidRPr="000621B9">
        <w:rPr>
          <w:rFonts w:cs="Arial"/>
          <w:szCs w:val="24"/>
        </w:rPr>
        <w:t xml:space="preserve">e </w:t>
      </w:r>
      <w:r w:rsidR="00B545F3">
        <w:rPr>
          <w:rFonts w:cs="Arial"/>
          <w:szCs w:val="24"/>
        </w:rPr>
        <w:t>3</w:t>
      </w:r>
      <w:r w:rsidR="00DE7471">
        <w:rPr>
          <w:rFonts w:cs="Arial"/>
          <w:szCs w:val="24"/>
        </w:rPr>
        <w:t xml:space="preserve"> mars 201</w:t>
      </w:r>
      <w:r w:rsidR="00494896">
        <w:rPr>
          <w:rFonts w:cs="Arial"/>
          <w:szCs w:val="24"/>
        </w:rPr>
        <w:t>7</w:t>
      </w:r>
    </w:p>
    <w:p w:rsidR="00FD5FAD" w:rsidRPr="000621B9" w:rsidRDefault="00FD5FAD" w:rsidP="00FD5FAD">
      <w:pPr>
        <w:rPr>
          <w:rFonts w:cs="Arial"/>
          <w:szCs w:val="24"/>
        </w:rPr>
        <w:sectPr w:rsidR="00FD5FAD" w:rsidRPr="000621B9" w:rsidSect="003C4043">
          <w:footerReference w:type="default" r:id="rId17"/>
          <w:pgSz w:w="12240" w:h="15840"/>
          <w:pgMar w:top="1440" w:right="1080" w:bottom="1440" w:left="1080" w:header="708" w:footer="708" w:gutter="0"/>
          <w:cols w:space="708"/>
          <w:docGrid w:linePitch="360"/>
        </w:sectPr>
      </w:pPr>
    </w:p>
    <w:sdt>
      <w:sdtPr>
        <w:id w:val="280739610"/>
        <w:docPartObj>
          <w:docPartGallery w:val="Table of Contents"/>
          <w:docPartUnique/>
        </w:docPartObj>
      </w:sdtPr>
      <w:sdtEndPr>
        <w:rPr>
          <w:rFonts w:ascii="Arial" w:eastAsiaTheme="minorHAnsi" w:hAnsi="Arial" w:cstheme="minorBidi"/>
          <w:b w:val="0"/>
          <w:bCs w:val="0"/>
          <w:color w:val="auto"/>
          <w:sz w:val="24"/>
          <w:szCs w:val="22"/>
        </w:rPr>
      </w:sdtEndPr>
      <w:sdtContent>
        <w:p w:rsidR="00DE7471" w:rsidRDefault="00DE7471">
          <w:pPr>
            <w:pStyle w:val="En-ttedetabledesmatires"/>
          </w:pPr>
          <w:r>
            <w:t>Table des matières</w:t>
          </w:r>
        </w:p>
        <w:p w:rsidR="00B835C3" w:rsidRDefault="00DE7471">
          <w:pPr>
            <w:pStyle w:val="TM1"/>
            <w:tabs>
              <w:tab w:val="right" w:leader="dot" w:pos="10070"/>
            </w:tabs>
            <w:rPr>
              <w:rFonts w:asciiTheme="minorHAnsi" w:eastAsiaTheme="minorEastAsia" w:hAnsiTheme="minorHAnsi"/>
              <w:noProof/>
              <w:sz w:val="22"/>
              <w:lang w:eastAsia="fr-CA"/>
            </w:rPr>
          </w:pPr>
          <w:r>
            <w:rPr>
              <w:lang w:val="fr-FR"/>
            </w:rPr>
            <w:fldChar w:fldCharType="begin"/>
          </w:r>
          <w:r>
            <w:rPr>
              <w:lang w:val="fr-FR"/>
            </w:rPr>
            <w:instrText xml:space="preserve"> TOC \o "1-3" \h \z \u </w:instrText>
          </w:r>
          <w:r>
            <w:rPr>
              <w:lang w:val="fr-FR"/>
            </w:rPr>
            <w:fldChar w:fldCharType="separate"/>
          </w:r>
          <w:hyperlink w:anchor="_Toc476298562" w:history="1">
            <w:r w:rsidR="00B835C3" w:rsidRPr="00494DA1">
              <w:rPr>
                <w:rStyle w:val="Lienhypertexte"/>
                <w:noProof/>
              </w:rPr>
              <w:t>Mise en contexte</w:t>
            </w:r>
            <w:r w:rsidR="00B835C3">
              <w:rPr>
                <w:noProof/>
                <w:webHidden/>
              </w:rPr>
              <w:tab/>
            </w:r>
            <w:r w:rsidR="00B835C3">
              <w:rPr>
                <w:noProof/>
                <w:webHidden/>
              </w:rPr>
              <w:fldChar w:fldCharType="begin"/>
            </w:r>
            <w:r w:rsidR="00B835C3">
              <w:rPr>
                <w:noProof/>
                <w:webHidden/>
              </w:rPr>
              <w:instrText xml:space="preserve"> PAGEREF _Toc476298562 \h </w:instrText>
            </w:r>
            <w:r w:rsidR="00B835C3">
              <w:rPr>
                <w:noProof/>
                <w:webHidden/>
              </w:rPr>
            </w:r>
            <w:r w:rsidR="00B835C3">
              <w:rPr>
                <w:noProof/>
                <w:webHidden/>
              </w:rPr>
              <w:fldChar w:fldCharType="separate"/>
            </w:r>
            <w:r w:rsidR="00555CC7">
              <w:rPr>
                <w:noProof/>
                <w:webHidden/>
              </w:rPr>
              <w:t>7</w:t>
            </w:r>
            <w:r w:rsidR="00B835C3">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63" w:history="1">
            <w:r w:rsidRPr="00494DA1">
              <w:rPr>
                <w:rStyle w:val="Lienhypertexte"/>
                <w:noProof/>
              </w:rPr>
              <w:t>Principes directeurs</w:t>
            </w:r>
            <w:r>
              <w:rPr>
                <w:noProof/>
                <w:webHidden/>
              </w:rPr>
              <w:tab/>
            </w:r>
            <w:r>
              <w:rPr>
                <w:noProof/>
                <w:webHidden/>
              </w:rPr>
              <w:fldChar w:fldCharType="begin"/>
            </w:r>
            <w:r>
              <w:rPr>
                <w:noProof/>
                <w:webHidden/>
              </w:rPr>
              <w:instrText xml:space="preserve"> PAGEREF _Toc476298563 \h </w:instrText>
            </w:r>
            <w:r>
              <w:rPr>
                <w:noProof/>
                <w:webHidden/>
              </w:rPr>
            </w:r>
            <w:r>
              <w:rPr>
                <w:noProof/>
                <w:webHidden/>
              </w:rPr>
              <w:fldChar w:fldCharType="separate"/>
            </w:r>
            <w:r w:rsidR="00555CC7">
              <w:rPr>
                <w:noProof/>
                <w:webHidden/>
              </w:rPr>
              <w:t>8</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64" w:history="1">
            <w:r w:rsidRPr="00494DA1">
              <w:rPr>
                <w:rStyle w:val="Lienhypertexte"/>
                <w:noProof/>
              </w:rPr>
              <w:t>Accessibilité universelle : pouvoir se déplacer dans un environnement inclusif</w:t>
            </w:r>
            <w:r>
              <w:rPr>
                <w:noProof/>
                <w:webHidden/>
              </w:rPr>
              <w:tab/>
            </w:r>
            <w:r>
              <w:rPr>
                <w:noProof/>
                <w:webHidden/>
              </w:rPr>
              <w:fldChar w:fldCharType="begin"/>
            </w:r>
            <w:r>
              <w:rPr>
                <w:noProof/>
                <w:webHidden/>
              </w:rPr>
              <w:instrText xml:space="preserve"> PAGEREF _Toc476298564 \h </w:instrText>
            </w:r>
            <w:r>
              <w:rPr>
                <w:noProof/>
                <w:webHidden/>
              </w:rPr>
            </w:r>
            <w:r>
              <w:rPr>
                <w:noProof/>
                <w:webHidden/>
              </w:rPr>
              <w:fldChar w:fldCharType="separate"/>
            </w:r>
            <w:r w:rsidR="00555CC7">
              <w:rPr>
                <w:noProof/>
                <w:webHidden/>
              </w:rPr>
              <w:t>8</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65" w:history="1">
            <w:r w:rsidRPr="00494DA1">
              <w:rPr>
                <w:rStyle w:val="Lienhypertexte"/>
                <w:noProof/>
              </w:rPr>
              <w:t>Principe de prudence</w:t>
            </w:r>
            <w:r>
              <w:rPr>
                <w:noProof/>
                <w:webHidden/>
              </w:rPr>
              <w:tab/>
            </w:r>
            <w:r>
              <w:rPr>
                <w:noProof/>
                <w:webHidden/>
              </w:rPr>
              <w:fldChar w:fldCharType="begin"/>
            </w:r>
            <w:r>
              <w:rPr>
                <w:noProof/>
                <w:webHidden/>
              </w:rPr>
              <w:instrText xml:space="preserve"> PAGEREF _Toc476298565 \h </w:instrText>
            </w:r>
            <w:r>
              <w:rPr>
                <w:noProof/>
                <w:webHidden/>
              </w:rPr>
            </w:r>
            <w:r>
              <w:rPr>
                <w:noProof/>
                <w:webHidden/>
              </w:rPr>
              <w:fldChar w:fldCharType="separate"/>
            </w:r>
            <w:r w:rsidR="00555CC7">
              <w:rPr>
                <w:noProof/>
                <w:webHidden/>
              </w:rPr>
              <w:t>9</w:t>
            </w:r>
            <w:r>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66" w:history="1">
            <w:r w:rsidRPr="00494DA1">
              <w:rPr>
                <w:rStyle w:val="Lienhypertexte"/>
                <w:noProof/>
              </w:rPr>
              <w:t>Aménagement, signalisation et entretien des infrastructures routières</w:t>
            </w:r>
            <w:r>
              <w:rPr>
                <w:noProof/>
                <w:webHidden/>
              </w:rPr>
              <w:tab/>
            </w:r>
            <w:r>
              <w:rPr>
                <w:noProof/>
                <w:webHidden/>
              </w:rPr>
              <w:fldChar w:fldCharType="begin"/>
            </w:r>
            <w:r>
              <w:rPr>
                <w:noProof/>
                <w:webHidden/>
              </w:rPr>
              <w:instrText xml:space="preserve"> PAGEREF _Toc476298566 \h </w:instrText>
            </w:r>
            <w:r>
              <w:rPr>
                <w:noProof/>
                <w:webHidden/>
              </w:rPr>
            </w:r>
            <w:r>
              <w:rPr>
                <w:noProof/>
                <w:webHidden/>
              </w:rPr>
              <w:fldChar w:fldCharType="separate"/>
            </w:r>
            <w:r w:rsidR="00555CC7">
              <w:rPr>
                <w:noProof/>
                <w:webHidden/>
              </w:rPr>
              <w:t>10</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67" w:history="1">
            <w:r w:rsidRPr="00494DA1">
              <w:rPr>
                <w:rStyle w:val="Lienhypertexte"/>
                <w:noProof/>
              </w:rPr>
              <w:t>Concertation</w:t>
            </w:r>
            <w:r>
              <w:rPr>
                <w:noProof/>
                <w:webHidden/>
              </w:rPr>
              <w:tab/>
            </w:r>
            <w:r>
              <w:rPr>
                <w:noProof/>
                <w:webHidden/>
              </w:rPr>
              <w:fldChar w:fldCharType="begin"/>
            </w:r>
            <w:r>
              <w:rPr>
                <w:noProof/>
                <w:webHidden/>
              </w:rPr>
              <w:instrText xml:space="preserve"> PAGEREF _Toc476298567 \h </w:instrText>
            </w:r>
            <w:r>
              <w:rPr>
                <w:noProof/>
                <w:webHidden/>
              </w:rPr>
            </w:r>
            <w:r>
              <w:rPr>
                <w:noProof/>
                <w:webHidden/>
              </w:rPr>
              <w:fldChar w:fldCharType="separate"/>
            </w:r>
            <w:r w:rsidR="00555CC7">
              <w:rPr>
                <w:noProof/>
                <w:webHidden/>
              </w:rPr>
              <w:t>10</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68" w:history="1">
            <w:r w:rsidRPr="00494DA1">
              <w:rPr>
                <w:rStyle w:val="Lienhypertexte"/>
                <w:noProof/>
              </w:rPr>
              <w:t>Aménagement</w:t>
            </w:r>
            <w:r>
              <w:rPr>
                <w:noProof/>
                <w:webHidden/>
              </w:rPr>
              <w:tab/>
            </w:r>
            <w:r>
              <w:rPr>
                <w:noProof/>
                <w:webHidden/>
              </w:rPr>
              <w:fldChar w:fldCharType="begin"/>
            </w:r>
            <w:r>
              <w:rPr>
                <w:noProof/>
                <w:webHidden/>
              </w:rPr>
              <w:instrText xml:space="preserve"> PAGEREF _Toc476298568 \h </w:instrText>
            </w:r>
            <w:r>
              <w:rPr>
                <w:noProof/>
                <w:webHidden/>
              </w:rPr>
            </w:r>
            <w:r>
              <w:rPr>
                <w:noProof/>
                <w:webHidden/>
              </w:rPr>
              <w:fldChar w:fldCharType="separate"/>
            </w:r>
            <w:r w:rsidR="00555CC7">
              <w:rPr>
                <w:noProof/>
                <w:webHidden/>
              </w:rPr>
              <w:t>10</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69" w:history="1">
            <w:r w:rsidRPr="00494DA1">
              <w:rPr>
                <w:rStyle w:val="Lienhypertexte"/>
                <w:noProof/>
              </w:rPr>
              <w:t>Carrefours giratoires</w:t>
            </w:r>
            <w:r>
              <w:rPr>
                <w:noProof/>
                <w:webHidden/>
              </w:rPr>
              <w:tab/>
            </w:r>
            <w:r>
              <w:rPr>
                <w:noProof/>
                <w:webHidden/>
              </w:rPr>
              <w:fldChar w:fldCharType="begin"/>
            </w:r>
            <w:r>
              <w:rPr>
                <w:noProof/>
                <w:webHidden/>
              </w:rPr>
              <w:instrText xml:space="preserve"> PAGEREF _Toc476298569 \h </w:instrText>
            </w:r>
            <w:r>
              <w:rPr>
                <w:noProof/>
                <w:webHidden/>
              </w:rPr>
            </w:r>
            <w:r>
              <w:rPr>
                <w:noProof/>
                <w:webHidden/>
              </w:rPr>
              <w:fldChar w:fldCharType="separate"/>
            </w:r>
            <w:r w:rsidR="00555CC7">
              <w:rPr>
                <w:noProof/>
                <w:webHidden/>
              </w:rPr>
              <w:t>10</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70" w:history="1">
            <w:r w:rsidRPr="00494DA1">
              <w:rPr>
                <w:rStyle w:val="Lienhypertexte"/>
                <w:noProof/>
              </w:rPr>
              <w:t>Trottoirs et mobilier urbain</w:t>
            </w:r>
            <w:r>
              <w:rPr>
                <w:noProof/>
                <w:webHidden/>
              </w:rPr>
              <w:tab/>
            </w:r>
            <w:r>
              <w:rPr>
                <w:noProof/>
                <w:webHidden/>
              </w:rPr>
              <w:fldChar w:fldCharType="begin"/>
            </w:r>
            <w:r>
              <w:rPr>
                <w:noProof/>
                <w:webHidden/>
              </w:rPr>
              <w:instrText xml:space="preserve"> PAGEREF _Toc476298570 \h </w:instrText>
            </w:r>
            <w:r>
              <w:rPr>
                <w:noProof/>
                <w:webHidden/>
              </w:rPr>
            </w:r>
            <w:r>
              <w:rPr>
                <w:noProof/>
                <w:webHidden/>
              </w:rPr>
              <w:fldChar w:fldCharType="separate"/>
            </w:r>
            <w:r w:rsidR="00555CC7">
              <w:rPr>
                <w:noProof/>
                <w:webHidden/>
              </w:rPr>
              <w:t>11</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71" w:history="1">
            <w:r w:rsidRPr="00494DA1">
              <w:rPr>
                <w:rStyle w:val="Lienhypertexte"/>
                <w:noProof/>
              </w:rPr>
              <w:t>Rues piétonnes ou partagées</w:t>
            </w:r>
            <w:r>
              <w:rPr>
                <w:noProof/>
                <w:webHidden/>
              </w:rPr>
              <w:tab/>
            </w:r>
            <w:r>
              <w:rPr>
                <w:noProof/>
                <w:webHidden/>
              </w:rPr>
              <w:fldChar w:fldCharType="begin"/>
            </w:r>
            <w:r>
              <w:rPr>
                <w:noProof/>
                <w:webHidden/>
              </w:rPr>
              <w:instrText xml:space="preserve"> PAGEREF _Toc476298571 \h </w:instrText>
            </w:r>
            <w:r>
              <w:rPr>
                <w:noProof/>
                <w:webHidden/>
              </w:rPr>
            </w:r>
            <w:r>
              <w:rPr>
                <w:noProof/>
                <w:webHidden/>
              </w:rPr>
              <w:fldChar w:fldCharType="separate"/>
            </w:r>
            <w:r w:rsidR="00555CC7">
              <w:rPr>
                <w:noProof/>
                <w:webHidden/>
              </w:rPr>
              <w:t>11</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72" w:history="1">
            <w:r w:rsidRPr="00494DA1">
              <w:rPr>
                <w:rStyle w:val="Lienhypertexte"/>
                <w:noProof/>
              </w:rPr>
              <w:t>Signalisation</w:t>
            </w:r>
            <w:r>
              <w:rPr>
                <w:noProof/>
                <w:webHidden/>
              </w:rPr>
              <w:tab/>
            </w:r>
            <w:r>
              <w:rPr>
                <w:noProof/>
                <w:webHidden/>
              </w:rPr>
              <w:fldChar w:fldCharType="begin"/>
            </w:r>
            <w:r>
              <w:rPr>
                <w:noProof/>
                <w:webHidden/>
              </w:rPr>
              <w:instrText xml:space="preserve"> PAGEREF _Toc476298572 \h </w:instrText>
            </w:r>
            <w:r>
              <w:rPr>
                <w:noProof/>
                <w:webHidden/>
              </w:rPr>
            </w:r>
            <w:r>
              <w:rPr>
                <w:noProof/>
                <w:webHidden/>
              </w:rPr>
              <w:fldChar w:fldCharType="separate"/>
            </w:r>
            <w:r w:rsidR="00555CC7">
              <w:rPr>
                <w:noProof/>
                <w:webHidden/>
              </w:rPr>
              <w:t>12</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73" w:history="1">
            <w:r w:rsidRPr="00494DA1">
              <w:rPr>
                <w:rStyle w:val="Lienhypertexte"/>
                <w:noProof/>
              </w:rPr>
              <w:t>Clarté</w:t>
            </w:r>
            <w:r>
              <w:rPr>
                <w:noProof/>
                <w:webHidden/>
              </w:rPr>
              <w:tab/>
            </w:r>
            <w:r>
              <w:rPr>
                <w:noProof/>
                <w:webHidden/>
              </w:rPr>
              <w:fldChar w:fldCharType="begin"/>
            </w:r>
            <w:r>
              <w:rPr>
                <w:noProof/>
                <w:webHidden/>
              </w:rPr>
              <w:instrText xml:space="preserve"> PAGEREF _Toc476298573 \h </w:instrText>
            </w:r>
            <w:r>
              <w:rPr>
                <w:noProof/>
                <w:webHidden/>
              </w:rPr>
            </w:r>
            <w:r>
              <w:rPr>
                <w:noProof/>
                <w:webHidden/>
              </w:rPr>
              <w:fldChar w:fldCharType="separate"/>
            </w:r>
            <w:r w:rsidR="00555CC7">
              <w:rPr>
                <w:noProof/>
                <w:webHidden/>
              </w:rPr>
              <w:t>12</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74" w:history="1">
            <w:r w:rsidRPr="00494DA1">
              <w:rPr>
                <w:rStyle w:val="Lienhypertexte"/>
                <w:noProof/>
              </w:rPr>
              <w:t>Feux sonores</w:t>
            </w:r>
            <w:r>
              <w:rPr>
                <w:noProof/>
                <w:webHidden/>
              </w:rPr>
              <w:tab/>
            </w:r>
            <w:r>
              <w:rPr>
                <w:noProof/>
                <w:webHidden/>
              </w:rPr>
              <w:fldChar w:fldCharType="begin"/>
            </w:r>
            <w:r>
              <w:rPr>
                <w:noProof/>
                <w:webHidden/>
              </w:rPr>
              <w:instrText xml:space="preserve"> PAGEREF _Toc476298574 \h </w:instrText>
            </w:r>
            <w:r>
              <w:rPr>
                <w:noProof/>
                <w:webHidden/>
              </w:rPr>
            </w:r>
            <w:r>
              <w:rPr>
                <w:noProof/>
                <w:webHidden/>
              </w:rPr>
              <w:fldChar w:fldCharType="separate"/>
            </w:r>
            <w:r w:rsidR="00555CC7">
              <w:rPr>
                <w:noProof/>
                <w:webHidden/>
              </w:rPr>
              <w:t>12</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75" w:history="1">
            <w:r w:rsidRPr="00494DA1">
              <w:rPr>
                <w:rStyle w:val="Lienhypertexte"/>
                <w:noProof/>
              </w:rPr>
              <w:t>Temps de traversée</w:t>
            </w:r>
            <w:r>
              <w:rPr>
                <w:noProof/>
                <w:webHidden/>
              </w:rPr>
              <w:tab/>
            </w:r>
            <w:r>
              <w:rPr>
                <w:noProof/>
                <w:webHidden/>
              </w:rPr>
              <w:fldChar w:fldCharType="begin"/>
            </w:r>
            <w:r>
              <w:rPr>
                <w:noProof/>
                <w:webHidden/>
              </w:rPr>
              <w:instrText xml:space="preserve"> PAGEREF _Toc476298575 \h </w:instrText>
            </w:r>
            <w:r>
              <w:rPr>
                <w:noProof/>
                <w:webHidden/>
              </w:rPr>
            </w:r>
            <w:r>
              <w:rPr>
                <w:noProof/>
                <w:webHidden/>
              </w:rPr>
              <w:fldChar w:fldCharType="separate"/>
            </w:r>
            <w:r w:rsidR="00555CC7">
              <w:rPr>
                <w:noProof/>
                <w:webHidden/>
              </w:rPr>
              <w:t>12</w:t>
            </w:r>
            <w:r>
              <w:rPr>
                <w:noProof/>
                <w:webHidden/>
              </w:rPr>
              <w:fldChar w:fldCharType="end"/>
            </w:r>
          </w:hyperlink>
        </w:p>
        <w:p w:rsidR="00B835C3" w:rsidRDefault="00B835C3">
          <w:pPr>
            <w:pStyle w:val="TM3"/>
            <w:tabs>
              <w:tab w:val="right" w:leader="dot" w:pos="10070"/>
            </w:tabs>
            <w:rPr>
              <w:rFonts w:asciiTheme="minorHAnsi" w:eastAsiaTheme="minorEastAsia" w:hAnsiTheme="minorHAnsi"/>
              <w:noProof/>
              <w:sz w:val="22"/>
              <w:lang w:eastAsia="fr-CA"/>
            </w:rPr>
          </w:pPr>
          <w:hyperlink w:anchor="_Toc476298576" w:history="1">
            <w:r w:rsidRPr="00494DA1">
              <w:rPr>
                <w:rStyle w:val="Lienhypertexte"/>
                <w:noProof/>
              </w:rPr>
              <w:t>Stationnement réservé aux personnes handicapées</w:t>
            </w:r>
            <w:r>
              <w:rPr>
                <w:noProof/>
                <w:webHidden/>
              </w:rPr>
              <w:tab/>
            </w:r>
            <w:r>
              <w:rPr>
                <w:noProof/>
                <w:webHidden/>
              </w:rPr>
              <w:fldChar w:fldCharType="begin"/>
            </w:r>
            <w:r>
              <w:rPr>
                <w:noProof/>
                <w:webHidden/>
              </w:rPr>
              <w:instrText xml:space="preserve"> PAGEREF _Toc476298576 \h </w:instrText>
            </w:r>
            <w:r>
              <w:rPr>
                <w:noProof/>
                <w:webHidden/>
              </w:rPr>
            </w:r>
            <w:r>
              <w:rPr>
                <w:noProof/>
                <w:webHidden/>
              </w:rPr>
              <w:fldChar w:fldCharType="separate"/>
            </w:r>
            <w:r w:rsidR="00555CC7">
              <w:rPr>
                <w:noProof/>
                <w:webHidden/>
              </w:rPr>
              <w:t>12</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77" w:history="1">
            <w:r w:rsidRPr="00494DA1">
              <w:rPr>
                <w:rStyle w:val="Lienhypertexte"/>
                <w:noProof/>
              </w:rPr>
              <w:t>Déneigement</w:t>
            </w:r>
            <w:r>
              <w:rPr>
                <w:noProof/>
                <w:webHidden/>
              </w:rPr>
              <w:tab/>
            </w:r>
            <w:r>
              <w:rPr>
                <w:noProof/>
                <w:webHidden/>
              </w:rPr>
              <w:fldChar w:fldCharType="begin"/>
            </w:r>
            <w:r>
              <w:rPr>
                <w:noProof/>
                <w:webHidden/>
              </w:rPr>
              <w:instrText xml:space="preserve"> PAGEREF _Toc476298577 \h </w:instrText>
            </w:r>
            <w:r>
              <w:rPr>
                <w:noProof/>
                <w:webHidden/>
              </w:rPr>
            </w:r>
            <w:r>
              <w:rPr>
                <w:noProof/>
                <w:webHidden/>
              </w:rPr>
              <w:fldChar w:fldCharType="separate"/>
            </w:r>
            <w:r w:rsidR="00555CC7">
              <w:rPr>
                <w:noProof/>
                <w:webHidden/>
              </w:rPr>
              <w:t>13</w:t>
            </w:r>
            <w:r>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78" w:history="1">
            <w:r w:rsidRPr="00494DA1">
              <w:rPr>
                <w:rStyle w:val="Lienhypertexte"/>
                <w:noProof/>
              </w:rPr>
              <w:t>Cyclistes</w:t>
            </w:r>
            <w:r>
              <w:rPr>
                <w:noProof/>
                <w:webHidden/>
              </w:rPr>
              <w:tab/>
            </w:r>
            <w:r>
              <w:rPr>
                <w:noProof/>
                <w:webHidden/>
              </w:rPr>
              <w:fldChar w:fldCharType="begin"/>
            </w:r>
            <w:r>
              <w:rPr>
                <w:noProof/>
                <w:webHidden/>
              </w:rPr>
              <w:instrText xml:space="preserve"> PAGEREF _Toc476298578 \h </w:instrText>
            </w:r>
            <w:r>
              <w:rPr>
                <w:noProof/>
                <w:webHidden/>
              </w:rPr>
            </w:r>
            <w:r>
              <w:rPr>
                <w:noProof/>
                <w:webHidden/>
              </w:rPr>
              <w:fldChar w:fldCharType="separate"/>
            </w:r>
            <w:r w:rsidR="00555CC7">
              <w:rPr>
                <w:noProof/>
                <w:webHidden/>
              </w:rPr>
              <w:t>13</w:t>
            </w:r>
            <w:r>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79" w:history="1">
            <w:r w:rsidRPr="00494DA1">
              <w:rPr>
                <w:rStyle w:val="Lienhypertexte"/>
                <w:noProof/>
              </w:rPr>
              <w:t>Jeunes conducteurs et éducation à la sécurité routière</w:t>
            </w:r>
            <w:r>
              <w:rPr>
                <w:noProof/>
                <w:webHidden/>
              </w:rPr>
              <w:tab/>
            </w:r>
            <w:r>
              <w:rPr>
                <w:noProof/>
                <w:webHidden/>
              </w:rPr>
              <w:fldChar w:fldCharType="begin"/>
            </w:r>
            <w:r>
              <w:rPr>
                <w:noProof/>
                <w:webHidden/>
              </w:rPr>
              <w:instrText xml:space="preserve"> PAGEREF _Toc476298579 \h </w:instrText>
            </w:r>
            <w:r>
              <w:rPr>
                <w:noProof/>
                <w:webHidden/>
              </w:rPr>
            </w:r>
            <w:r>
              <w:rPr>
                <w:noProof/>
                <w:webHidden/>
              </w:rPr>
              <w:fldChar w:fldCharType="separate"/>
            </w:r>
            <w:r w:rsidR="00555CC7">
              <w:rPr>
                <w:noProof/>
                <w:webHidden/>
              </w:rPr>
              <w:t>14</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0" w:history="1">
            <w:r w:rsidRPr="00494DA1">
              <w:rPr>
                <w:rStyle w:val="Lienhypertexte"/>
                <w:noProof/>
              </w:rPr>
              <w:t>Éducation de l’ensemble des usagers de la route</w:t>
            </w:r>
            <w:r>
              <w:rPr>
                <w:noProof/>
                <w:webHidden/>
              </w:rPr>
              <w:tab/>
            </w:r>
            <w:r>
              <w:rPr>
                <w:noProof/>
                <w:webHidden/>
              </w:rPr>
              <w:fldChar w:fldCharType="begin"/>
            </w:r>
            <w:r>
              <w:rPr>
                <w:noProof/>
                <w:webHidden/>
              </w:rPr>
              <w:instrText xml:space="preserve"> PAGEREF _Toc476298580 \h </w:instrText>
            </w:r>
            <w:r>
              <w:rPr>
                <w:noProof/>
                <w:webHidden/>
              </w:rPr>
            </w:r>
            <w:r>
              <w:rPr>
                <w:noProof/>
                <w:webHidden/>
              </w:rPr>
              <w:fldChar w:fldCharType="separate"/>
            </w:r>
            <w:r w:rsidR="00555CC7">
              <w:rPr>
                <w:noProof/>
                <w:webHidden/>
              </w:rPr>
              <w:t>14</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1" w:history="1">
            <w:r w:rsidRPr="00494DA1">
              <w:rPr>
                <w:rStyle w:val="Lienhypertexte"/>
                <w:noProof/>
              </w:rPr>
              <w:t>Campagnes de sensibilisation à la courtoisie de la SAAQ</w:t>
            </w:r>
            <w:r>
              <w:rPr>
                <w:noProof/>
                <w:webHidden/>
              </w:rPr>
              <w:tab/>
            </w:r>
            <w:r>
              <w:rPr>
                <w:noProof/>
                <w:webHidden/>
              </w:rPr>
              <w:fldChar w:fldCharType="begin"/>
            </w:r>
            <w:r>
              <w:rPr>
                <w:noProof/>
                <w:webHidden/>
              </w:rPr>
              <w:instrText xml:space="preserve"> PAGEREF _Toc476298581 \h </w:instrText>
            </w:r>
            <w:r>
              <w:rPr>
                <w:noProof/>
                <w:webHidden/>
              </w:rPr>
            </w:r>
            <w:r>
              <w:rPr>
                <w:noProof/>
                <w:webHidden/>
              </w:rPr>
              <w:fldChar w:fldCharType="separate"/>
            </w:r>
            <w:r w:rsidR="00555CC7">
              <w:rPr>
                <w:noProof/>
                <w:webHidden/>
              </w:rPr>
              <w:t>14</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2" w:history="1">
            <w:r w:rsidRPr="00494DA1">
              <w:rPr>
                <w:rStyle w:val="Lienhypertexte"/>
                <w:noProof/>
              </w:rPr>
              <w:t>Apprentissage à la mobilité</w:t>
            </w:r>
            <w:r>
              <w:rPr>
                <w:noProof/>
                <w:webHidden/>
              </w:rPr>
              <w:tab/>
            </w:r>
            <w:r>
              <w:rPr>
                <w:noProof/>
                <w:webHidden/>
              </w:rPr>
              <w:fldChar w:fldCharType="begin"/>
            </w:r>
            <w:r>
              <w:rPr>
                <w:noProof/>
                <w:webHidden/>
              </w:rPr>
              <w:instrText xml:space="preserve"> PAGEREF _Toc476298582 \h </w:instrText>
            </w:r>
            <w:r>
              <w:rPr>
                <w:noProof/>
                <w:webHidden/>
              </w:rPr>
            </w:r>
            <w:r>
              <w:rPr>
                <w:noProof/>
                <w:webHidden/>
              </w:rPr>
              <w:fldChar w:fldCharType="separate"/>
            </w:r>
            <w:r w:rsidR="00555CC7">
              <w:rPr>
                <w:noProof/>
                <w:webHidden/>
              </w:rPr>
              <w:t>15</w:t>
            </w:r>
            <w:r>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83" w:history="1">
            <w:r w:rsidRPr="00494DA1">
              <w:rPr>
                <w:rStyle w:val="Lienhypertexte"/>
                <w:noProof/>
              </w:rPr>
              <w:t>Piétons</w:t>
            </w:r>
            <w:r>
              <w:rPr>
                <w:noProof/>
                <w:webHidden/>
              </w:rPr>
              <w:tab/>
            </w:r>
            <w:r>
              <w:rPr>
                <w:noProof/>
                <w:webHidden/>
              </w:rPr>
              <w:fldChar w:fldCharType="begin"/>
            </w:r>
            <w:r>
              <w:rPr>
                <w:noProof/>
                <w:webHidden/>
              </w:rPr>
              <w:instrText xml:space="preserve"> PAGEREF _Toc476298583 \h </w:instrText>
            </w:r>
            <w:r>
              <w:rPr>
                <w:noProof/>
                <w:webHidden/>
              </w:rPr>
            </w:r>
            <w:r>
              <w:rPr>
                <w:noProof/>
                <w:webHidden/>
              </w:rPr>
              <w:fldChar w:fldCharType="separate"/>
            </w:r>
            <w:r w:rsidR="00555CC7">
              <w:rPr>
                <w:noProof/>
                <w:webHidden/>
              </w:rPr>
              <w:t>15</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4" w:history="1">
            <w:r w:rsidRPr="00494DA1">
              <w:rPr>
                <w:rStyle w:val="Lienhypertexte"/>
                <w:noProof/>
              </w:rPr>
              <w:t>Clarification du statut de piéton</w:t>
            </w:r>
            <w:r>
              <w:rPr>
                <w:noProof/>
                <w:webHidden/>
              </w:rPr>
              <w:tab/>
            </w:r>
            <w:r>
              <w:rPr>
                <w:noProof/>
                <w:webHidden/>
              </w:rPr>
              <w:fldChar w:fldCharType="begin"/>
            </w:r>
            <w:r>
              <w:rPr>
                <w:noProof/>
                <w:webHidden/>
              </w:rPr>
              <w:instrText xml:space="preserve"> PAGEREF _Toc476298584 \h </w:instrText>
            </w:r>
            <w:r>
              <w:rPr>
                <w:noProof/>
                <w:webHidden/>
              </w:rPr>
            </w:r>
            <w:r>
              <w:rPr>
                <w:noProof/>
                <w:webHidden/>
              </w:rPr>
              <w:fldChar w:fldCharType="separate"/>
            </w:r>
            <w:r w:rsidR="00555CC7">
              <w:rPr>
                <w:noProof/>
                <w:webHidden/>
              </w:rPr>
              <w:t>15</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5" w:history="1">
            <w:r w:rsidRPr="00494DA1">
              <w:rPr>
                <w:rStyle w:val="Lienhypertexte"/>
                <w:noProof/>
              </w:rPr>
              <w:t>Virage à droite au feu rouge</w:t>
            </w:r>
            <w:r>
              <w:rPr>
                <w:noProof/>
                <w:webHidden/>
              </w:rPr>
              <w:tab/>
            </w:r>
            <w:r>
              <w:rPr>
                <w:noProof/>
                <w:webHidden/>
              </w:rPr>
              <w:fldChar w:fldCharType="begin"/>
            </w:r>
            <w:r>
              <w:rPr>
                <w:noProof/>
                <w:webHidden/>
              </w:rPr>
              <w:instrText xml:space="preserve"> PAGEREF _Toc476298585 \h </w:instrText>
            </w:r>
            <w:r>
              <w:rPr>
                <w:noProof/>
                <w:webHidden/>
              </w:rPr>
            </w:r>
            <w:r>
              <w:rPr>
                <w:noProof/>
                <w:webHidden/>
              </w:rPr>
              <w:fldChar w:fldCharType="separate"/>
            </w:r>
            <w:r w:rsidR="00555CC7">
              <w:rPr>
                <w:noProof/>
                <w:webHidden/>
              </w:rPr>
              <w:t>15</w:t>
            </w:r>
            <w:r>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86" w:history="1">
            <w:r w:rsidRPr="00494DA1">
              <w:rPr>
                <w:rStyle w:val="Lienhypertexte"/>
                <w:noProof/>
              </w:rPr>
              <w:t>Sécurité des véhicules</w:t>
            </w:r>
            <w:r>
              <w:rPr>
                <w:noProof/>
                <w:webHidden/>
              </w:rPr>
              <w:tab/>
            </w:r>
            <w:r>
              <w:rPr>
                <w:noProof/>
                <w:webHidden/>
              </w:rPr>
              <w:fldChar w:fldCharType="begin"/>
            </w:r>
            <w:r>
              <w:rPr>
                <w:noProof/>
                <w:webHidden/>
              </w:rPr>
              <w:instrText xml:space="preserve"> PAGEREF _Toc476298586 \h </w:instrText>
            </w:r>
            <w:r>
              <w:rPr>
                <w:noProof/>
                <w:webHidden/>
              </w:rPr>
            </w:r>
            <w:r>
              <w:rPr>
                <w:noProof/>
                <w:webHidden/>
              </w:rPr>
              <w:fldChar w:fldCharType="separate"/>
            </w:r>
            <w:r w:rsidR="00555CC7">
              <w:rPr>
                <w:noProof/>
                <w:webHidden/>
              </w:rPr>
              <w:t>16</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7" w:history="1">
            <w:r w:rsidRPr="00494DA1">
              <w:rPr>
                <w:rStyle w:val="Lienhypertexte"/>
                <w:noProof/>
              </w:rPr>
              <w:t>Véhicules électriques et hybrides</w:t>
            </w:r>
            <w:r>
              <w:rPr>
                <w:noProof/>
                <w:webHidden/>
              </w:rPr>
              <w:tab/>
            </w:r>
            <w:r>
              <w:rPr>
                <w:noProof/>
                <w:webHidden/>
              </w:rPr>
              <w:fldChar w:fldCharType="begin"/>
            </w:r>
            <w:r>
              <w:rPr>
                <w:noProof/>
                <w:webHidden/>
              </w:rPr>
              <w:instrText xml:space="preserve"> PAGEREF _Toc476298587 \h </w:instrText>
            </w:r>
            <w:r>
              <w:rPr>
                <w:noProof/>
                <w:webHidden/>
              </w:rPr>
            </w:r>
            <w:r>
              <w:rPr>
                <w:noProof/>
                <w:webHidden/>
              </w:rPr>
              <w:fldChar w:fldCharType="separate"/>
            </w:r>
            <w:r w:rsidR="00555CC7">
              <w:rPr>
                <w:noProof/>
                <w:webHidden/>
              </w:rPr>
              <w:t>16</w:t>
            </w:r>
            <w:r>
              <w:rPr>
                <w:noProof/>
                <w:webHidden/>
              </w:rPr>
              <w:fldChar w:fldCharType="end"/>
            </w:r>
          </w:hyperlink>
        </w:p>
        <w:p w:rsidR="00B835C3" w:rsidRDefault="00B835C3">
          <w:pPr>
            <w:pStyle w:val="TM2"/>
            <w:tabs>
              <w:tab w:val="right" w:leader="dot" w:pos="10070"/>
            </w:tabs>
            <w:rPr>
              <w:rFonts w:asciiTheme="minorHAnsi" w:eastAsiaTheme="minorEastAsia" w:hAnsiTheme="minorHAnsi"/>
              <w:noProof/>
              <w:sz w:val="22"/>
              <w:lang w:eastAsia="fr-CA"/>
            </w:rPr>
          </w:pPr>
          <w:hyperlink w:anchor="_Toc476298588" w:history="1">
            <w:r w:rsidRPr="00494DA1">
              <w:rPr>
                <w:rStyle w:val="Lienhypertexte"/>
                <w:noProof/>
              </w:rPr>
              <w:t>Accessibilité des bornes de recharge</w:t>
            </w:r>
            <w:r>
              <w:rPr>
                <w:noProof/>
                <w:webHidden/>
              </w:rPr>
              <w:tab/>
            </w:r>
            <w:r>
              <w:rPr>
                <w:noProof/>
                <w:webHidden/>
              </w:rPr>
              <w:fldChar w:fldCharType="begin"/>
            </w:r>
            <w:r>
              <w:rPr>
                <w:noProof/>
                <w:webHidden/>
              </w:rPr>
              <w:instrText xml:space="preserve"> PAGEREF _Toc476298588 \h </w:instrText>
            </w:r>
            <w:r>
              <w:rPr>
                <w:noProof/>
                <w:webHidden/>
              </w:rPr>
            </w:r>
            <w:r>
              <w:rPr>
                <w:noProof/>
                <w:webHidden/>
              </w:rPr>
              <w:fldChar w:fldCharType="separate"/>
            </w:r>
            <w:r w:rsidR="00555CC7">
              <w:rPr>
                <w:noProof/>
                <w:webHidden/>
              </w:rPr>
              <w:t>16</w:t>
            </w:r>
            <w:r>
              <w:rPr>
                <w:noProof/>
                <w:webHidden/>
              </w:rPr>
              <w:fldChar w:fldCharType="end"/>
            </w:r>
          </w:hyperlink>
        </w:p>
        <w:p w:rsidR="00B835C3" w:rsidRDefault="00B835C3">
          <w:pPr>
            <w:pStyle w:val="TM1"/>
            <w:tabs>
              <w:tab w:val="right" w:leader="dot" w:pos="10070"/>
            </w:tabs>
            <w:rPr>
              <w:rFonts w:asciiTheme="minorHAnsi" w:eastAsiaTheme="minorEastAsia" w:hAnsiTheme="minorHAnsi"/>
              <w:noProof/>
              <w:sz w:val="22"/>
              <w:lang w:eastAsia="fr-CA"/>
            </w:rPr>
          </w:pPr>
          <w:hyperlink w:anchor="_Toc476298589" w:history="1">
            <w:r w:rsidRPr="00494DA1">
              <w:rPr>
                <w:rStyle w:val="Lienhypertexte"/>
                <w:noProof/>
              </w:rPr>
              <w:t>Conclusion</w:t>
            </w:r>
            <w:r>
              <w:rPr>
                <w:noProof/>
                <w:webHidden/>
              </w:rPr>
              <w:tab/>
            </w:r>
            <w:r>
              <w:rPr>
                <w:noProof/>
                <w:webHidden/>
              </w:rPr>
              <w:fldChar w:fldCharType="begin"/>
            </w:r>
            <w:r>
              <w:rPr>
                <w:noProof/>
                <w:webHidden/>
              </w:rPr>
              <w:instrText xml:space="preserve"> PAGEREF _Toc476298589 \h </w:instrText>
            </w:r>
            <w:r>
              <w:rPr>
                <w:noProof/>
                <w:webHidden/>
              </w:rPr>
            </w:r>
            <w:r>
              <w:rPr>
                <w:noProof/>
                <w:webHidden/>
              </w:rPr>
              <w:fldChar w:fldCharType="separate"/>
            </w:r>
            <w:r w:rsidR="00555CC7">
              <w:rPr>
                <w:noProof/>
                <w:webHidden/>
              </w:rPr>
              <w:t>17</w:t>
            </w:r>
            <w:r>
              <w:rPr>
                <w:noProof/>
                <w:webHidden/>
              </w:rPr>
              <w:fldChar w:fldCharType="end"/>
            </w:r>
          </w:hyperlink>
        </w:p>
        <w:p w:rsidR="00DE7471" w:rsidRDefault="00DE7471">
          <w:pPr>
            <w:rPr>
              <w:lang w:val="fr-FR"/>
            </w:rPr>
          </w:pPr>
          <w:r>
            <w:rPr>
              <w:lang w:val="fr-FR"/>
            </w:rPr>
            <w:fldChar w:fldCharType="end"/>
          </w:r>
        </w:p>
      </w:sdtContent>
    </w:sdt>
    <w:p w:rsidR="000621B9" w:rsidRDefault="000621B9">
      <w:pPr>
        <w:spacing w:after="200"/>
        <w:rPr>
          <w:b/>
        </w:rPr>
      </w:pPr>
      <w:r>
        <w:rPr>
          <w:b/>
        </w:rPr>
        <w:lastRenderedPageBreak/>
        <w:br w:type="page"/>
      </w:r>
    </w:p>
    <w:p w:rsidR="00AA3CB7" w:rsidRDefault="00BF44C4" w:rsidP="003667E2">
      <w:pPr>
        <w:pStyle w:val="Titre1"/>
        <w:spacing w:line="23" w:lineRule="atLeast"/>
      </w:pPr>
      <w:bookmarkStart w:id="2" w:name="_Toc476298562"/>
      <w:r>
        <w:lastRenderedPageBreak/>
        <w:t>Mise en c</w:t>
      </w:r>
      <w:r w:rsidR="00BA6988">
        <w:t>ontexte</w:t>
      </w:r>
      <w:bookmarkEnd w:id="2"/>
    </w:p>
    <w:p w:rsidR="00513545" w:rsidRDefault="00513545" w:rsidP="003667E2">
      <w:pPr>
        <w:spacing w:line="23" w:lineRule="atLeast"/>
        <w:rPr>
          <w:rFonts w:eastAsia="Calibri" w:cs="Arial"/>
        </w:rPr>
      </w:pPr>
    </w:p>
    <w:p w:rsidR="00513545" w:rsidRDefault="00513545" w:rsidP="003667E2">
      <w:pPr>
        <w:spacing w:line="23" w:lineRule="atLeast"/>
        <w:rPr>
          <w:rFonts w:eastAsia="Calibri" w:cs="Arial"/>
        </w:rPr>
      </w:pPr>
      <w:r>
        <w:rPr>
          <w:rFonts w:eastAsia="Calibri" w:cs="Arial"/>
        </w:rPr>
        <w:t>La COPHAN se saisit de l’opportunité de participer à la consultation sur la sécurité routière pour porter à l’attention de la SAAQ, du ministre et du public plusieurs enjeux touchant le droit à l’égalité des personnes ayant des limitations fonctionnelles, notamment en ce qui concerne leurs déplacements.</w:t>
      </w:r>
    </w:p>
    <w:p w:rsidR="00513545" w:rsidRDefault="00513545" w:rsidP="003667E2">
      <w:pPr>
        <w:spacing w:line="23" w:lineRule="atLeast"/>
        <w:rPr>
          <w:rFonts w:eastAsia="Calibri" w:cs="Arial"/>
        </w:rPr>
      </w:pPr>
    </w:p>
    <w:p w:rsidR="00513545" w:rsidRDefault="00513545" w:rsidP="003667E2">
      <w:pPr>
        <w:spacing w:line="23" w:lineRule="atLeast"/>
        <w:rPr>
          <w:rFonts w:eastAsia="Calibri" w:cs="Arial"/>
        </w:rPr>
      </w:pPr>
      <w:r>
        <w:rPr>
          <w:rFonts w:eastAsia="Calibri" w:cs="Arial"/>
        </w:rPr>
        <w:t>Cette démarche s’inscrit dans la logique de participation à la prise de décision prônée au Québec, tel que soutenue, entre autres, dans</w:t>
      </w:r>
      <w:r w:rsidRPr="002D5790">
        <w:rPr>
          <w:rFonts w:eastAsia="Calibri" w:cs="Arial"/>
        </w:rPr>
        <w:t xml:space="preserve"> </w:t>
      </w:r>
      <w:r>
        <w:rPr>
          <w:rFonts w:eastAsia="Calibri" w:cs="Arial"/>
        </w:rPr>
        <w:t xml:space="preserve">l’article 6 </w:t>
      </w:r>
      <w:r>
        <w:rPr>
          <w:rFonts w:cs="Arial"/>
        </w:rPr>
        <w:t>e)</w:t>
      </w:r>
      <w:r>
        <w:rPr>
          <w:rFonts w:eastAsia="Calibri" w:cs="Arial"/>
        </w:rPr>
        <w:t xml:space="preserve"> de la </w:t>
      </w:r>
      <w:r w:rsidRPr="002D5790">
        <w:rPr>
          <w:rFonts w:eastAsia="Calibri" w:cs="Arial"/>
          <w:i/>
        </w:rPr>
        <w:t>Loi sur le développement durable</w:t>
      </w:r>
      <w:r>
        <w:rPr>
          <w:rStyle w:val="Appelnotedebasdep"/>
          <w:rFonts w:cs="Arial"/>
          <w:i/>
        </w:rPr>
        <w:footnoteReference w:id="1"/>
      </w:r>
      <w:r w:rsidRPr="002D5790">
        <w:rPr>
          <w:rFonts w:eastAsia="Calibri" w:cs="Arial"/>
          <w:i/>
        </w:rPr>
        <w:t xml:space="preserve"> </w:t>
      </w:r>
      <w:r>
        <w:rPr>
          <w:rFonts w:eastAsia="Calibri" w:cs="Arial"/>
        </w:rPr>
        <w:t>ainsi que dans l’article 1</w:t>
      </w:r>
      <w:r w:rsidR="003D58DD">
        <w:rPr>
          <w:rFonts w:eastAsia="Calibri" w:cs="Arial"/>
        </w:rPr>
        <w:t>,</w:t>
      </w:r>
      <w:r>
        <w:rPr>
          <w:rFonts w:eastAsia="Calibri" w:cs="Arial"/>
        </w:rPr>
        <w:t>2</w:t>
      </w:r>
      <w:r w:rsidR="003D58DD">
        <w:rPr>
          <w:rFonts w:eastAsia="Calibri" w:cs="Arial"/>
        </w:rPr>
        <w:t> </w:t>
      </w:r>
      <w:r>
        <w:rPr>
          <w:rFonts w:eastAsia="Calibri" w:cs="Arial"/>
        </w:rPr>
        <w:t>b</w:t>
      </w:r>
      <w:r>
        <w:rPr>
          <w:rFonts w:cs="Arial"/>
        </w:rPr>
        <w:t>)</w:t>
      </w:r>
      <w:r>
        <w:rPr>
          <w:rFonts w:eastAsia="Calibri" w:cs="Arial"/>
        </w:rPr>
        <w:t xml:space="preserve"> de la </w:t>
      </w:r>
      <w:r w:rsidRPr="002D5790">
        <w:rPr>
          <w:rFonts w:eastAsia="Calibri" w:cs="Arial"/>
          <w:i/>
        </w:rPr>
        <w:t xml:space="preserve">Loi assurant l’exercice des droits des personnes handicapées </w:t>
      </w:r>
      <w:r>
        <w:rPr>
          <w:rFonts w:eastAsia="Calibri" w:cs="Arial"/>
          <w:i/>
        </w:rPr>
        <w:t>en vue de leur intégration scolaire, professionnelle et sociale</w:t>
      </w:r>
      <w:r>
        <w:rPr>
          <w:rStyle w:val="Appelnotedebasdep"/>
          <w:rFonts w:cs="Arial"/>
        </w:rPr>
        <w:footnoteReference w:id="2"/>
      </w:r>
      <w:r>
        <w:rPr>
          <w:rFonts w:eastAsia="Calibri" w:cs="Arial"/>
          <w:i/>
        </w:rPr>
        <w:t xml:space="preserve"> </w:t>
      </w:r>
      <w:r>
        <w:rPr>
          <w:rFonts w:eastAsia="Calibri" w:cs="Arial"/>
        </w:rPr>
        <w:t xml:space="preserve">de même que dans l’esprit du </w:t>
      </w:r>
      <w:r w:rsidRPr="00513545">
        <w:rPr>
          <w:rFonts w:eastAsia="Calibri" w:cs="Arial"/>
          <w:i/>
        </w:rPr>
        <w:t>Cadre de référence gouvernemental sur la participation publique</w:t>
      </w:r>
      <w:r>
        <w:rPr>
          <w:rFonts w:eastAsia="Calibri" w:cs="Arial"/>
        </w:rPr>
        <w:t xml:space="preserve"> ayant fait l’objet d’une consultation récente et dont le dévoilement est prévu pour le printemps à venir</w:t>
      </w:r>
      <w:r>
        <w:rPr>
          <w:rStyle w:val="Appelnotedebasdep"/>
          <w:rFonts w:eastAsia="Calibri" w:cs="Arial"/>
        </w:rPr>
        <w:footnoteReference w:id="3"/>
      </w:r>
      <w:r>
        <w:rPr>
          <w:rFonts w:eastAsia="Calibri" w:cs="Arial"/>
        </w:rPr>
        <w:t xml:space="preserve">.   </w:t>
      </w:r>
    </w:p>
    <w:p w:rsidR="00497B05" w:rsidRDefault="00497B05" w:rsidP="003667E2">
      <w:pPr>
        <w:spacing w:line="23" w:lineRule="atLeast"/>
        <w:rPr>
          <w:rFonts w:eastAsia="Calibri" w:cs="Arial"/>
        </w:rPr>
      </w:pPr>
    </w:p>
    <w:p w:rsidR="00F427B0" w:rsidRDefault="000902BF" w:rsidP="003667E2">
      <w:pPr>
        <w:spacing w:line="23" w:lineRule="atLeast"/>
        <w:rPr>
          <w:rFonts w:eastAsia="Calibri" w:cs="Arial"/>
        </w:rPr>
      </w:pPr>
      <w:r>
        <w:rPr>
          <w:rFonts w:eastAsia="Calibri" w:cs="Arial"/>
        </w:rPr>
        <w:t xml:space="preserve">Lorsque nous avons pris connaissance du document de consultation proposé par la SAAQ, nous n’avons pu nous empêcher de constater qu’il n’y ait fait mention </w:t>
      </w:r>
      <w:r w:rsidR="00805807">
        <w:rPr>
          <w:rFonts w:eastAsia="Calibri" w:cs="Arial"/>
        </w:rPr>
        <w:t>du handicap qu</w:t>
      </w:r>
      <w:r>
        <w:rPr>
          <w:rFonts w:eastAsia="Calibri" w:cs="Arial"/>
        </w:rPr>
        <w:t xml:space="preserve">’une seule fois, </w:t>
      </w:r>
      <w:r w:rsidR="00805807">
        <w:rPr>
          <w:rFonts w:eastAsia="Calibri" w:cs="Arial"/>
        </w:rPr>
        <w:t>dans la</w:t>
      </w:r>
      <w:r>
        <w:rPr>
          <w:rFonts w:eastAsia="Calibri" w:cs="Arial"/>
        </w:rPr>
        <w:t xml:space="preserve"> fiche Santé des conducteurs.</w:t>
      </w:r>
      <w:r w:rsidR="00805807">
        <w:rPr>
          <w:rFonts w:eastAsia="Calibri" w:cs="Arial"/>
        </w:rPr>
        <w:t xml:space="preserve"> </w:t>
      </w:r>
      <w:r>
        <w:rPr>
          <w:rFonts w:eastAsia="Calibri" w:cs="Arial"/>
        </w:rPr>
        <w:t xml:space="preserve">Cela est plutôt surprenant étant donné </w:t>
      </w:r>
      <w:r w:rsidR="00F427B0">
        <w:rPr>
          <w:rFonts w:eastAsia="Calibri" w:cs="Arial"/>
        </w:rPr>
        <w:t xml:space="preserve">que les personnes ayant des limitations fonctionnelles sont confrontées à plusieurs obstacles lors de leurs déplacements et que nombre d’entre eux sont intimement liés à des questions de sécurité routière. </w:t>
      </w:r>
    </w:p>
    <w:p w:rsidR="00F427B0" w:rsidRDefault="00F427B0" w:rsidP="003667E2">
      <w:pPr>
        <w:spacing w:line="23" w:lineRule="atLeast"/>
        <w:rPr>
          <w:rFonts w:eastAsia="Calibri" w:cs="Arial"/>
        </w:rPr>
      </w:pPr>
    </w:p>
    <w:p w:rsidR="00BA6988" w:rsidRDefault="00F427B0" w:rsidP="003667E2">
      <w:pPr>
        <w:spacing w:line="23" w:lineRule="atLeast"/>
      </w:pPr>
      <w:r>
        <w:rPr>
          <w:rFonts w:eastAsia="Calibri" w:cs="Arial"/>
        </w:rPr>
        <w:t xml:space="preserve">La prise en compte des caractéristiques et des besoins des personnes ayant des limitations est un enjeu transversal incontournable dans le cadre du présent exercice, surtout lorsque l’on considère l’ampleur de la population concernée. En effet, selon l’Institut de la statistique du Québec, plus de </w:t>
      </w:r>
      <w:r w:rsidR="000902BF">
        <w:rPr>
          <w:rFonts w:eastAsia="Calibri" w:cs="Arial"/>
        </w:rPr>
        <w:t>33</w:t>
      </w:r>
      <w:r w:rsidR="003D58DD">
        <w:rPr>
          <w:rFonts w:eastAsia="Calibri" w:cs="Arial"/>
        </w:rPr>
        <w:t> %</w:t>
      </w:r>
      <w:r w:rsidR="000902BF">
        <w:rPr>
          <w:rFonts w:eastAsia="Calibri" w:cs="Arial"/>
        </w:rPr>
        <w:t xml:space="preserve"> de </w:t>
      </w:r>
      <w:r w:rsidR="00BA6988">
        <w:t xml:space="preserve">la population de 15 ans et plus </w:t>
      </w:r>
      <w:r>
        <w:t>déclarent</w:t>
      </w:r>
      <w:r w:rsidR="00BA6988">
        <w:t xml:space="preserve"> avoir une limitation fonctionnelle</w:t>
      </w:r>
      <w:r>
        <w:t>, proportion qui grimpe à 84</w:t>
      </w:r>
      <w:r w:rsidR="003D58DD">
        <w:t> %</w:t>
      </w:r>
      <w:r>
        <w:t xml:space="preserve"> chez les personnes de 85 ans et plus</w:t>
      </w:r>
      <w:r>
        <w:rPr>
          <w:rStyle w:val="Appelnotedebasdep"/>
        </w:rPr>
        <w:footnoteReference w:id="4"/>
      </w:r>
      <w:r>
        <w:t xml:space="preserve"> et qui n’inclut pas les limitations à caractère temporaire. </w:t>
      </w:r>
      <w:r w:rsidR="00BF44C4">
        <w:t xml:space="preserve">Il est à noter que ces personnes se retrouvent dans toutes les catégories d’usagers de la route et qu’elles soient piétonnes, cyclistes ou automobilistes, elles peuvent avoir des besoins qui diffèrent de ceux de la population générale </w:t>
      </w:r>
      <w:r w:rsidR="003D58DD">
        <w:t>qui d</w:t>
      </w:r>
      <w:r w:rsidR="00BF44C4">
        <w:t>oivent impérativement être considérés dans la réflexion sur la sécurité routière au Québec.</w:t>
      </w:r>
    </w:p>
    <w:p w:rsidR="00513545" w:rsidRDefault="00513545" w:rsidP="003667E2">
      <w:pPr>
        <w:spacing w:line="23" w:lineRule="atLeast"/>
        <w:rPr>
          <w:b/>
        </w:rPr>
      </w:pPr>
    </w:p>
    <w:p w:rsidR="00BA6988" w:rsidRPr="007D0835" w:rsidRDefault="00BA6988" w:rsidP="003667E2">
      <w:pPr>
        <w:spacing w:line="23" w:lineRule="atLeast"/>
        <w:rPr>
          <w:rFonts w:cs="Arial"/>
          <w:szCs w:val="24"/>
        </w:rPr>
      </w:pPr>
      <w:r w:rsidRPr="00297823">
        <w:rPr>
          <w:rFonts w:cs="Arial"/>
          <w:i/>
          <w:szCs w:val="24"/>
        </w:rPr>
        <w:t xml:space="preserve">La </w:t>
      </w:r>
      <w:r>
        <w:rPr>
          <w:rFonts w:cs="Arial"/>
          <w:i/>
          <w:szCs w:val="24"/>
        </w:rPr>
        <w:t>COPHAN</w:t>
      </w:r>
      <w:r w:rsidRPr="00297823">
        <w:rPr>
          <w:rFonts w:cs="Arial"/>
          <w:i/>
          <w:szCs w:val="24"/>
        </w:rPr>
        <w:t xml:space="preserve"> est un organisme à but non lucratif ayant pour mission de rendre le Québec inclusif. Elle regroupe plus de 60 organismes et regroupements nationaux et régionaux de personnes ayant tout type de limitations fonctionnelles.</w:t>
      </w:r>
      <w:r>
        <w:rPr>
          <w:rStyle w:val="Appelnotedebasdep"/>
          <w:rFonts w:cs="Arial"/>
          <w:szCs w:val="24"/>
        </w:rPr>
        <w:footnoteReference w:id="5"/>
      </w:r>
    </w:p>
    <w:p w:rsidR="003667E2" w:rsidRDefault="003667E2">
      <w:pPr>
        <w:spacing w:after="200"/>
        <w:rPr>
          <w:rFonts w:ascii="Arial Gras" w:eastAsia="Times New Roman" w:hAnsi="Arial Gras" w:cs="Mangal"/>
          <w:b/>
          <w:bCs/>
          <w:smallCaps/>
          <w:color w:val="244061" w:themeColor="accent1" w:themeShade="80"/>
          <w:kern w:val="32"/>
          <w:szCs w:val="29"/>
        </w:rPr>
      </w:pPr>
      <w:r>
        <w:br w:type="page"/>
      </w:r>
    </w:p>
    <w:p w:rsidR="003667E2" w:rsidRDefault="00BA6988" w:rsidP="003667E2">
      <w:pPr>
        <w:pStyle w:val="Titre1"/>
        <w:spacing w:line="23" w:lineRule="atLeast"/>
      </w:pPr>
      <w:bookmarkStart w:id="3" w:name="_Toc476298563"/>
      <w:r>
        <w:lastRenderedPageBreak/>
        <w:t>Principes directeurs</w:t>
      </w:r>
      <w:bookmarkEnd w:id="3"/>
    </w:p>
    <w:p w:rsidR="00BA6988" w:rsidRPr="00513545" w:rsidRDefault="004C3D2A" w:rsidP="003667E2">
      <w:pPr>
        <w:pStyle w:val="Titre2"/>
        <w:spacing w:line="23" w:lineRule="atLeast"/>
      </w:pPr>
      <w:r>
        <w:br/>
      </w:r>
      <w:bookmarkStart w:id="4" w:name="_Toc476298564"/>
      <w:r w:rsidR="00F11CC5">
        <w:t>Accessibilité universelle : pouvoir se déplacer dans un environnement inclusif</w:t>
      </w:r>
      <w:bookmarkEnd w:id="4"/>
    </w:p>
    <w:p w:rsidR="00A91475" w:rsidRDefault="00A91475" w:rsidP="003667E2">
      <w:pPr>
        <w:spacing w:line="23" w:lineRule="atLeast"/>
      </w:pPr>
    </w:p>
    <w:p w:rsidR="00E7190D" w:rsidRDefault="00E7190D" w:rsidP="004C3D2A">
      <w:r>
        <w:rPr>
          <w:rFonts w:eastAsia="Calibri" w:cs="Times New Roman"/>
        </w:rPr>
        <w:t>La COPHAN préconise, entre autres moyens,</w:t>
      </w:r>
      <w:r w:rsidRPr="004B340E">
        <w:rPr>
          <w:rFonts w:eastAsia="Calibri" w:cs="Times New Roman"/>
        </w:rPr>
        <w:t xml:space="preserve"> </w:t>
      </w:r>
      <w:r>
        <w:rPr>
          <w:rFonts w:eastAsia="Calibri" w:cs="Times New Roman"/>
        </w:rPr>
        <w:t xml:space="preserve">l’accessibilité universelle pour la mise en place d’un environnement inclusif et l’atteinte d’une véritable mobilité durable. </w:t>
      </w:r>
    </w:p>
    <w:p w:rsidR="00E7190D" w:rsidRDefault="00E7190D" w:rsidP="004C3D2A"/>
    <w:p w:rsidR="00F11CC5" w:rsidRDefault="00A91475" w:rsidP="004C3D2A">
      <w:pPr>
        <w:rPr>
          <w:rFonts w:cs="Arial"/>
        </w:rPr>
      </w:pPr>
      <w:r>
        <w:t xml:space="preserve">Comme </w:t>
      </w:r>
      <w:r w:rsidR="00F11CC5">
        <w:t xml:space="preserve">nous l’exposions dans notre </w:t>
      </w:r>
      <w:hyperlink r:id="rId18" w:history="1">
        <w:r w:rsidR="00F11CC5" w:rsidRPr="00E7190D">
          <w:rPr>
            <w:rStyle w:val="Lienhypertexte"/>
          </w:rPr>
          <w:t xml:space="preserve">mémoire de 2013 sur la </w:t>
        </w:r>
        <w:r w:rsidR="00F11CC5" w:rsidRPr="00E7190D">
          <w:rPr>
            <w:rStyle w:val="Lienhypertexte"/>
            <w:i/>
          </w:rPr>
          <w:t>Stratégie québécoise de mobilité durable</w:t>
        </w:r>
      </w:hyperlink>
      <w:r w:rsidR="00E7190D">
        <w:rPr>
          <w:rStyle w:val="Appelnotedebasdep"/>
        </w:rPr>
        <w:footnoteReference w:id="6"/>
      </w:r>
      <w:r w:rsidR="00F11CC5">
        <w:t xml:space="preserve">, </w:t>
      </w:r>
      <w:r w:rsidR="00F11CC5">
        <w:rPr>
          <w:rFonts w:cs="Arial"/>
        </w:rPr>
        <w:t>l</w:t>
      </w:r>
      <w:r w:rsidR="00F11CC5" w:rsidRPr="000D6C7D">
        <w:rPr>
          <w:rFonts w:eastAsia="Calibri" w:cs="Arial"/>
        </w:rPr>
        <w:t>e déplacement est le résultat de l’interaction entre la personne qui effectue l’action et l’environnement où se produit l’action.</w:t>
      </w:r>
      <w:r w:rsidR="00F11CC5">
        <w:rPr>
          <w:rFonts w:eastAsia="Calibri" w:cs="Arial"/>
        </w:rPr>
        <w:t xml:space="preserve"> </w:t>
      </w:r>
      <w:r w:rsidR="00F11CC5" w:rsidRPr="000D6C7D">
        <w:rPr>
          <w:rFonts w:eastAsia="Calibri" w:cs="Arial"/>
        </w:rPr>
        <w:t xml:space="preserve">Dans une vision de mobilité durable, </w:t>
      </w:r>
      <w:r w:rsidR="00F11CC5">
        <w:rPr>
          <w:rFonts w:eastAsia="Calibri" w:cs="Arial"/>
        </w:rPr>
        <w:t>cet</w:t>
      </w:r>
      <w:r w:rsidR="00F11CC5" w:rsidRPr="000D6C7D">
        <w:rPr>
          <w:rFonts w:eastAsia="Calibri" w:cs="Arial"/>
        </w:rPr>
        <w:t xml:space="preserve"> environnement</w:t>
      </w:r>
      <w:r w:rsidR="00F11CC5">
        <w:rPr>
          <w:rFonts w:eastAsia="Calibri" w:cs="Arial"/>
        </w:rPr>
        <w:t xml:space="preserve"> se doit d’être</w:t>
      </w:r>
      <w:r w:rsidR="00F11CC5" w:rsidRPr="000D6C7D">
        <w:rPr>
          <w:rFonts w:eastAsia="Calibri" w:cs="Arial"/>
        </w:rPr>
        <w:t xml:space="preserve"> </w:t>
      </w:r>
      <w:r w:rsidR="00F11CC5">
        <w:rPr>
          <w:rFonts w:eastAsia="Calibri" w:cs="Arial"/>
        </w:rPr>
        <w:t>inclusif, d’offrir</w:t>
      </w:r>
      <w:r w:rsidR="00F11CC5" w:rsidRPr="000D6C7D">
        <w:rPr>
          <w:rFonts w:eastAsia="Calibri" w:cs="Arial"/>
        </w:rPr>
        <w:t xml:space="preserve"> la possibil</w:t>
      </w:r>
      <w:r w:rsidR="00F11CC5">
        <w:rPr>
          <w:rFonts w:eastAsia="Calibri" w:cs="Arial"/>
        </w:rPr>
        <w:t>ité pour les personnes de toute condition</w:t>
      </w:r>
      <w:r w:rsidR="00F11CC5" w:rsidRPr="000D6C7D">
        <w:rPr>
          <w:rFonts w:eastAsia="Calibri" w:cs="Arial"/>
        </w:rPr>
        <w:t xml:space="preserve"> </w:t>
      </w:r>
      <w:r w:rsidR="00F11CC5">
        <w:rPr>
          <w:rFonts w:eastAsia="Calibri" w:cs="Arial"/>
        </w:rPr>
        <w:t xml:space="preserve">de </w:t>
      </w:r>
      <w:r w:rsidR="00F11CC5" w:rsidRPr="000D6C7D">
        <w:rPr>
          <w:rFonts w:eastAsia="Calibri" w:cs="Arial"/>
        </w:rPr>
        <w:t xml:space="preserve">se déplacer </w:t>
      </w:r>
      <w:r w:rsidR="00F11CC5" w:rsidRPr="007D5B2E">
        <w:rPr>
          <w:rFonts w:eastAsia="Calibri" w:cs="Arial"/>
        </w:rPr>
        <w:t>librement, avec autonomie, aisance, con</w:t>
      </w:r>
      <w:r w:rsidR="00F11CC5">
        <w:rPr>
          <w:rFonts w:eastAsia="Calibri" w:cs="Arial"/>
        </w:rPr>
        <w:t xml:space="preserve">fiance et de façon sécuritaire. </w:t>
      </w:r>
    </w:p>
    <w:p w:rsidR="00F11CC5" w:rsidRDefault="00F11CC5" w:rsidP="004C3D2A">
      <w:pPr>
        <w:rPr>
          <w:rFonts w:cs="Arial"/>
        </w:rPr>
      </w:pPr>
    </w:p>
    <w:p w:rsidR="003667E2" w:rsidRPr="003870BA" w:rsidRDefault="00F11CC5" w:rsidP="004C3D2A">
      <w:pPr>
        <w:rPr>
          <w:rFonts w:eastAsia="Calibri" w:cs="Arial"/>
        </w:rPr>
      </w:pPr>
      <w:r>
        <w:rPr>
          <w:rFonts w:eastAsia="Calibri" w:cs="Arial"/>
        </w:rPr>
        <w:t>L</w:t>
      </w:r>
      <w:r w:rsidRPr="007D5B2E">
        <w:rPr>
          <w:rFonts w:eastAsia="Calibri" w:cs="Arial"/>
        </w:rPr>
        <w:t>e déplacemen</w:t>
      </w:r>
      <w:r>
        <w:rPr>
          <w:rFonts w:eastAsia="Calibri" w:cs="Arial"/>
        </w:rPr>
        <w:t>t est un enchaînement d’actions</w:t>
      </w:r>
      <w:r w:rsidR="00FC3154">
        <w:rPr>
          <w:rFonts w:cs="Arial"/>
        </w:rPr>
        <w:t xml:space="preserve"> dans lequel</w:t>
      </w:r>
      <w:r w:rsidRPr="007D5B2E">
        <w:rPr>
          <w:rFonts w:eastAsia="Calibri" w:cs="Arial"/>
        </w:rPr>
        <w:t xml:space="preserve"> chacun des maillons a une impor</w:t>
      </w:r>
      <w:r>
        <w:rPr>
          <w:rFonts w:eastAsia="Calibri" w:cs="Arial"/>
        </w:rPr>
        <w:t>tance égale</w:t>
      </w:r>
      <w:r w:rsidRPr="007D5B2E">
        <w:rPr>
          <w:rFonts w:eastAsia="Calibri" w:cs="Arial"/>
        </w:rPr>
        <w:t xml:space="preserve">. Les actions requises pour un déplacement réussi doivent s’emboîter </w:t>
      </w:r>
      <w:r>
        <w:rPr>
          <w:rFonts w:eastAsia="Calibri" w:cs="Arial"/>
        </w:rPr>
        <w:t xml:space="preserve">de façon fluide et </w:t>
      </w:r>
      <w:r w:rsidRPr="007D5B2E">
        <w:rPr>
          <w:rFonts w:eastAsia="Calibri" w:cs="Arial"/>
        </w:rPr>
        <w:t xml:space="preserve">harmonieuse, </w:t>
      </w:r>
      <w:r>
        <w:rPr>
          <w:rFonts w:eastAsia="Calibri" w:cs="Arial"/>
        </w:rPr>
        <w:t>quels que</w:t>
      </w:r>
      <w:r w:rsidRPr="007D5B2E">
        <w:rPr>
          <w:rFonts w:eastAsia="Calibri" w:cs="Arial"/>
        </w:rPr>
        <w:t xml:space="preserve"> soient le ou les modes de transport utilisés, l’origine et la destination</w:t>
      </w:r>
      <w:r w:rsidRPr="001917DB">
        <w:rPr>
          <w:rFonts w:eastAsia="Calibri" w:cs="Arial"/>
          <w:color w:val="FF0000"/>
        </w:rPr>
        <w:t xml:space="preserve">. </w:t>
      </w:r>
      <w:r w:rsidRPr="001917DB">
        <w:rPr>
          <w:rFonts w:eastAsia="Calibri" w:cs="Arial"/>
        </w:rPr>
        <w:t xml:space="preserve">Selon la COPHAN, pour </w:t>
      </w:r>
      <w:r w:rsidR="00FC3154" w:rsidRPr="001917DB">
        <w:rPr>
          <w:rFonts w:cs="Arial"/>
        </w:rPr>
        <w:t>être efficace, respectueux des droits de la personne et sécuritaire</w:t>
      </w:r>
      <w:r w:rsidRPr="001917DB">
        <w:rPr>
          <w:rFonts w:eastAsia="Calibri" w:cs="Arial"/>
        </w:rPr>
        <w:t>, un déplacement doit répondre aux critères suivants :</w:t>
      </w:r>
    </w:p>
    <w:p w:rsidR="00DE7471" w:rsidRDefault="00DE7471" w:rsidP="004C3D2A"/>
    <w:p w:rsidR="00F11CC5" w:rsidRPr="00DE7471" w:rsidRDefault="00BA6988" w:rsidP="004C3D2A">
      <w:pPr>
        <w:rPr>
          <w:b/>
        </w:rPr>
      </w:pPr>
      <w:r w:rsidRPr="00DE7471">
        <w:rPr>
          <w:b/>
        </w:rPr>
        <w:t>Liberté et égalité</w:t>
      </w:r>
      <w:r w:rsidR="003667E2" w:rsidRPr="00DE7471">
        <w:rPr>
          <w:b/>
        </w:rPr>
        <w:t> </w:t>
      </w:r>
    </w:p>
    <w:p w:rsidR="00F11CC5" w:rsidRDefault="00F11CC5" w:rsidP="004C3D2A">
      <w:pPr>
        <w:numPr>
          <w:ilvl w:val="0"/>
          <w:numId w:val="16"/>
        </w:numPr>
        <w:tabs>
          <w:tab w:val="left" w:pos="851"/>
        </w:tabs>
        <w:rPr>
          <w:rFonts w:eastAsia="Calibri" w:cs="Arial"/>
        </w:rPr>
      </w:pPr>
      <w:r>
        <w:rPr>
          <w:rFonts w:eastAsia="Calibri" w:cs="Arial"/>
        </w:rPr>
        <w:t>P</w:t>
      </w:r>
      <w:r w:rsidR="00BA6988" w:rsidRPr="00F11CC5">
        <w:rPr>
          <w:rFonts w:eastAsia="Calibri" w:cs="Arial"/>
        </w:rPr>
        <w:t>ouvoir circuler à sa guise, selon son bon vouloir, sans avoir à suivre un parcours imposé par la présence d’obstacles.</w:t>
      </w:r>
    </w:p>
    <w:p w:rsidR="003667E2" w:rsidRPr="003667E2" w:rsidRDefault="00BA6988" w:rsidP="004C3D2A">
      <w:pPr>
        <w:numPr>
          <w:ilvl w:val="0"/>
          <w:numId w:val="16"/>
        </w:numPr>
        <w:tabs>
          <w:tab w:val="left" w:pos="851"/>
        </w:tabs>
        <w:rPr>
          <w:rFonts w:eastAsia="Calibri" w:cs="Arial"/>
        </w:rPr>
      </w:pPr>
      <w:r w:rsidRPr="00F11CC5">
        <w:rPr>
          <w:rFonts w:eastAsia="Calibri" w:cs="Arial"/>
        </w:rPr>
        <w:t>Avoir le choix d’emprunter le parcours désiré, au moment souhaité et de la manière voulue. Tous les parcours offerts doivent pouvoir être empruntés par les personnes de toutes conditions.</w:t>
      </w:r>
    </w:p>
    <w:p w:rsidR="00DE7471" w:rsidRDefault="00DE7471" w:rsidP="004C3D2A">
      <w:pPr>
        <w:rPr>
          <w:b/>
        </w:rPr>
      </w:pPr>
    </w:p>
    <w:p w:rsidR="00F11CC5" w:rsidRPr="00DE7471" w:rsidRDefault="003667E2" w:rsidP="004C3D2A">
      <w:pPr>
        <w:rPr>
          <w:b/>
        </w:rPr>
      </w:pPr>
      <w:r w:rsidRPr="00DE7471">
        <w:rPr>
          <w:b/>
        </w:rPr>
        <w:t>Autonomie </w:t>
      </w:r>
    </w:p>
    <w:p w:rsidR="003667E2" w:rsidRPr="003667E2" w:rsidRDefault="00BA6988" w:rsidP="004C3D2A">
      <w:pPr>
        <w:numPr>
          <w:ilvl w:val="0"/>
          <w:numId w:val="16"/>
        </w:numPr>
        <w:tabs>
          <w:tab w:val="left" w:pos="851"/>
        </w:tabs>
        <w:rPr>
          <w:rFonts w:eastAsia="Calibri" w:cs="Arial"/>
        </w:rPr>
      </w:pPr>
      <w:r w:rsidRPr="00F11CC5">
        <w:rPr>
          <w:rFonts w:eastAsia="Calibri" w:cs="Arial"/>
        </w:rPr>
        <w:t>Pouvoir circuler et s’orienter dans le respect de ses capacités physiques, sensorielles et cognitives sans être assujetti à autrui ou avoir à demander de l’aide pour franchir un obstacle ou pour se diriger.</w:t>
      </w:r>
    </w:p>
    <w:p w:rsidR="00DE7471" w:rsidRDefault="00DE7471" w:rsidP="004C3D2A">
      <w:pPr>
        <w:rPr>
          <w:b/>
        </w:rPr>
      </w:pPr>
    </w:p>
    <w:p w:rsidR="00BA6988" w:rsidRPr="00DE7471" w:rsidRDefault="003667E2" w:rsidP="004C3D2A">
      <w:pPr>
        <w:rPr>
          <w:b/>
        </w:rPr>
      </w:pPr>
      <w:r w:rsidRPr="00DE7471">
        <w:rPr>
          <w:b/>
        </w:rPr>
        <w:t>Aisance </w:t>
      </w:r>
    </w:p>
    <w:p w:rsidR="00BA6988" w:rsidRDefault="00BA6988" w:rsidP="004C3D2A">
      <w:pPr>
        <w:numPr>
          <w:ilvl w:val="0"/>
          <w:numId w:val="16"/>
        </w:numPr>
        <w:tabs>
          <w:tab w:val="left" w:pos="851"/>
        </w:tabs>
        <w:rPr>
          <w:rFonts w:eastAsia="Calibri" w:cs="Arial"/>
        </w:rPr>
      </w:pPr>
      <w:r w:rsidRPr="007D5B2E">
        <w:rPr>
          <w:rFonts w:eastAsia="Calibri" w:cs="Arial"/>
        </w:rPr>
        <w:t>Pouvoir circuler de façon confortable, sans se sentir à l’étroit et sans avoir à déployer trop d’efforts physiques.</w:t>
      </w:r>
    </w:p>
    <w:p w:rsidR="00BA6988" w:rsidRPr="007D5B2E" w:rsidRDefault="00BA6988" w:rsidP="004C3D2A">
      <w:pPr>
        <w:numPr>
          <w:ilvl w:val="0"/>
          <w:numId w:val="16"/>
        </w:numPr>
        <w:tabs>
          <w:tab w:val="left" w:pos="851"/>
        </w:tabs>
        <w:rPr>
          <w:rFonts w:eastAsia="Calibri" w:cs="Arial"/>
        </w:rPr>
      </w:pPr>
      <w:r>
        <w:rPr>
          <w:rFonts w:eastAsia="Calibri" w:cs="Arial"/>
        </w:rPr>
        <w:t>Pouvoir se reposer lorsque nécessaire.</w:t>
      </w:r>
    </w:p>
    <w:p w:rsidR="00BA6988" w:rsidRPr="007D5B2E" w:rsidRDefault="00BA6988" w:rsidP="004C3D2A">
      <w:pPr>
        <w:numPr>
          <w:ilvl w:val="0"/>
          <w:numId w:val="16"/>
        </w:numPr>
        <w:tabs>
          <w:tab w:val="left" w:pos="851"/>
        </w:tabs>
        <w:rPr>
          <w:rFonts w:eastAsia="Calibri" w:cs="Arial"/>
        </w:rPr>
      </w:pPr>
      <w:r w:rsidRPr="007D5B2E">
        <w:rPr>
          <w:rFonts w:eastAsia="Calibri" w:cs="Arial"/>
        </w:rPr>
        <w:t>Pouvoir s’orienter de façon intuitive, sans avoir à s’interroger continuellement sur sa situation dans l’espac</w:t>
      </w:r>
      <w:r>
        <w:rPr>
          <w:rFonts w:eastAsia="Calibri" w:cs="Arial"/>
        </w:rPr>
        <w:t>e ou sur le parcours à prendre.</w:t>
      </w:r>
    </w:p>
    <w:p w:rsidR="001917DB" w:rsidRDefault="00BA6988" w:rsidP="004C3D2A">
      <w:pPr>
        <w:numPr>
          <w:ilvl w:val="0"/>
          <w:numId w:val="16"/>
        </w:numPr>
        <w:tabs>
          <w:tab w:val="left" w:pos="851"/>
        </w:tabs>
        <w:rPr>
          <w:rFonts w:eastAsia="Calibri" w:cs="Arial"/>
        </w:rPr>
      </w:pPr>
      <w:r w:rsidRPr="007D5B2E">
        <w:rPr>
          <w:rFonts w:eastAsia="Calibri" w:cs="Arial"/>
        </w:rPr>
        <w:lastRenderedPageBreak/>
        <w:t>Pouvoir anticiper facilement les actions à poser et profiter pleinement de l’environnement général.</w:t>
      </w:r>
    </w:p>
    <w:p w:rsidR="004C3D2A" w:rsidRPr="004C3D2A" w:rsidRDefault="004C3D2A" w:rsidP="004C3D2A">
      <w:pPr>
        <w:tabs>
          <w:tab w:val="left" w:pos="851"/>
        </w:tabs>
        <w:ind w:left="360"/>
        <w:rPr>
          <w:rFonts w:eastAsia="Calibri" w:cs="Arial"/>
        </w:rPr>
      </w:pPr>
    </w:p>
    <w:p w:rsidR="00BA6988" w:rsidRPr="00DE7471" w:rsidRDefault="00BA6988" w:rsidP="004C3D2A">
      <w:pPr>
        <w:rPr>
          <w:b/>
        </w:rPr>
      </w:pPr>
      <w:r w:rsidRPr="00DE7471">
        <w:rPr>
          <w:b/>
        </w:rPr>
        <w:t>Conf</w:t>
      </w:r>
      <w:r w:rsidR="003667E2" w:rsidRPr="00DE7471">
        <w:rPr>
          <w:b/>
        </w:rPr>
        <w:t>iance et sentiment de sécurité </w:t>
      </w:r>
    </w:p>
    <w:p w:rsidR="00BA6988" w:rsidRDefault="00BA6988" w:rsidP="004C3D2A">
      <w:pPr>
        <w:numPr>
          <w:ilvl w:val="0"/>
          <w:numId w:val="16"/>
        </w:numPr>
        <w:tabs>
          <w:tab w:val="left" w:pos="851"/>
        </w:tabs>
        <w:rPr>
          <w:rFonts w:eastAsia="Calibri" w:cs="Arial"/>
        </w:rPr>
      </w:pPr>
      <w:r>
        <w:rPr>
          <w:rFonts w:eastAsia="Calibri" w:cs="Arial"/>
        </w:rPr>
        <w:t>Pouvoir trouver des repères significatifs, connus et habituels afin d’être en mesure de s’orienter et de se déplacer sans crainte de se perdre.</w:t>
      </w:r>
    </w:p>
    <w:p w:rsidR="00BA6988" w:rsidRDefault="00BA6988" w:rsidP="004C3D2A">
      <w:pPr>
        <w:numPr>
          <w:ilvl w:val="0"/>
          <w:numId w:val="16"/>
        </w:numPr>
        <w:tabs>
          <w:tab w:val="left" w:pos="851"/>
        </w:tabs>
        <w:rPr>
          <w:rFonts w:eastAsia="Calibri" w:cs="Arial"/>
        </w:rPr>
      </w:pPr>
      <w:r>
        <w:rPr>
          <w:rFonts w:eastAsia="Calibri" w:cs="Arial"/>
        </w:rPr>
        <w:t>Pouvoir se réorienter ou se retrouver facilement si on se perd.</w:t>
      </w:r>
    </w:p>
    <w:p w:rsidR="00BA6988" w:rsidRPr="00175F70" w:rsidRDefault="00BA6988" w:rsidP="004C3D2A">
      <w:pPr>
        <w:numPr>
          <w:ilvl w:val="0"/>
          <w:numId w:val="16"/>
        </w:numPr>
        <w:tabs>
          <w:tab w:val="left" w:pos="851"/>
        </w:tabs>
        <w:rPr>
          <w:rFonts w:eastAsia="Calibri" w:cs="Arial"/>
        </w:rPr>
      </w:pPr>
      <w:r w:rsidRPr="00175F70">
        <w:rPr>
          <w:rFonts w:eastAsia="Calibri" w:cs="Arial"/>
        </w:rPr>
        <w:t>Voir d’assez loin, afin de repérer et d’éviter les menaces potentielles</w:t>
      </w:r>
      <w:r>
        <w:rPr>
          <w:rFonts w:eastAsia="Calibri" w:cs="Arial"/>
        </w:rPr>
        <w:t>, et ê</w:t>
      </w:r>
      <w:r w:rsidRPr="00175F70">
        <w:rPr>
          <w:rFonts w:eastAsia="Calibri" w:cs="Arial"/>
        </w:rPr>
        <w:t>tre visible en tout temps, évitant l’isolement propice à l’agression.</w:t>
      </w:r>
    </w:p>
    <w:p w:rsidR="00BA6988" w:rsidRDefault="00BA6988" w:rsidP="004C3D2A">
      <w:pPr>
        <w:numPr>
          <w:ilvl w:val="0"/>
          <w:numId w:val="16"/>
        </w:numPr>
        <w:tabs>
          <w:tab w:val="left" w:pos="851"/>
        </w:tabs>
        <w:rPr>
          <w:rFonts w:eastAsia="Calibri" w:cs="Arial"/>
        </w:rPr>
      </w:pPr>
      <w:r>
        <w:rPr>
          <w:rFonts w:eastAsia="Calibri" w:cs="Arial"/>
        </w:rPr>
        <w:t>Avoir des possibilités de fuite, évitant d’être piégé dans un environnement fermé.</w:t>
      </w:r>
    </w:p>
    <w:p w:rsidR="003667E2" w:rsidRPr="003667E2" w:rsidRDefault="00BA6988" w:rsidP="004C3D2A">
      <w:pPr>
        <w:numPr>
          <w:ilvl w:val="0"/>
          <w:numId w:val="16"/>
        </w:numPr>
        <w:tabs>
          <w:tab w:val="left" w:pos="851"/>
        </w:tabs>
        <w:rPr>
          <w:rFonts w:eastAsia="Calibri" w:cs="Arial"/>
        </w:rPr>
      </w:pPr>
      <w:r>
        <w:rPr>
          <w:rFonts w:eastAsia="Calibri" w:cs="Arial"/>
        </w:rPr>
        <w:t>Pouvoir aisément demander de l’aide si nécessaire.</w:t>
      </w:r>
    </w:p>
    <w:p w:rsidR="00DE7471" w:rsidRDefault="00DE7471" w:rsidP="004C3D2A">
      <w:pPr>
        <w:rPr>
          <w:b/>
        </w:rPr>
      </w:pPr>
    </w:p>
    <w:p w:rsidR="00BA6988" w:rsidRPr="00DE7471" w:rsidRDefault="003667E2" w:rsidP="004C3D2A">
      <w:pPr>
        <w:rPr>
          <w:b/>
        </w:rPr>
      </w:pPr>
      <w:r w:rsidRPr="00DE7471">
        <w:rPr>
          <w:b/>
        </w:rPr>
        <w:t>Sécurité </w:t>
      </w:r>
    </w:p>
    <w:p w:rsidR="00BA6988" w:rsidRDefault="00BA6988" w:rsidP="004C3D2A">
      <w:pPr>
        <w:numPr>
          <w:ilvl w:val="0"/>
          <w:numId w:val="16"/>
        </w:numPr>
        <w:tabs>
          <w:tab w:val="left" w:pos="851"/>
        </w:tabs>
        <w:rPr>
          <w:rFonts w:eastAsia="Calibri" w:cs="Arial"/>
        </w:rPr>
      </w:pPr>
      <w:r>
        <w:rPr>
          <w:rFonts w:eastAsia="Calibri" w:cs="Arial"/>
        </w:rPr>
        <w:t>Pouvoir se déplacer sans conflits avec les autres utilisateurs du domaine public, notamment aux intersections.</w:t>
      </w:r>
    </w:p>
    <w:p w:rsidR="00BA6988" w:rsidRDefault="00BA6988" w:rsidP="004C3D2A">
      <w:pPr>
        <w:numPr>
          <w:ilvl w:val="0"/>
          <w:numId w:val="16"/>
        </w:numPr>
        <w:tabs>
          <w:tab w:val="left" w:pos="851"/>
        </w:tabs>
        <w:rPr>
          <w:rFonts w:eastAsia="Calibri" w:cs="Arial"/>
        </w:rPr>
      </w:pPr>
      <w:r>
        <w:rPr>
          <w:rFonts w:eastAsia="Calibri" w:cs="Arial"/>
        </w:rPr>
        <w:t>Pouvoir se déplacer sans heurter d’obstacles.</w:t>
      </w:r>
    </w:p>
    <w:p w:rsidR="00BA6988" w:rsidRDefault="00BA6988" w:rsidP="004C3D2A">
      <w:pPr>
        <w:numPr>
          <w:ilvl w:val="0"/>
          <w:numId w:val="16"/>
        </w:numPr>
        <w:tabs>
          <w:tab w:val="left" w:pos="851"/>
        </w:tabs>
        <w:rPr>
          <w:rFonts w:eastAsia="Calibri" w:cs="Arial"/>
        </w:rPr>
      </w:pPr>
      <w:r>
        <w:rPr>
          <w:rFonts w:eastAsia="Calibri" w:cs="Arial"/>
        </w:rPr>
        <w:t>Pouvoir se déplacer sans risque de chute, par exemple à cause de revêtements inégaux ou en mauvais état.</w:t>
      </w:r>
    </w:p>
    <w:p w:rsidR="00BA6988" w:rsidRPr="000A0D71" w:rsidRDefault="00BA6988" w:rsidP="004C3D2A">
      <w:pPr>
        <w:numPr>
          <w:ilvl w:val="0"/>
          <w:numId w:val="16"/>
        </w:numPr>
        <w:tabs>
          <w:tab w:val="left" w:pos="851"/>
        </w:tabs>
        <w:rPr>
          <w:rFonts w:eastAsia="Calibri" w:cs="Arial"/>
        </w:rPr>
      </w:pPr>
      <w:r>
        <w:rPr>
          <w:rFonts w:eastAsia="Calibri" w:cs="Arial"/>
        </w:rPr>
        <w:t>Être averti d’un danger.</w:t>
      </w:r>
    </w:p>
    <w:p w:rsidR="00A91475" w:rsidRDefault="00A91475" w:rsidP="003667E2">
      <w:pPr>
        <w:pStyle w:val="Titre2"/>
        <w:spacing w:line="23" w:lineRule="atLeast"/>
      </w:pPr>
      <w:bookmarkStart w:id="5" w:name="_Toc476298565"/>
      <w:r w:rsidRPr="00D5128B">
        <w:t>Principe de prudence</w:t>
      </w:r>
      <w:bookmarkEnd w:id="5"/>
    </w:p>
    <w:p w:rsidR="00E7190D" w:rsidRDefault="00E7190D" w:rsidP="00A3096B"/>
    <w:p w:rsidR="00E7190D" w:rsidRDefault="006C4C24" w:rsidP="00A3096B">
      <w:r w:rsidRPr="001917DB">
        <w:t xml:space="preserve">À l’instar de plusieurs participants à cette consultation, la COPHAN revendique l’adoption, dans le </w:t>
      </w:r>
      <w:r w:rsidRPr="001917DB">
        <w:rPr>
          <w:i/>
        </w:rPr>
        <w:t>Code de sécurité routière</w:t>
      </w:r>
      <w:r w:rsidRPr="001917DB">
        <w:t>, du principe de prudence.</w:t>
      </w:r>
      <w:r w:rsidR="00F8054D" w:rsidRPr="001917DB">
        <w:t xml:space="preserve"> Rappelons</w:t>
      </w:r>
      <w:r w:rsidR="00ED71C7" w:rsidRPr="001917DB">
        <w:t xml:space="preserve"> d’ailleurs</w:t>
      </w:r>
      <w:r w:rsidR="00F8054D" w:rsidRPr="001917DB">
        <w:t xml:space="preserve"> que </w:t>
      </w:r>
      <w:r w:rsidR="00ED71C7" w:rsidRPr="001917DB">
        <w:t xml:space="preserve">l’ex-ministre Jacques Daoust avait annoncé en mai dernier que la révision du </w:t>
      </w:r>
      <w:r w:rsidR="003D58DD">
        <w:t>C</w:t>
      </w:r>
      <w:r w:rsidR="00ED71C7" w:rsidRPr="001917DB">
        <w:t>ode de la route serait entièrement basé</w:t>
      </w:r>
      <w:r w:rsidR="003D58DD">
        <w:t xml:space="preserve">e </w:t>
      </w:r>
      <w:r w:rsidR="00ED71C7" w:rsidRPr="001917DB">
        <w:t>sur ce principe</w:t>
      </w:r>
      <w:r w:rsidR="00ED71C7" w:rsidRPr="001917DB">
        <w:rPr>
          <w:rStyle w:val="Appelnotedebasdep"/>
        </w:rPr>
        <w:footnoteReference w:id="7"/>
      </w:r>
      <w:r w:rsidR="00ED71C7" w:rsidRPr="001917DB">
        <w:t>.</w:t>
      </w:r>
    </w:p>
    <w:p w:rsidR="007B2D6D" w:rsidRDefault="007B2D6D" w:rsidP="00A3096B"/>
    <w:p w:rsidR="007B2D6D" w:rsidRDefault="00A6248F" w:rsidP="00A3096B">
      <w:r>
        <w:t xml:space="preserve">Le </w:t>
      </w:r>
      <w:r w:rsidR="007B2D6D">
        <w:t xml:space="preserve">principe de prudence </w:t>
      </w:r>
      <w:r>
        <w:t xml:space="preserve">introduit l’obligation pour chaque usager de la route d’adopter un comportement prudent envers les usagers plus vulnérables que lui. </w:t>
      </w:r>
      <w:r w:rsidR="00562EE9">
        <w:t xml:space="preserve">Ce principe est tiré du code de la rue </w:t>
      </w:r>
      <w:r w:rsidR="00FC0D33">
        <w:t>belge, dans lequel le comportement prescrit aux automobilistes lorsqu’ils croisent un piéton est le suivant :</w:t>
      </w:r>
      <w:r>
        <w:t xml:space="preserve"> </w:t>
      </w:r>
    </w:p>
    <w:p w:rsidR="007B2D6D" w:rsidRDefault="007B2D6D" w:rsidP="00A3096B"/>
    <w:p w:rsidR="00FC0D33" w:rsidRDefault="007B2D6D" w:rsidP="00A3096B">
      <w:pPr>
        <w:ind w:leftChars="567" w:left="1361" w:right="567"/>
      </w:pPr>
      <w:r w:rsidRPr="00FC0D33">
        <w:t>Si vous risquez de mettre le piéton en situation inconfortable,</w:t>
      </w:r>
      <w:r w:rsidR="00FC0D33">
        <w:t xml:space="preserve"> </w:t>
      </w:r>
      <w:r w:rsidRPr="00FC0D33">
        <w:t>voire dangereuse, vous devez impérativement vous</w:t>
      </w:r>
      <w:r w:rsidR="00FC0D33">
        <w:t xml:space="preserve"> </w:t>
      </w:r>
      <w:r w:rsidRPr="00FC0D33">
        <w:t>arrêter.</w:t>
      </w:r>
    </w:p>
    <w:p w:rsidR="00FC0D33" w:rsidRDefault="007B2D6D" w:rsidP="00A3096B">
      <w:pPr>
        <w:pStyle w:val="Paragraphedeliste"/>
        <w:numPr>
          <w:ilvl w:val="0"/>
          <w:numId w:val="16"/>
        </w:numPr>
        <w:ind w:leftChars="567" w:left="1721" w:right="567"/>
      </w:pPr>
      <w:r w:rsidRPr="00FC0D33">
        <w:t>Vous devez ralentir et, au besoin, vous arrêter en présence</w:t>
      </w:r>
      <w:r w:rsidR="00FC0D33">
        <w:t xml:space="preserve"> </w:t>
      </w:r>
      <w:r w:rsidRPr="00FC0D33">
        <w:t>d’enfants, de personnes âgées ou de personnes</w:t>
      </w:r>
      <w:r w:rsidR="00FC0D33">
        <w:t xml:space="preserve"> </w:t>
      </w:r>
      <w:r w:rsidRPr="00FC0D33">
        <w:t>handicapées, notamment les aveugles et les personnes</w:t>
      </w:r>
      <w:r w:rsidR="00FC0D33">
        <w:t xml:space="preserve"> </w:t>
      </w:r>
      <w:r w:rsidRPr="00FC0D33">
        <w:t>handicapées en fauteuil roulant.</w:t>
      </w:r>
    </w:p>
    <w:p w:rsidR="007B2D6D" w:rsidRDefault="007B2D6D" w:rsidP="00A3096B">
      <w:pPr>
        <w:pStyle w:val="Paragraphedeliste"/>
        <w:numPr>
          <w:ilvl w:val="0"/>
          <w:numId w:val="16"/>
        </w:numPr>
        <w:ind w:leftChars="567" w:left="1721" w:right="567"/>
      </w:pPr>
      <w:r w:rsidRPr="00FC0D33">
        <w:lastRenderedPageBreak/>
        <w:t>Vous devez laisser une distance latérale d’au moins 1</w:t>
      </w:r>
      <w:r w:rsidR="003D58DD">
        <w:t> </w:t>
      </w:r>
      <w:r w:rsidRPr="00FC0D33">
        <w:t>m</w:t>
      </w:r>
      <w:r w:rsidR="00FC0D33">
        <w:t xml:space="preserve"> </w:t>
      </w:r>
      <w:r w:rsidRPr="00FC0D33">
        <w:t>entre votre véhicule et le piéton lorsqu’il est autorisé à</w:t>
      </w:r>
      <w:r w:rsidR="00FC0D33">
        <w:t xml:space="preserve"> </w:t>
      </w:r>
      <w:r w:rsidRPr="00FC0D33">
        <w:t>circuler sur la chaussée. Si cette distance minimale ne</w:t>
      </w:r>
      <w:r w:rsidR="00FC0D33">
        <w:t xml:space="preserve"> </w:t>
      </w:r>
      <w:r w:rsidRPr="00FC0D33">
        <w:t>peut être respectée, vous ne pouvez rouler qu’à l’allure</w:t>
      </w:r>
      <w:r w:rsidR="00FC0D33">
        <w:t xml:space="preserve"> </w:t>
      </w:r>
      <w:r w:rsidRPr="00FC0D33">
        <w:t>du pas et, au besoin, vous devez vous arrêter.</w:t>
      </w:r>
      <w:r w:rsidR="00FC0D33">
        <w:rPr>
          <w:rStyle w:val="Appelnotedebasdep"/>
        </w:rPr>
        <w:footnoteReference w:id="8"/>
      </w:r>
    </w:p>
    <w:p w:rsidR="00FC0D33" w:rsidRDefault="00FC0D33" w:rsidP="00A3096B"/>
    <w:p w:rsidR="00562EE9" w:rsidRDefault="00562EE9" w:rsidP="00A3096B">
      <w:pPr>
        <w:rPr>
          <w:rFonts w:eastAsia="Calibri" w:cs="Times New Roman"/>
          <w:iCs/>
        </w:rPr>
      </w:pPr>
      <w:r>
        <w:rPr>
          <w:rFonts w:eastAsia="Calibri" w:cs="Times New Roman"/>
          <w:iCs/>
        </w:rPr>
        <w:t xml:space="preserve">Il est intéressant de noter que le législateur belge ne s’est pas contenté de prévenir les situations où l’usager le plus vulnérable est </w:t>
      </w:r>
      <w:r w:rsidR="004D21FC">
        <w:rPr>
          <w:rFonts w:eastAsia="Calibri" w:cs="Times New Roman"/>
          <w:iCs/>
        </w:rPr>
        <w:t>effectivement en</w:t>
      </w:r>
      <w:r>
        <w:rPr>
          <w:rFonts w:eastAsia="Calibri" w:cs="Times New Roman"/>
          <w:iCs/>
        </w:rPr>
        <w:t xml:space="preserve"> danger. Il a décidé d’in</w:t>
      </w:r>
      <w:r w:rsidR="004D21FC">
        <w:rPr>
          <w:rFonts w:eastAsia="Calibri" w:cs="Times New Roman"/>
          <w:iCs/>
        </w:rPr>
        <w:t xml:space="preserve">terdire aux automobilistes de créer des situations où le piéton est inconfortable, c’est-à-dire même lorsque le danger perçu n’est pas objectif. </w:t>
      </w:r>
    </w:p>
    <w:p w:rsidR="00562EE9" w:rsidRDefault="00562EE9" w:rsidP="00A3096B">
      <w:pPr>
        <w:rPr>
          <w:rFonts w:eastAsia="Calibri" w:cs="Times New Roman"/>
          <w:iCs/>
        </w:rPr>
      </w:pPr>
    </w:p>
    <w:p w:rsidR="00A91475" w:rsidRPr="00174FDF" w:rsidRDefault="00FC0D33" w:rsidP="00A3096B">
      <w:r>
        <w:rPr>
          <w:rFonts w:eastAsia="Calibri" w:cs="Times New Roman"/>
          <w:iCs/>
        </w:rPr>
        <w:t>Au Québec,</w:t>
      </w:r>
      <w:r w:rsidR="00562EE9">
        <w:rPr>
          <w:rFonts w:eastAsia="Calibri" w:cs="Times New Roman"/>
          <w:iCs/>
        </w:rPr>
        <w:t xml:space="preserve"> la culture de l’automobile est si forte que les conducteurs ont souvent l’impression qu’ils sont les seuls à pouvoir légitimement circuler sur la rue. L</w:t>
      </w:r>
      <w:r>
        <w:rPr>
          <w:rFonts w:eastAsia="Calibri" w:cs="Times New Roman"/>
          <w:iCs/>
        </w:rPr>
        <w:t xml:space="preserve">’adoption du principe de prudence </w:t>
      </w:r>
      <w:r w:rsidR="004D21FC">
        <w:rPr>
          <w:rFonts w:eastAsia="Calibri" w:cs="Times New Roman"/>
          <w:iCs/>
        </w:rPr>
        <w:t xml:space="preserve">s’inspirant du code de la rue belge </w:t>
      </w:r>
      <w:r>
        <w:rPr>
          <w:rFonts w:eastAsia="Calibri" w:cs="Times New Roman"/>
          <w:iCs/>
        </w:rPr>
        <w:t xml:space="preserve">à l’intérieur du </w:t>
      </w:r>
      <w:r w:rsidRPr="00562EE9">
        <w:rPr>
          <w:rFonts w:eastAsia="Calibri" w:cs="Times New Roman"/>
          <w:i/>
          <w:iCs/>
        </w:rPr>
        <w:t>Code de sécurité routière</w:t>
      </w:r>
      <w:r>
        <w:rPr>
          <w:rFonts w:eastAsia="Calibri" w:cs="Times New Roman"/>
          <w:iCs/>
        </w:rPr>
        <w:t xml:space="preserve"> enverrait un message clair </w:t>
      </w:r>
      <w:r w:rsidR="003D58DD">
        <w:rPr>
          <w:rFonts w:eastAsia="Calibri" w:cs="Times New Roman"/>
          <w:iCs/>
        </w:rPr>
        <w:t>à savoir</w:t>
      </w:r>
      <w:r>
        <w:rPr>
          <w:rFonts w:eastAsia="Calibri" w:cs="Times New Roman"/>
          <w:iCs/>
        </w:rPr>
        <w:t xml:space="preserve"> que tous les usagers ont un droit égal d’utiliser la voie publique</w:t>
      </w:r>
      <w:r w:rsidR="00562EE9">
        <w:rPr>
          <w:rFonts w:eastAsia="Calibri" w:cs="Times New Roman"/>
          <w:iCs/>
        </w:rPr>
        <w:t xml:space="preserve"> de façon confortable et sécuritaire,</w:t>
      </w:r>
      <w:r>
        <w:rPr>
          <w:rFonts w:eastAsia="Calibri" w:cs="Times New Roman"/>
          <w:iCs/>
        </w:rPr>
        <w:t xml:space="preserve"> quel que soit leur mode de locomotion. </w:t>
      </w:r>
    </w:p>
    <w:p w:rsidR="00AA3CB7" w:rsidRDefault="00103B3D" w:rsidP="003667E2">
      <w:pPr>
        <w:pStyle w:val="Titre1"/>
        <w:spacing w:line="23" w:lineRule="atLeast"/>
      </w:pPr>
      <w:r>
        <w:br/>
      </w:r>
      <w:bookmarkStart w:id="6" w:name="_Toc476298566"/>
      <w:r w:rsidR="00AA3CB7" w:rsidRPr="00D5128B">
        <w:t>Aménagement, signalisation et entretien des infrastructures routières</w:t>
      </w:r>
      <w:bookmarkEnd w:id="6"/>
    </w:p>
    <w:p w:rsidR="00480B23" w:rsidRDefault="004C3D2A" w:rsidP="003667E2">
      <w:pPr>
        <w:pStyle w:val="Titre2"/>
        <w:spacing w:line="23" w:lineRule="atLeast"/>
      </w:pPr>
      <w:r>
        <w:br/>
      </w:r>
      <w:bookmarkStart w:id="7" w:name="_Toc476298567"/>
      <w:r w:rsidR="00480B23">
        <w:t>Concertation</w:t>
      </w:r>
      <w:bookmarkEnd w:id="7"/>
    </w:p>
    <w:p w:rsidR="005A3941" w:rsidRDefault="005A3941" w:rsidP="005A3941"/>
    <w:p w:rsidR="00480B23" w:rsidRDefault="005A3941" w:rsidP="00983EE5">
      <w:r>
        <w:t xml:space="preserve">L’un des </w:t>
      </w:r>
      <w:r w:rsidRPr="002A438F">
        <w:t>principaux problèmes que l’on remarque</w:t>
      </w:r>
      <w:r w:rsidR="00983EE5" w:rsidRPr="002A438F">
        <w:t xml:space="preserve"> est</w:t>
      </w:r>
      <w:r w:rsidRPr="002A438F">
        <w:t xml:space="preserve"> le manque d’arrimage entre les différent</w:t>
      </w:r>
      <w:r w:rsidR="00983EE5" w:rsidRPr="002A438F">
        <w:t>s acteurs impliqués dans l’aménagement des infrastructures routières et de transport. Afin d’assurer un développement cohérent et inclusif, la concertation est nécessaire entre les municipalités, les gouvernements provincial et fédéral, les développeurs immobiliers et les sociétés de transport. Les municipalités</w:t>
      </w:r>
      <w:r w:rsidR="00983EE5">
        <w:t xml:space="preserve"> voisines, tout particulièrement en zone urbaine, doivent collaborer afin d’assurer le déplacement fluide et sécuritaire des individus de toutes conditions. </w:t>
      </w:r>
    </w:p>
    <w:p w:rsidR="00704A6F" w:rsidRDefault="00AA3CB7" w:rsidP="00704A6F">
      <w:pPr>
        <w:pStyle w:val="Titre2"/>
        <w:spacing w:line="23" w:lineRule="atLeast"/>
      </w:pPr>
      <w:bookmarkStart w:id="8" w:name="_Toc476298568"/>
      <w:r w:rsidRPr="00D5128B">
        <w:t>Aménagement</w:t>
      </w:r>
      <w:bookmarkEnd w:id="8"/>
    </w:p>
    <w:p w:rsidR="004D21FC" w:rsidRDefault="00AA3CB7" w:rsidP="004D21FC">
      <w:pPr>
        <w:pStyle w:val="Titre3"/>
        <w:spacing w:line="23" w:lineRule="atLeast"/>
      </w:pPr>
      <w:bookmarkStart w:id="9" w:name="_Toc476298569"/>
      <w:r w:rsidRPr="00D5128B">
        <w:t>Carrefours giratoires</w:t>
      </w:r>
      <w:bookmarkEnd w:id="9"/>
    </w:p>
    <w:p w:rsidR="004D21FC" w:rsidRDefault="004D21FC" w:rsidP="004D21FC"/>
    <w:p w:rsidR="004D21FC" w:rsidRDefault="004D21FC" w:rsidP="004D21FC">
      <w:r>
        <w:t xml:space="preserve">Le document de consultation mentionne les carrefours giratoires comme une solution éprouvée pour améliorer la fluidité de la circulation et diminuer les accidents. Or, plusieurs sources nous </w:t>
      </w:r>
      <w:r w:rsidR="00E16901">
        <w:t>permettent d’affirmer</w:t>
      </w:r>
      <w:r>
        <w:t xml:space="preserve"> que les carrefours giratoires ne sont pas des solutions à privilégier pour la sécurité et le confort des cyclistes et des piéto</w:t>
      </w:r>
      <w:r w:rsidR="00E16901">
        <w:t>ns, notamment ceux ayant des limitations et particulièrement les personnes ayant une déficience visuelle. Si les statistiques démontrent une diminution du nombre d’accident</w:t>
      </w:r>
      <w:r w:rsidR="003D58DD">
        <w:t xml:space="preserve">s </w:t>
      </w:r>
      <w:r w:rsidR="00E16901">
        <w:t xml:space="preserve">suite à l’implantation de carrefours </w:t>
      </w:r>
      <w:r w:rsidR="00E16901">
        <w:lastRenderedPageBreak/>
        <w:t>giratoires, c’est que les piétons et cyclistes décident tout simplement de les éviter</w:t>
      </w:r>
      <w:r w:rsidR="003D58DD">
        <w:t xml:space="preserve">, </w:t>
      </w:r>
      <w:r w:rsidR="00E16901">
        <w:t xml:space="preserve">car ils ne s’y sentent pas en sécurité. </w:t>
      </w:r>
    </w:p>
    <w:p w:rsidR="00E16901" w:rsidRDefault="00E16901" w:rsidP="004D21FC"/>
    <w:p w:rsidR="00E16901" w:rsidRPr="004D21FC" w:rsidRDefault="00E16901" w:rsidP="004D21FC">
      <w:r w:rsidRPr="002A438F">
        <w:t>Pour ces raisons, la COPHAN s’oppose à l’aménagement de carrefours giratoires, sauf dans les zones strictement réservées aux automobiles, comme aux abords des autoroutes.</w:t>
      </w:r>
      <w:r>
        <w:t xml:space="preserve"> </w:t>
      </w:r>
    </w:p>
    <w:p w:rsidR="00AA3CB7" w:rsidRDefault="00AA3CB7" w:rsidP="003667E2">
      <w:pPr>
        <w:pStyle w:val="Titre3"/>
        <w:spacing w:line="23" w:lineRule="atLeast"/>
      </w:pPr>
      <w:bookmarkStart w:id="10" w:name="_Toc476298570"/>
      <w:r w:rsidRPr="00D5128B">
        <w:t xml:space="preserve">Trottoirs </w:t>
      </w:r>
      <w:r w:rsidR="00F73E1C">
        <w:t>et mobilier urbain</w:t>
      </w:r>
      <w:bookmarkEnd w:id="10"/>
    </w:p>
    <w:p w:rsidR="00E16901" w:rsidRDefault="00E16901" w:rsidP="00E16901"/>
    <w:p w:rsidR="00F73E1C" w:rsidRPr="002A438F" w:rsidRDefault="00F73E1C" w:rsidP="00E16901">
      <w:r>
        <w:t xml:space="preserve">Afin de permettre à tout le monde de circuler librement et de façon autonome et sécuritaire sur la rue, il est important que les municipalités aménagent </w:t>
      </w:r>
      <w:r w:rsidRPr="002A438F">
        <w:t>les trottoirs de façon à répondre aux besoins des personnes de toutes conditions. Non seulement les trottoirs doivent être suffisamment larges pour permettre à une personne se déplaçant à l’aide d’une aide à la mobilité (fauteuil roulant</w:t>
      </w:r>
      <w:r w:rsidR="003D58DD">
        <w:t xml:space="preserve">, </w:t>
      </w:r>
      <w:r w:rsidRPr="002A438F">
        <w:t xml:space="preserve">motorisé ou non, triporteur ou </w:t>
      </w:r>
      <w:proofErr w:type="spellStart"/>
      <w:r w:rsidRPr="002A438F">
        <w:t>quadriporteur</w:t>
      </w:r>
      <w:proofErr w:type="spellEnd"/>
      <w:r w:rsidRPr="002A438F">
        <w:t xml:space="preserve"> et autres aides techniques apparentées) de circuler aisément, mais un espace de dégagement supplémentaire doit être prévu dans les zones de débarcadères afin de permettre </w:t>
      </w:r>
      <w:r w:rsidR="003D58DD">
        <w:t>le</w:t>
      </w:r>
      <w:r w:rsidRPr="002A438F">
        <w:t xml:space="preserve"> déploiement d’une rampe. </w:t>
      </w:r>
    </w:p>
    <w:p w:rsidR="00F73E1C" w:rsidRPr="002A438F" w:rsidRDefault="00F73E1C" w:rsidP="00E16901"/>
    <w:p w:rsidR="00D5128B" w:rsidRPr="006020C0" w:rsidRDefault="00F73E1C" w:rsidP="006020C0">
      <w:r w:rsidRPr="002A438F">
        <w:t>Le mobilier ur</w:t>
      </w:r>
      <w:r w:rsidR="00527E08" w:rsidRPr="002A438F">
        <w:t>bain doit être placé de manière à ne pas nuire au déplacement</w:t>
      </w:r>
      <w:r w:rsidR="00527E08">
        <w:t xml:space="preserve"> des personnes à mobilité réduite et des personnes ayant une déficience visuelle. Ainsi, on privilégiera la disposition de ce dernier du côté de la rue, de manière à laisser l’accès libre aux façades pou</w:t>
      </w:r>
      <w:r>
        <w:t xml:space="preserve">r permettre aux personnes ayant une limitation visuelle de </w:t>
      </w:r>
      <w:r w:rsidR="00527E08">
        <w:t xml:space="preserve">se repérer dans l’espace. </w:t>
      </w:r>
      <w:r w:rsidR="006020C0">
        <w:t xml:space="preserve">Des supports à vélo placés de façon stratégique et en quantité suffisante sont également nécessaires, car les piétons à mobilité réduite doivent souvent zigzaguer entre les vélos stationnés de façon inadéquate, alors que les personnes aveugles ou ayant une basse vision risquent de se heurter à ces vélos mal placés.  </w:t>
      </w:r>
    </w:p>
    <w:p w:rsidR="00AA3CB7" w:rsidRDefault="00AA3CB7" w:rsidP="003667E2">
      <w:pPr>
        <w:pStyle w:val="Titre3"/>
        <w:spacing w:line="23" w:lineRule="atLeast"/>
      </w:pPr>
      <w:bookmarkStart w:id="11" w:name="_Toc476298571"/>
      <w:r w:rsidRPr="00D5128B">
        <w:t>Rues piétonnes ou partagées</w:t>
      </w:r>
      <w:bookmarkEnd w:id="11"/>
    </w:p>
    <w:p w:rsidR="00F8054D" w:rsidRDefault="00F8054D" w:rsidP="00F8054D"/>
    <w:p w:rsidR="008A4254" w:rsidRDefault="00F8054D" w:rsidP="00F8054D">
      <w:r>
        <w:t xml:space="preserve">L’idée d’aménager davantage de rues piétonnes ou partagées s’inscrit dans </w:t>
      </w:r>
      <w:r w:rsidR="00120061">
        <w:t xml:space="preserve">une vision de développement durable et d’encouragement au transport actif. </w:t>
      </w:r>
      <w:r w:rsidR="00ED44D5">
        <w:t>En ce sens, la COPHAN n’est pas défavorable à ce type d’</w:t>
      </w:r>
      <w:r w:rsidR="00983EE5">
        <w:t>aménagement</w:t>
      </w:r>
      <w:r w:rsidR="00983EE5" w:rsidRPr="002A438F">
        <w:t>, à condition</w:t>
      </w:r>
      <w:r w:rsidR="00ED44D5" w:rsidRPr="002A438F">
        <w:t xml:space="preserve"> qu’un grand souci soit accordé à l’accessibilité universelle</w:t>
      </w:r>
      <w:r w:rsidR="00090B22" w:rsidRPr="002A438F">
        <w:t xml:space="preserve"> et à la notion de </w:t>
      </w:r>
      <w:r w:rsidR="007E05F0" w:rsidRPr="002A438F">
        <w:t>parcours</w:t>
      </w:r>
      <w:r w:rsidR="00090B22" w:rsidRPr="002A438F">
        <w:t xml:space="preserve"> sans obstacles</w:t>
      </w:r>
      <w:r w:rsidR="00ED44D5" w:rsidRPr="002A438F">
        <w:t xml:space="preserve"> lors de la conception des projets. Plusieurs éléments sont à considérer en fonction des différentes limitations</w:t>
      </w:r>
      <w:r w:rsidR="00090B22" w:rsidRPr="002A438F">
        <w:t>, à commencer par l’emplacement du mobilier urbain, tel que</w:t>
      </w:r>
      <w:r w:rsidR="00090B22">
        <w:t xml:space="preserve"> mentionné ci-haut. </w:t>
      </w:r>
    </w:p>
    <w:p w:rsidR="008A4254" w:rsidRDefault="008A4254" w:rsidP="00F8054D"/>
    <w:p w:rsidR="008A4254" w:rsidRDefault="008A4254" w:rsidP="00F8054D">
      <w:r>
        <w:t xml:space="preserve">Les personnes ayant une limitation visuelle doivent pouvoir s’orienter aisément dans ces espaces. Les trottoirs, ou du moins des repères au sol facilement détectables en toute saison, doivent être aménagés de chaque côté de la rue pour permettre à ces personnes de ne pas dévier de leur trajectoire et d’avoir accès aux façades des édifices. </w:t>
      </w:r>
    </w:p>
    <w:p w:rsidR="008A4254" w:rsidRDefault="008A4254" w:rsidP="00F8054D"/>
    <w:p w:rsidR="00090B22" w:rsidRDefault="008A4254" w:rsidP="00F8054D">
      <w:r>
        <w:lastRenderedPageBreak/>
        <w:t>Les rues piétonnes ou partagées peuvent poser problème aux personnes ayant une limitation intellectuelle, car elles introduisent des règles différentes de ce à quoi elles sont habituées, créant de la confusion.</w:t>
      </w:r>
      <w:r w:rsidR="00EA44FA">
        <w:t xml:space="preserve"> Il est donc impératif que la signalisation aux abords de ces zones soit évidente, claire et facile à comprendre.</w:t>
      </w:r>
      <w:r>
        <w:t xml:space="preserve"> Encore plus important, la fin des zones piétonnes doit être </w:t>
      </w:r>
      <w:r w:rsidR="00EA44FA">
        <w:t xml:space="preserve">très </w:t>
      </w:r>
      <w:r>
        <w:t xml:space="preserve">clairement indiquée afin d’éviter des accidents </w:t>
      </w:r>
      <w:r w:rsidR="00EA44FA">
        <w:t>aux</w:t>
      </w:r>
      <w:r>
        <w:t xml:space="preserve"> zones de rencontre. </w:t>
      </w:r>
    </w:p>
    <w:p w:rsidR="00D5128B" w:rsidRDefault="00EA44FA" w:rsidP="003667E2">
      <w:pPr>
        <w:pStyle w:val="Titre2"/>
        <w:spacing w:line="23" w:lineRule="atLeast"/>
      </w:pPr>
      <w:bookmarkStart w:id="12" w:name="_Toc476298572"/>
      <w:r>
        <w:t>S</w:t>
      </w:r>
      <w:r w:rsidR="00AA3CB7" w:rsidRPr="00D5128B">
        <w:t>ignalisation</w:t>
      </w:r>
      <w:bookmarkEnd w:id="12"/>
    </w:p>
    <w:p w:rsidR="00AA3CB7" w:rsidRDefault="00AA3CB7" w:rsidP="003667E2">
      <w:pPr>
        <w:pStyle w:val="Titre3"/>
        <w:spacing w:line="23" w:lineRule="atLeast"/>
      </w:pPr>
      <w:bookmarkStart w:id="13" w:name="_Toc476298573"/>
      <w:r w:rsidRPr="00D5128B">
        <w:t>Clarté</w:t>
      </w:r>
      <w:bookmarkEnd w:id="13"/>
    </w:p>
    <w:p w:rsidR="00EA44FA" w:rsidRDefault="008079DF" w:rsidP="00A3096B">
      <w:r>
        <w:t xml:space="preserve">Nos membres témoignent qu’à plusieurs </w:t>
      </w:r>
      <w:r w:rsidRPr="002A438F">
        <w:t>endroits sur nos routes, la signalisation n’est pas claire, difficile à repérer ou tout simplement inexistante. Or, une signalisation évidente et facile à comprendre profite à tout le monde : touristes, personnes âgées, personnes ayant des limitations motrices, personnes ayant une limitation intellectuelle, etc. Une attention particulière doit être portée à la police et à la grosseur</w:t>
      </w:r>
      <w:r>
        <w:t xml:space="preserve"> de caractère</w:t>
      </w:r>
      <w:r w:rsidR="003979CC">
        <w:t>s</w:t>
      </w:r>
      <w:r>
        <w:t xml:space="preserve"> </w:t>
      </w:r>
      <w:proofErr w:type="gramStart"/>
      <w:r>
        <w:t>utilisée</w:t>
      </w:r>
      <w:r w:rsidR="003D58DD">
        <w:t>s</w:t>
      </w:r>
      <w:proofErr w:type="gramEnd"/>
      <w:r w:rsidR="003D58DD">
        <w:t xml:space="preserve"> </w:t>
      </w:r>
      <w:r>
        <w:t xml:space="preserve">sur les panneaux de signalisation, afin que ces derniers profitent autant que possible aux personnes ayant une basse vision. </w:t>
      </w:r>
    </w:p>
    <w:p w:rsidR="00AA3CB7" w:rsidRDefault="00672414" w:rsidP="003667E2">
      <w:pPr>
        <w:pStyle w:val="Titre3"/>
        <w:spacing w:line="23" w:lineRule="atLeast"/>
      </w:pPr>
      <w:bookmarkStart w:id="14" w:name="_Toc476298574"/>
      <w:r>
        <w:t>Feux</w:t>
      </w:r>
      <w:r w:rsidR="00AA3CB7" w:rsidRPr="00D5128B">
        <w:t xml:space="preserve"> sonores</w:t>
      </w:r>
      <w:bookmarkEnd w:id="14"/>
    </w:p>
    <w:p w:rsidR="00672414" w:rsidRPr="00672414" w:rsidRDefault="00672414" w:rsidP="00672414">
      <w:r>
        <w:t xml:space="preserve">Les feux sonores sont un outil indispensable pour assurer la sécurité et l’autonomie des personnes aveugles et amblyopes et la COPHAN souhaite que ces derniers soient installés dans un maximum d’intersections, à commencer par toutes celles où cela est recommandé par un expert en orientation et mobilité d’un centre de réadaptation. De plus, comme la norme prévoit que le </w:t>
      </w:r>
      <w:r w:rsidR="003D58DD">
        <w:t>virage à droit au feu rouge (V</w:t>
      </w:r>
      <w:r>
        <w:t>DFR</w:t>
      </w:r>
      <w:r w:rsidR="003D58DD">
        <w:t xml:space="preserve">) </w:t>
      </w:r>
      <w:r>
        <w:t xml:space="preserve">doit être interdit aux endroits où on retrouve un feu sonore et que c’est souvent c’est l’opposition des citoyens à une telle règlementation qui décourage les municipalités d’aller de l’avant, la </w:t>
      </w:r>
      <w:r w:rsidRPr="005C198D">
        <w:t xml:space="preserve">COPHAN </w:t>
      </w:r>
      <w:r w:rsidR="005C198D">
        <w:t>appuie la recommandation du R</w:t>
      </w:r>
      <w:r w:rsidR="003979CC">
        <w:t>egroupement des aveugles et amblyopes du Québec (R</w:t>
      </w:r>
      <w:r w:rsidR="005C198D">
        <w:t>AAQ</w:t>
      </w:r>
      <w:r w:rsidR="003979CC">
        <w:t>)</w:t>
      </w:r>
      <w:r w:rsidR="005C198D">
        <w:t xml:space="preserve"> concernant l’interdiction du VDFR</w:t>
      </w:r>
      <w:r w:rsidRPr="005C198D">
        <w:t xml:space="preserve"> </w:t>
      </w:r>
      <w:r w:rsidR="005C198D">
        <w:t xml:space="preserve">aux intersections où un l’installation d’un feu sonore est recommandée. </w:t>
      </w:r>
    </w:p>
    <w:p w:rsidR="00D5128B" w:rsidRDefault="00AA3CB7" w:rsidP="007E05F0">
      <w:pPr>
        <w:pStyle w:val="Titre3"/>
        <w:spacing w:line="23" w:lineRule="atLeast"/>
      </w:pPr>
      <w:bookmarkStart w:id="15" w:name="_Toc476298575"/>
      <w:r w:rsidRPr="00D5128B">
        <w:t>Temps de traversée</w:t>
      </w:r>
      <w:bookmarkEnd w:id="15"/>
      <w:r w:rsidRPr="00D5128B">
        <w:t xml:space="preserve"> </w:t>
      </w:r>
    </w:p>
    <w:p w:rsidR="007E05F0" w:rsidRPr="007E05F0" w:rsidRDefault="007E05F0" w:rsidP="007E05F0">
      <w:r>
        <w:t xml:space="preserve">Nos membres nous rapportent qu’à plusieurs intersections munies d’un feu de circulation, les temps de traversée programmés sont trop courts, créant des situations de danger pour les personnes à mobilité réduite, les enfants et les personnes âgées qui se déplacent généralement plus lentement qu’un individu moyen. </w:t>
      </w:r>
      <w:r w:rsidRPr="005C198D">
        <w:t>Les normes de temps de traversées doivent être revues afin de répondre aux besoins des personnes de toutes conditions.</w:t>
      </w:r>
      <w:r>
        <w:t xml:space="preserve"> </w:t>
      </w:r>
    </w:p>
    <w:p w:rsidR="00AA3CB7" w:rsidRDefault="00343949" w:rsidP="003667E2">
      <w:pPr>
        <w:pStyle w:val="Titre3"/>
        <w:spacing w:line="23" w:lineRule="atLeast"/>
      </w:pPr>
      <w:bookmarkStart w:id="16" w:name="_Toc476298576"/>
      <w:r>
        <w:t>S</w:t>
      </w:r>
      <w:r w:rsidR="00AA3CB7" w:rsidRPr="00D5128B">
        <w:t>tationnement</w:t>
      </w:r>
      <w:r>
        <w:t xml:space="preserve"> réservé</w:t>
      </w:r>
      <w:r w:rsidR="00AA3CB7" w:rsidRPr="00D5128B">
        <w:t xml:space="preserve"> aux personnes handicapées</w:t>
      </w:r>
      <w:bookmarkEnd w:id="16"/>
      <w:r w:rsidR="00AA3CB7" w:rsidRPr="00D5128B">
        <w:t xml:space="preserve"> </w:t>
      </w:r>
    </w:p>
    <w:p w:rsidR="00AA3CB7" w:rsidRDefault="00343949" w:rsidP="004237A6">
      <w:r>
        <w:t>On remarque que les conducteurs québécois sont peu conscientisés à l’importance de respecter l’interdiction de stationnement dans les zones réservées aux personnes détentrices d</w:t>
      </w:r>
      <w:r w:rsidR="003D58DD">
        <w:t>’une</w:t>
      </w:r>
      <w:r>
        <w:t xml:space="preserve"> vignette de personnes handicapées. Il s’agit pourtant là d’un enjeu de</w:t>
      </w:r>
      <w:r w:rsidR="004237A6">
        <w:t xml:space="preserve"> mobilité et de</w:t>
      </w:r>
      <w:r>
        <w:t xml:space="preserve"> sécurité important pour les personnes en situation de handicap. </w:t>
      </w:r>
      <w:r w:rsidR="004237A6">
        <w:t xml:space="preserve">En effet, sur rue, ces espaces sont essentiels pour permettre le déploiement d’une rampe d’accès à un endroit dégagé sur le trottoir. Dans les parcs de stationnement, ces places sont stratégiquement placées près de l’entrée du bâtiment afin de limiter la distance à parcourir par les personnes ayant des </w:t>
      </w:r>
      <w:r w:rsidR="004237A6">
        <w:lastRenderedPageBreak/>
        <w:t>limitations, qui sont souvent moins visibles et donc plus à risque de se faire heurter par un véhicule</w:t>
      </w:r>
      <w:r w:rsidR="004237A6" w:rsidRPr="005C198D">
        <w:t>. La COPHAN recommande que le montant de l’amende pour non</w:t>
      </w:r>
      <w:r w:rsidR="003D58DD">
        <w:t>-</w:t>
      </w:r>
      <w:r w:rsidR="004237A6" w:rsidRPr="005C198D">
        <w:t>respect de l’interdiction de stationner aux places réservées aux détenteurs de vignette soit augmenté afin d’avoir un effet réellement dissuasif et que les autorités portent une attention particulière à faire appliquer ce règlement.</w:t>
      </w:r>
    </w:p>
    <w:p w:rsidR="00AA3CB7" w:rsidRPr="00D5128B" w:rsidRDefault="00FC4342" w:rsidP="003667E2">
      <w:pPr>
        <w:pStyle w:val="Titre2"/>
        <w:spacing w:line="23" w:lineRule="atLeast"/>
      </w:pPr>
      <w:bookmarkStart w:id="17" w:name="_Toc476298577"/>
      <w:r>
        <w:t>Déneigement</w:t>
      </w:r>
      <w:bookmarkEnd w:id="17"/>
      <w:r>
        <w:br/>
      </w:r>
    </w:p>
    <w:p w:rsidR="00FC4342" w:rsidRDefault="00983EE5" w:rsidP="00A3096B">
      <w:r>
        <w:t xml:space="preserve">L’hiver est une réalité à laquelle nous sommes confrontés chaque année et qui </w:t>
      </w:r>
      <w:r w:rsidR="001F4242">
        <w:t xml:space="preserve">pose des obstacles supplémentaires aux personnes ayant des limitations fonctionnelles. Ainsi, afin de favoriser l’autonomie des personnes ayant des limitations et de lutter contre leur exclusion, il importe de </w:t>
      </w:r>
      <w:r w:rsidR="003979CC">
        <w:t>d</w:t>
      </w:r>
      <w:r w:rsidR="001F4242">
        <w:t>éneiger en priorité :</w:t>
      </w:r>
    </w:p>
    <w:p w:rsidR="00A3096B" w:rsidRDefault="001F4242" w:rsidP="00A3096B">
      <w:pPr>
        <w:pStyle w:val="Paragraphedeliste"/>
        <w:numPr>
          <w:ilvl w:val="0"/>
          <w:numId w:val="18"/>
        </w:numPr>
      </w:pPr>
      <w:r>
        <w:t>Les trottoirs</w:t>
      </w:r>
    </w:p>
    <w:p w:rsidR="00A3096B" w:rsidRDefault="001F4242" w:rsidP="00A3096B">
      <w:pPr>
        <w:pStyle w:val="Paragraphedeliste"/>
        <w:numPr>
          <w:ilvl w:val="0"/>
          <w:numId w:val="18"/>
        </w:numPr>
      </w:pPr>
      <w:r>
        <w:t>Les intersections (incluant l’accès aux boutons d’appel pour feux sonores)</w:t>
      </w:r>
    </w:p>
    <w:p w:rsidR="003979CC" w:rsidRPr="00983EE5" w:rsidRDefault="001F4242" w:rsidP="003979CC">
      <w:pPr>
        <w:pStyle w:val="Paragraphedeliste"/>
        <w:numPr>
          <w:ilvl w:val="0"/>
          <w:numId w:val="18"/>
        </w:numPr>
      </w:pPr>
      <w:r>
        <w:t>Les zones de débarcadères pour personnes handicapées</w:t>
      </w:r>
    </w:p>
    <w:p w:rsidR="00AA3CB7" w:rsidRDefault="001F4242" w:rsidP="00A3096B">
      <w:r>
        <w:t>De plus, un projet mené en collaboration entre la Ville de Montréal et des groupes du milieu communautaire autonome des personnes ayant des limitations</w:t>
      </w:r>
      <w:r w:rsidR="00CA7F30">
        <w:rPr>
          <w:rStyle w:val="Appelnotedebasdep"/>
        </w:rPr>
        <w:footnoteReference w:id="9"/>
      </w:r>
      <w:r>
        <w:t xml:space="preserve"> nous permet de croire que l’éducation et la s</w:t>
      </w:r>
      <w:r w:rsidR="00AA3CB7">
        <w:t>ensibilisati</w:t>
      </w:r>
      <w:r>
        <w:t>on des équipes de déneigement aux réalités vécues par ces personnes permet</w:t>
      </w:r>
      <w:r w:rsidR="003D58DD">
        <w:t xml:space="preserve">tent </w:t>
      </w:r>
      <w:r>
        <w:t xml:space="preserve">d’améliorer la sécurité des opérations de déneigement. </w:t>
      </w:r>
    </w:p>
    <w:p w:rsidR="00AA3CB7" w:rsidRPr="00D5128B" w:rsidRDefault="004C3D2A" w:rsidP="003667E2">
      <w:pPr>
        <w:pStyle w:val="Titre1"/>
        <w:spacing w:line="23" w:lineRule="atLeast"/>
      </w:pPr>
      <w:r>
        <w:br/>
      </w:r>
      <w:bookmarkStart w:id="18" w:name="_Toc476298578"/>
      <w:r w:rsidR="00AA3CB7" w:rsidRPr="00D5128B">
        <w:t>Cyclistes</w:t>
      </w:r>
      <w:bookmarkEnd w:id="18"/>
    </w:p>
    <w:p w:rsidR="00ED3CC8" w:rsidRDefault="00ED3CC8" w:rsidP="00ED3CC8">
      <w:pPr>
        <w:spacing w:line="23" w:lineRule="atLeast"/>
      </w:pPr>
    </w:p>
    <w:p w:rsidR="009C1921" w:rsidRDefault="00ED3CC8" w:rsidP="00A3096B">
      <w:r>
        <w:t>La cohabitation entre cyclistes et piétons ayant des limitations fonctionnelles est un sujet qui</w:t>
      </w:r>
      <w:r w:rsidR="009C1921">
        <w:t xml:space="preserve"> interpelle beaucoup nos membres. Le partage des voies de circulation entre cyclistes et piétons présente des dangers, particulièrement pour les personnes sourdes, malentendantes, aveugles ou malvoyantes qui peuvent difficilement percevoir l’approche des cyclistes. Par </w:t>
      </w:r>
      <w:r w:rsidR="009C1921" w:rsidRPr="00A3096B">
        <w:t xml:space="preserve">conséquent, la COPHAN se prononce contre les pistes multifonctionnelles et demande une séparation complète entre la voie cycliste et l’espace réservé aux piétons. Lorsque ces espaces sont juxtaposés, il est impératif </w:t>
      </w:r>
      <w:r w:rsidR="002F3763" w:rsidRPr="00A3096B">
        <w:t>qu’une séparation physique claire et facilement détectable à l’aide d’une canne soit présente entre les deux.</w:t>
      </w:r>
      <w:r w:rsidR="002F3763">
        <w:t xml:space="preserve"> </w:t>
      </w:r>
    </w:p>
    <w:p w:rsidR="002F3763" w:rsidRDefault="002F3763" w:rsidP="00A3096B"/>
    <w:p w:rsidR="004C3D2A" w:rsidRPr="00257469" w:rsidRDefault="002F3763" w:rsidP="00257469">
      <w:r>
        <w:t>On remarque également qu</w:t>
      </w:r>
      <w:r w:rsidR="0015036F">
        <w:t>e des incidents sont causés par des bicyclettes mal stationnées, faute de supports en nombre suffisant ou stratégiquement placés. Fréquemment, des vélos attachés à des rampes d’accès bloquent le passage aux personnes en fauteuil roulant. Autre exemple, des personnes aveugles se heurtent à des bicyclettes attachées au mobilier urbain</w:t>
      </w:r>
      <w:r w:rsidR="00FC4342">
        <w:t xml:space="preserve"> </w:t>
      </w:r>
      <w:r w:rsidR="0015036F">
        <w:t xml:space="preserve">non prévu à cet effet ou tout simplement à des arbres. </w:t>
      </w:r>
      <w:r w:rsidR="00257469">
        <w:br/>
      </w:r>
    </w:p>
    <w:p w:rsidR="00AA3CB7" w:rsidRPr="00D5128B" w:rsidRDefault="00AA3CB7" w:rsidP="003667E2">
      <w:pPr>
        <w:pStyle w:val="Titre1"/>
        <w:spacing w:line="23" w:lineRule="atLeast"/>
      </w:pPr>
      <w:bookmarkStart w:id="19" w:name="_Toc476298579"/>
      <w:r w:rsidRPr="00D5128B">
        <w:lastRenderedPageBreak/>
        <w:t>Jeunes conducteurs et éducation à la sécurité routière</w:t>
      </w:r>
      <w:bookmarkEnd w:id="19"/>
    </w:p>
    <w:p w:rsidR="00F502BE" w:rsidRDefault="00257469" w:rsidP="00F502BE">
      <w:pPr>
        <w:pStyle w:val="Titre2"/>
      </w:pPr>
      <w:r>
        <w:br/>
      </w:r>
      <w:bookmarkStart w:id="20" w:name="_Toc476298580"/>
      <w:r w:rsidR="00F502BE">
        <w:t>Éducation de l’ensemble des usagers de la route</w:t>
      </w:r>
      <w:bookmarkEnd w:id="20"/>
    </w:p>
    <w:p w:rsidR="00F502BE" w:rsidRPr="00F502BE" w:rsidRDefault="00F502BE" w:rsidP="00F502BE"/>
    <w:p w:rsidR="00D5128B" w:rsidRDefault="0015036F" w:rsidP="00A3096B">
      <w:r>
        <w:t>Comme mentionné en introduction, au Québec, la culture de l’automobile fait en sorte que les automobilistes présument constamment avoir la priorité sur les routes. À la COPHAN, nous croyons qu’une meilleure é</w:t>
      </w:r>
      <w:r w:rsidR="00AA3CB7">
        <w:t xml:space="preserve">ducation de tous les usagers de la route aux droits et obligations de tous les usagers de la route </w:t>
      </w:r>
      <w:r>
        <w:t>favoriserait une meilleure cohabitation.</w:t>
      </w:r>
      <w:r w:rsidR="009C0D95">
        <w:t xml:space="preserve"> Cette éducation à la courtoisie et au partage de la route doit non seulement se faire dans les cours de conduite, mais à l’école dès un jeune âge. </w:t>
      </w:r>
    </w:p>
    <w:p w:rsidR="00A3096B" w:rsidRDefault="00A3096B" w:rsidP="00A3096B"/>
    <w:p w:rsidR="00F502BE" w:rsidRDefault="00F502BE" w:rsidP="00A3096B">
      <w:r>
        <w:t>Il importe aussi de mieux faire connaître les règles entourant la circulation des AMM à tous les usagers de la route</w:t>
      </w:r>
      <w:r w:rsidR="00E90A52">
        <w:t>.</w:t>
      </w:r>
      <w:r>
        <w:t xml:space="preserve"> En effet, en vertu du projet-pilote lancé par le MTMDET en juin 2015</w:t>
      </w:r>
      <w:r w:rsidR="00E90A52">
        <w:rPr>
          <w:rStyle w:val="Appelnotedebasdep"/>
        </w:rPr>
        <w:footnoteReference w:id="10"/>
      </w:r>
      <w:r>
        <w:t>, les usagers d’AMM peuvent</w:t>
      </w:r>
      <w:r w:rsidR="00E90A52">
        <w:t xml:space="preserve"> et parfois doivent</w:t>
      </w:r>
      <w:r>
        <w:t xml:space="preserve"> circuler sur le trottoir, en bordure de </w:t>
      </w:r>
      <w:r w:rsidR="00E90A52">
        <w:t xml:space="preserve">la </w:t>
      </w:r>
      <w:r>
        <w:t>chaussé</w:t>
      </w:r>
      <w:r w:rsidR="003D58DD">
        <w:t xml:space="preserve">e </w:t>
      </w:r>
      <w:r>
        <w:t>ou dans la piste cyclable, selon le ca</w:t>
      </w:r>
      <w:r w:rsidR="00E90A52">
        <w:t xml:space="preserve">s. La méconnaissance de ces règles de la part des automobilistes, des cyclistes et des autres piétons entraîne des conflits entre usagers qui peuvent aller jusqu’à compromettre l’intégrité physique des usagers d’AMM. </w:t>
      </w:r>
    </w:p>
    <w:p w:rsidR="00AA3CB7" w:rsidRPr="00D5128B" w:rsidRDefault="00AA3CB7" w:rsidP="003667E2">
      <w:pPr>
        <w:pStyle w:val="Titre2"/>
        <w:spacing w:line="23" w:lineRule="atLeast"/>
      </w:pPr>
      <w:bookmarkStart w:id="21" w:name="_Toc476298581"/>
      <w:r w:rsidRPr="00D5128B">
        <w:t>Campagnes de sensibilisation à la courtoisie de la SAAQ</w:t>
      </w:r>
      <w:bookmarkEnd w:id="21"/>
    </w:p>
    <w:p w:rsidR="0015036F" w:rsidRDefault="0015036F" w:rsidP="0015036F">
      <w:pPr>
        <w:spacing w:line="23" w:lineRule="atLeast"/>
      </w:pPr>
    </w:p>
    <w:p w:rsidR="009865D3" w:rsidRDefault="009C0D95" w:rsidP="00A3096B">
      <w:r>
        <w:t>Les campagnes de sensibilisation menées par la SAAQ sont une bonne façon de promouvoir la courtoisie sur la voie publique et d’éduquer les usagers de la route par rapport à leurs droits et responsabilités respectifs. Il s’agit également d’une excellente occasion d’augmenter la v</w:t>
      </w:r>
      <w:r w:rsidR="00AA3CB7">
        <w:t>isibilité</w:t>
      </w:r>
      <w:r>
        <w:t xml:space="preserve"> positive</w:t>
      </w:r>
      <w:r w:rsidR="00AA3CB7">
        <w:t xml:space="preserve"> des personnes ayant des limitations fonctionnelles </w:t>
      </w:r>
      <w:r>
        <w:t xml:space="preserve">dans l’espace public. </w:t>
      </w:r>
      <w:r w:rsidR="009865D3">
        <w:t xml:space="preserve">Trop souvent, le handicap est utilisé comme repoussoir dans les publicités, un danger contre lequel il faut se prémunir. La campagne de promotion de la santé et de la sécurité au travail menée par la CNESST en 2016 dans laquelle on présente des personnes malheureuses et démunies en raison de leur handicap acquis en est un exemple frappant. On y voit notamment un père devenu paralysé suite à un accident de travail, impuissant devant les pleurs de sa fille qu’il ne peut prendre dans ses bras. </w:t>
      </w:r>
    </w:p>
    <w:p w:rsidR="009865D3" w:rsidRDefault="009865D3" w:rsidP="00A3096B"/>
    <w:p w:rsidR="00AA3CB7" w:rsidRDefault="009865D3" w:rsidP="00A3096B">
      <w:r>
        <w:t xml:space="preserve">Bien sûr, la prévention du handicap est importante, mais toutes les limitations ne peuvent être prévenues. Certaines personnes naissent avec des limitations fonctionnelles ou développent des maladies qui en entraînent. </w:t>
      </w:r>
      <w:r w:rsidR="009C0D95">
        <w:t>Qu’il s’agisse de campagnes publicitaires affichées ou télévisuelles, elles doivent servir à projeter une image positive des personnes en situation de handicap, les présentant comme des citoyennes à part entière</w:t>
      </w:r>
      <w:r>
        <w:t>, dans toute leur diversité</w:t>
      </w:r>
      <w:r w:rsidR="009C0D95">
        <w:t xml:space="preserve">. </w:t>
      </w:r>
      <w:r w:rsidR="00AA3CB7">
        <w:t xml:space="preserve"> </w:t>
      </w:r>
    </w:p>
    <w:p w:rsidR="00AA3CB7" w:rsidRDefault="00AA3CB7" w:rsidP="003667E2">
      <w:pPr>
        <w:spacing w:line="23" w:lineRule="atLeast"/>
      </w:pPr>
    </w:p>
    <w:p w:rsidR="0015036F" w:rsidRDefault="0015036F" w:rsidP="0015036F">
      <w:pPr>
        <w:pStyle w:val="Titre2"/>
        <w:spacing w:line="23" w:lineRule="atLeast"/>
      </w:pPr>
      <w:bookmarkStart w:id="22" w:name="_Toc476298582"/>
      <w:r w:rsidRPr="00D5128B">
        <w:lastRenderedPageBreak/>
        <w:t>Apprentissage à la mobilité</w:t>
      </w:r>
      <w:bookmarkEnd w:id="22"/>
    </w:p>
    <w:p w:rsidR="009865D3" w:rsidRDefault="009865D3" w:rsidP="00A3096B"/>
    <w:p w:rsidR="0015036F" w:rsidRDefault="00BF7138" w:rsidP="00A3096B">
      <w:r>
        <w:t>Bien que les cours de conduite soient de mise pour tous les conducteurs, d’autres</w:t>
      </w:r>
      <w:r w:rsidR="001669B6">
        <w:t xml:space="preserve"> usagers de la route</w:t>
      </w:r>
      <w:r>
        <w:t xml:space="preserve"> ont besoin </w:t>
      </w:r>
      <w:r w:rsidR="001669B6">
        <w:t>d’un autre type d’apprentissage. On pense ici notamment aux usagers d’aides à la mobilité, motorisées ou n</w:t>
      </w:r>
      <w:r w:rsidR="00E90A52">
        <w:t xml:space="preserve">on, </w:t>
      </w:r>
      <w:r w:rsidR="001669B6">
        <w:t>aux personnes aveugles ou ayant une basse vision</w:t>
      </w:r>
      <w:r w:rsidR="00E90A52">
        <w:t xml:space="preserve"> et aux personnes ayant une limitation intellectuelle</w:t>
      </w:r>
      <w:r w:rsidR="001669B6">
        <w:t>. Tout aussi importants que les cours de conduite pour assurer des déplacements fluides et sécuritaires et un partage convivial de l’espace public, les programmes d’apprentissage à la mobilité administrés par les centres de réadaptation doivent être développés, bonifiés et bénéficier d’un financement adéquat.</w:t>
      </w:r>
    </w:p>
    <w:p w:rsidR="00AA3CB7" w:rsidRPr="00D5128B" w:rsidRDefault="004C3D2A" w:rsidP="003667E2">
      <w:pPr>
        <w:pStyle w:val="Titre1"/>
        <w:spacing w:line="23" w:lineRule="atLeast"/>
      </w:pPr>
      <w:r>
        <w:br/>
      </w:r>
      <w:bookmarkStart w:id="23" w:name="_Toc476298583"/>
      <w:r w:rsidR="00AA3CB7" w:rsidRPr="00D5128B">
        <w:t>Piétons</w:t>
      </w:r>
      <w:bookmarkEnd w:id="23"/>
    </w:p>
    <w:p w:rsidR="00155112" w:rsidRDefault="004C3D2A" w:rsidP="00155112">
      <w:pPr>
        <w:pStyle w:val="Titre2"/>
        <w:spacing w:line="23" w:lineRule="atLeast"/>
      </w:pPr>
      <w:r>
        <w:br/>
      </w:r>
      <w:bookmarkStart w:id="24" w:name="_Toc476298584"/>
      <w:r w:rsidR="00155112">
        <w:t>Clarification du statut d</w:t>
      </w:r>
      <w:r w:rsidR="00AA3CB7" w:rsidRPr="00D5128B">
        <w:t>e piéton</w:t>
      </w:r>
      <w:bookmarkEnd w:id="24"/>
    </w:p>
    <w:p w:rsidR="00155112" w:rsidRDefault="00155112" w:rsidP="00155112"/>
    <w:p w:rsidR="00AA3CB7" w:rsidRDefault="00155112" w:rsidP="00155112">
      <w:r>
        <w:t>La COPHAN demande une clarification du statut de piéton dans le Code de sécurité routière</w:t>
      </w:r>
      <w:r w:rsidR="00AA3CB7">
        <w:t>,</w:t>
      </w:r>
      <w:r>
        <w:t xml:space="preserve"> afin que ce dernier inclue les personnes se déplaçant à l’aide d’un</w:t>
      </w:r>
      <w:r w:rsidR="00AA3CB7">
        <w:t xml:space="preserve"> fauteuil roulant, </w:t>
      </w:r>
      <w:r>
        <w:t>d’une aide à la mobilité motorisée ou de</w:t>
      </w:r>
      <w:r w:rsidR="00AA3CB7">
        <w:t xml:space="preserve"> toute autre aide technique à la mobilité du même type prescrite par un professionnel pour pallier une incapacité à la marche</w:t>
      </w:r>
      <w:r>
        <w:t>. En aucun cas une aide à la mobilité</w:t>
      </w:r>
      <w:r w:rsidR="00F502BE">
        <w:t xml:space="preserve"> palliant une incapacité à la marche</w:t>
      </w:r>
      <w:r>
        <w:t xml:space="preserve">, même motorisée, </w:t>
      </w:r>
      <w:r w:rsidR="00F502BE">
        <w:t xml:space="preserve">ne doit être assimilée à un véhicule. </w:t>
      </w:r>
    </w:p>
    <w:p w:rsidR="00F502BE" w:rsidRDefault="00F502BE" w:rsidP="00155112"/>
    <w:p w:rsidR="002F3763" w:rsidRDefault="00E90A52" w:rsidP="004C3D2A">
      <w:r>
        <w:t xml:space="preserve">De l’avis de la COPHAN, les personnes se déplaçant avec une aide à la mobilité, motorisée ou non, devraient avoir les mêmes droits et responsabilités que tous les piétons, compte tenu des adaptations nécessaires. À ce sujet, nous vous invitons à consulter notre </w:t>
      </w:r>
      <w:hyperlink r:id="rId19" w:history="1">
        <w:r w:rsidRPr="00DE7471">
          <w:rPr>
            <w:rStyle w:val="Lienhypertexte"/>
          </w:rPr>
          <w:t>mémoire sur le projet-pilote relatif aux aides à la mobilité motorisées</w:t>
        </w:r>
      </w:hyperlink>
      <w:r w:rsidR="00DE7471">
        <w:rPr>
          <w:rStyle w:val="Appelnotedebasdep"/>
        </w:rPr>
        <w:footnoteReference w:id="11"/>
      </w:r>
      <w:r>
        <w:t xml:space="preserve">, déposé en juin 2015. </w:t>
      </w:r>
    </w:p>
    <w:p w:rsidR="004C3D2A" w:rsidRDefault="004C3D2A" w:rsidP="004C3D2A"/>
    <w:p w:rsidR="00AA3CB7" w:rsidRPr="00D5128B" w:rsidRDefault="00F024B8" w:rsidP="004C3D2A">
      <w:pPr>
        <w:pStyle w:val="Titre2"/>
        <w:spacing w:before="0"/>
      </w:pPr>
      <w:bookmarkStart w:id="25" w:name="_Toc476298585"/>
      <w:r>
        <w:t>Virage à droite au feu rouge</w:t>
      </w:r>
      <w:bookmarkEnd w:id="25"/>
      <w:r w:rsidR="00BC7C17">
        <w:t xml:space="preserve"> </w:t>
      </w:r>
    </w:p>
    <w:p w:rsidR="00A327FA" w:rsidRDefault="00A327FA" w:rsidP="00A327FA">
      <w:pPr>
        <w:spacing w:line="23" w:lineRule="atLeast"/>
      </w:pPr>
    </w:p>
    <w:p w:rsidR="00BC7C17" w:rsidRDefault="00A327FA" w:rsidP="004C3D2A">
      <w:r>
        <w:t xml:space="preserve">Le </w:t>
      </w:r>
      <w:r w:rsidR="00BC7C17">
        <w:t>VDFR</w:t>
      </w:r>
      <w:r>
        <w:t xml:space="preserve"> représente un danger considérable pour tous les piétons, mais particulièrement pour ceux ayant une limitation fonctionnelle. Les personnes de petite taille et les personnes en fauteuil roulant sont moins visibles pour les automobilistes. Les personnes ayant une limitation visuelle ou auditive, quant à elles, disposent d’un sens de moins que les autres piétons pour anticiper les manœuvres des automobilistes, ce qui les rend plus vulnérables</w:t>
      </w:r>
      <w:r w:rsidR="00BC7C17">
        <w:t xml:space="preserve"> aux intersections où le VDFR est permis. Pour cette raison, la COPHAN demande le m</w:t>
      </w:r>
      <w:r w:rsidR="00AA3CB7">
        <w:t>aintien de l’interdiction</w:t>
      </w:r>
      <w:r w:rsidR="00BC7C17">
        <w:t xml:space="preserve"> du VDFR</w:t>
      </w:r>
      <w:r w:rsidR="00AA3CB7">
        <w:t xml:space="preserve"> sur l’île de Montréal</w:t>
      </w:r>
      <w:r w:rsidR="00FC4342">
        <w:t xml:space="preserve"> et une meilleure pénalisation des comportements interdits là où le VDFR est permis.</w:t>
      </w:r>
    </w:p>
    <w:p w:rsidR="003979CC" w:rsidRDefault="003979CC" w:rsidP="004C3D2A"/>
    <w:p w:rsidR="00AA3CB7" w:rsidRDefault="00BC7C17" w:rsidP="004C3D2A">
      <w:r>
        <w:lastRenderedPageBreak/>
        <w:t xml:space="preserve">De plus, à l’instar du </w:t>
      </w:r>
      <w:r w:rsidR="003979CC">
        <w:t>RAAQ</w:t>
      </w:r>
      <w:r>
        <w:t xml:space="preserve"> et pour les raisons invoquées par ce dernier</w:t>
      </w:r>
      <w:r>
        <w:rPr>
          <w:rStyle w:val="Appelnotedebasdep"/>
        </w:rPr>
        <w:footnoteReference w:id="12"/>
      </w:r>
      <w:r>
        <w:t xml:space="preserve">, la COPHAN demande l’interdiction du VDFR à toutes </w:t>
      </w:r>
      <w:r w:rsidR="00AA3CB7">
        <w:t xml:space="preserve">les intersections où un spécialiste en orientation et mobilité d’un centre de réadaptation recommande l’installation d’un feu sonore. </w:t>
      </w:r>
    </w:p>
    <w:p w:rsidR="00FD5FAD" w:rsidRDefault="004C3D2A" w:rsidP="003667E2">
      <w:pPr>
        <w:pStyle w:val="Titre1"/>
        <w:spacing w:line="23" w:lineRule="atLeast"/>
      </w:pPr>
      <w:r>
        <w:br/>
      </w:r>
      <w:bookmarkStart w:id="26" w:name="_Toc476298586"/>
      <w:r w:rsidR="00D5128B" w:rsidRPr="00D5128B">
        <w:t>Sécurité des véhicules</w:t>
      </w:r>
      <w:bookmarkEnd w:id="26"/>
    </w:p>
    <w:p w:rsidR="00D5128B" w:rsidRDefault="004C3D2A" w:rsidP="003667E2">
      <w:pPr>
        <w:pStyle w:val="Titre2"/>
        <w:spacing w:line="23" w:lineRule="atLeast"/>
      </w:pPr>
      <w:r>
        <w:br/>
      </w:r>
      <w:bookmarkStart w:id="27" w:name="_Toc476298587"/>
      <w:r w:rsidR="00D5128B" w:rsidRPr="00D5128B">
        <w:t>Véhicules électriques et hybrides</w:t>
      </w:r>
      <w:bookmarkEnd w:id="27"/>
    </w:p>
    <w:p w:rsidR="007924C5" w:rsidRDefault="007924C5" w:rsidP="007924C5"/>
    <w:p w:rsidR="0071493D" w:rsidRDefault="007924C5" w:rsidP="007924C5">
      <w:r w:rsidRPr="003C4043">
        <w:t xml:space="preserve">Dans les dernières années, de plus en plus de véhicules électriques et hybrides ont fait leur apparition sur les routes du </w:t>
      </w:r>
      <w:r w:rsidR="003C4043" w:rsidRPr="003C4043">
        <w:t>Québec.</w:t>
      </w:r>
      <w:r w:rsidR="003C4043">
        <w:t xml:space="preserve"> Bien qu’intéressants sur les plans environnemental et économique, ces véhicules représentent un danger pour les personnes ayant une limitation visuelle</w:t>
      </w:r>
      <w:r w:rsidR="0071493D">
        <w:t>, car elles n’émettent pas ou très peu de bruit, rendant leur passage difficile à percevoir</w:t>
      </w:r>
      <w:r w:rsidR="003C4043">
        <w:t>.</w:t>
      </w:r>
    </w:p>
    <w:p w:rsidR="005A3941" w:rsidRDefault="005A3941" w:rsidP="007924C5"/>
    <w:p w:rsidR="004F0B2B" w:rsidRDefault="0071493D" w:rsidP="004F0B2B">
      <w:r>
        <w:t xml:space="preserve">C’est </w:t>
      </w:r>
      <w:r w:rsidR="004F0B2B">
        <w:t>pourquoi la COPHAN</w:t>
      </w:r>
      <w:r w:rsidR="004C3D2A">
        <w:t>, à l’instar du RAAQ,</w:t>
      </w:r>
      <w:r w:rsidR="004F0B2B">
        <w:t xml:space="preserve"> </w:t>
      </w:r>
      <w:r w:rsidR="004F0B2B" w:rsidRPr="004C3D2A">
        <w:t>demande l’adoption d’une norme sur les avertisseurs sonores pour véhicules silencieux. Étant donné que</w:t>
      </w:r>
      <w:r w:rsidR="007924C5" w:rsidRPr="004C3D2A">
        <w:t xml:space="preserve"> sa politique d’électrification des transports </w:t>
      </w:r>
      <w:r w:rsidR="004F0B2B" w:rsidRPr="004C3D2A">
        <w:t>fixe l’</w:t>
      </w:r>
      <w:r w:rsidR="007924C5" w:rsidRPr="004C3D2A">
        <w:t>objectif d’atteindre 100</w:t>
      </w:r>
      <w:r w:rsidR="003D58DD">
        <w:t> </w:t>
      </w:r>
      <w:r w:rsidR="007924C5" w:rsidRPr="004C3D2A">
        <w:t xml:space="preserve">000 véhicules électriques sur nos routes d’ici 2020, il est impératif que le gouvernement du Québec </w:t>
      </w:r>
      <w:r w:rsidR="004F0B2B" w:rsidRPr="004C3D2A">
        <w:t>agisse rapidement, avant que le nombre de véhicules électriques non équipés d’un tel avertisseur sur nos</w:t>
      </w:r>
      <w:r w:rsidR="004F0B2B">
        <w:t xml:space="preserve"> routes soit trop élevé. </w:t>
      </w:r>
      <w:r w:rsidR="003B0346">
        <w:t>Pour plus de détails sur le danger que représentent les véhicules silencieux et la nécessité d’adopter rapidement une norme sur les avertisseurs sonores, nous vous invitons à consulter le mémoire déposé par le RAAQ dans le cadre de la présente consultation.</w:t>
      </w:r>
    </w:p>
    <w:p w:rsidR="004F0B2B" w:rsidRDefault="004F0B2B" w:rsidP="004F0B2B">
      <w:pPr>
        <w:pStyle w:val="Titre2"/>
        <w:spacing w:line="23" w:lineRule="atLeast"/>
      </w:pPr>
      <w:bookmarkStart w:id="28" w:name="_Toc476298588"/>
      <w:r>
        <w:t>Accessibilité des bornes de recharge</w:t>
      </w:r>
      <w:bookmarkEnd w:id="28"/>
    </w:p>
    <w:p w:rsidR="003B0346" w:rsidRDefault="003B0346" w:rsidP="004F0B2B"/>
    <w:p w:rsidR="003803DB" w:rsidRDefault="003B0346" w:rsidP="004F0B2B">
      <w:r>
        <w:t>La multiplication des véhicules électriques sur nos routes va de pair avec l’augmentation des bornes de recharge sur le domaine public. Il s’agit là d’une excellente opportunité à saisir pour renforcer l’autonomie des personnes se déplaçant à l’aide d’u</w:t>
      </w:r>
      <w:r w:rsidR="002F2AFD">
        <w:t>ne aide à la mobilité motorisée ou d’un vélo électrique</w:t>
      </w:r>
      <w:r>
        <w:t xml:space="preserve">. </w:t>
      </w:r>
    </w:p>
    <w:p w:rsidR="003803DB" w:rsidRDefault="003803DB" w:rsidP="004F0B2B"/>
    <w:p w:rsidR="003803DB" w:rsidRDefault="003803DB" w:rsidP="004F0B2B">
      <w:r>
        <w:t>En effet, considérant que les AMM actuellement attribuées par le réseau de la santé ont une autonomie de batterie d’environ 10</w:t>
      </w:r>
      <w:r w:rsidR="003D58DD">
        <w:t> </w:t>
      </w:r>
      <w:r>
        <w:t>km, soit plus ou moins 1</w:t>
      </w:r>
      <w:r w:rsidR="003D58DD">
        <w:t> h </w:t>
      </w:r>
      <w:r>
        <w:t>30, l</w:t>
      </w:r>
      <w:r w:rsidR="002F2AFD">
        <w:t xml:space="preserve">a possibilité de les recharger un peu partout dans la ville serait une avancée significative pour l’autonomie des personnes à mobilité réduite. Afin de maximiser l’impact social positif de la volonté gouvernementale d’électrifier nos </w:t>
      </w:r>
      <w:r w:rsidR="002F2AFD" w:rsidRPr="00103B3D">
        <w:t>transports, il est crucial qu’une norme stipulant que les bornes de recharge électrique doivent être équipées de fiches accessibles du côté du trottoir à une hauteur adéquate pour les usagers d’AMM soit rapidement adoptée.</w:t>
      </w:r>
      <w:r w:rsidR="002F2AFD">
        <w:t xml:space="preserve"> </w:t>
      </w:r>
    </w:p>
    <w:p w:rsidR="00F024B8" w:rsidRDefault="00AA3CB7" w:rsidP="003667E2">
      <w:pPr>
        <w:pStyle w:val="Titre1"/>
        <w:spacing w:line="23" w:lineRule="atLeast"/>
      </w:pPr>
      <w:bookmarkStart w:id="29" w:name="_Toc476298589"/>
      <w:r w:rsidRPr="00F024B8">
        <w:lastRenderedPageBreak/>
        <w:t>Conclusion</w:t>
      </w:r>
      <w:bookmarkEnd w:id="29"/>
      <w:r w:rsidRPr="00F024B8">
        <w:t> </w:t>
      </w:r>
    </w:p>
    <w:p w:rsidR="00103B3D" w:rsidRDefault="00103B3D" w:rsidP="00832FA8">
      <w:pPr>
        <w:spacing w:after="200"/>
        <w:rPr>
          <w:b/>
        </w:rPr>
      </w:pPr>
    </w:p>
    <w:p w:rsidR="003E6E1F" w:rsidRDefault="00235065" w:rsidP="00832FA8">
      <w:pPr>
        <w:rPr>
          <w:kern w:val="32"/>
        </w:rPr>
      </w:pPr>
      <w:r>
        <w:rPr>
          <w:kern w:val="32"/>
        </w:rPr>
        <w:t xml:space="preserve">Tel qu’exposé dans ce mémoire, les enjeux de sécurité routière touchant d’une façon particulière les personnes ayant des limitations fonctionnelles sont nombreux et les besoins de ces dernières doivent impérativement être pris en considération afin que les personnes de toute condition puissent effectuer des déplacements efficaces, confortables et sécuritaires. </w:t>
      </w:r>
    </w:p>
    <w:p w:rsidR="00235065" w:rsidRDefault="00235065" w:rsidP="00832FA8">
      <w:pPr>
        <w:rPr>
          <w:kern w:val="32"/>
        </w:rPr>
      </w:pPr>
    </w:p>
    <w:p w:rsidR="00235065" w:rsidRDefault="00235065" w:rsidP="00832FA8">
      <w:pPr>
        <w:rPr>
          <w:kern w:val="32"/>
        </w:rPr>
      </w:pPr>
      <w:r>
        <w:rPr>
          <w:kern w:val="32"/>
        </w:rPr>
        <w:t xml:space="preserve">Cela dit, le fait est que très peu de recherches sont effectuées à ce sujet et, par conséquent, il nous est difficile de formuler des recommandations précises. C’est pourquoi nous insistons sur la nécessité de considérer les personnes en situation de handicap lors des études portant sur la mobilité, le déplacement et l’aménagement. Avoir plus de données nous et vous permettra de mieux comprendre les habitudes et besoins de ces citoyens et citoyennes à part entière et de concevoir et d’aménager la voie publique afin </w:t>
      </w:r>
      <w:r w:rsidR="00F21819">
        <w:rPr>
          <w:kern w:val="32"/>
        </w:rPr>
        <w:t>que chaque personne y trouve sa place. De plus, les données colligées par les municipalités et les gouvernements devraient systématiquement être ouvertes à tous, permettant ainsi le développement d’applications pour faciliter les déplacements de tout un chacun. En effet, les nouvelles technologies, si utilisées correctement et à leur plein potentiel, peuvent être un fabuleux vecteur d’inclusion sociale</w:t>
      </w:r>
      <w:r w:rsidR="003D58DD">
        <w:rPr>
          <w:kern w:val="32"/>
        </w:rPr>
        <w:t> !</w:t>
      </w:r>
      <w:r>
        <w:rPr>
          <w:kern w:val="32"/>
        </w:rPr>
        <w:t xml:space="preserve"> </w:t>
      </w:r>
    </w:p>
    <w:p w:rsidR="003E6E1F" w:rsidRDefault="003E6E1F" w:rsidP="00832FA8">
      <w:pPr>
        <w:rPr>
          <w:kern w:val="32"/>
        </w:rPr>
      </w:pPr>
    </w:p>
    <w:p w:rsidR="00832FA8" w:rsidRPr="00832FA8" w:rsidRDefault="00832FA8" w:rsidP="00832FA8">
      <w:pPr>
        <w:rPr>
          <w:kern w:val="32"/>
        </w:rPr>
      </w:pPr>
      <w:r>
        <w:rPr>
          <w:kern w:val="32"/>
        </w:rPr>
        <w:t xml:space="preserve">Finalement, la COPHAN tient à vous rappeler qu’en vertu de l’article 61.1 de la </w:t>
      </w:r>
      <w:r w:rsidRPr="00832FA8">
        <w:rPr>
          <w:i/>
          <w:kern w:val="32"/>
        </w:rPr>
        <w:t>Loi assurant l’exercice des droits des personnes handicapées en vue de leur intégration scolaire, professionnelle et sociale</w:t>
      </w:r>
      <w:r>
        <w:rPr>
          <w:kern w:val="32"/>
        </w:rPr>
        <w:t xml:space="preserve">, vous avez l’obligation de produire et de rendre public annuellement un plan d’action à l’égard des personnes handicapées. </w:t>
      </w:r>
      <w:r w:rsidR="003E6E1F">
        <w:rPr>
          <w:kern w:val="32"/>
        </w:rPr>
        <w:t xml:space="preserve">Bien que le MTMDET se soit acquitté de son obligation, la </w:t>
      </w:r>
      <w:r>
        <w:rPr>
          <w:kern w:val="32"/>
        </w:rPr>
        <w:t xml:space="preserve">SAAQ, </w:t>
      </w:r>
      <w:r w:rsidR="003E6E1F">
        <w:rPr>
          <w:kern w:val="32"/>
        </w:rPr>
        <w:t xml:space="preserve">elle, semble être en défaut. En effet, le dernier plan d’action à l’égard des personnes handicapées que l’on retrouve sur le site web de cette dernière date de 2015. </w:t>
      </w:r>
      <w:r w:rsidR="00F21819">
        <w:rPr>
          <w:kern w:val="32"/>
        </w:rPr>
        <w:t>Confiante</w:t>
      </w:r>
      <w:r w:rsidR="003E6E1F">
        <w:rPr>
          <w:kern w:val="32"/>
        </w:rPr>
        <w:t xml:space="preserve"> que l’ensemble des enjeux soulevés dans ce mémoire sauront vous convaincre de l’importance de renouveler votre plan d’action et d’apporter une attention particulière aux besoins des personnes ayant des limitations fonctionnell</w:t>
      </w:r>
      <w:r w:rsidR="00F21819">
        <w:rPr>
          <w:kern w:val="32"/>
        </w:rPr>
        <w:t xml:space="preserve">es dans la suite de vos travaux, </w:t>
      </w:r>
      <w:r w:rsidR="003E6E1F">
        <w:rPr>
          <w:kern w:val="32"/>
        </w:rPr>
        <w:t xml:space="preserve">la COPHAN tient à vous assurer de son entière collaboration. </w:t>
      </w:r>
    </w:p>
    <w:sectPr w:rsidR="00832FA8" w:rsidRPr="00832FA8" w:rsidSect="00FD5FAD">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7F" w:rsidRDefault="0073257F" w:rsidP="00FF7B19">
      <w:pPr>
        <w:spacing w:line="240" w:lineRule="auto"/>
      </w:pPr>
      <w:r>
        <w:separator/>
      </w:r>
    </w:p>
  </w:endnote>
  <w:endnote w:type="continuationSeparator" w:id="0">
    <w:p w:rsidR="0073257F" w:rsidRDefault="0073257F" w:rsidP="00FF7B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DD" w:rsidRDefault="003D58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DD" w:rsidRDefault="003D58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DD" w:rsidRDefault="003D58DD">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96" w:rsidRPr="009368B2" w:rsidRDefault="00494896" w:rsidP="003C4043">
    <w:pPr>
      <w:pStyle w:val="Pieddepage"/>
      <w:rPr>
        <w:sz w:val="18"/>
        <w:szCs w:val="18"/>
      </w:rPr>
    </w:pPr>
    <w:r w:rsidRPr="009368B2">
      <w:rPr>
        <w:sz w:val="18"/>
        <w:szCs w:val="18"/>
      </w:rPr>
      <w:t xml:space="preserve">Confédération des organismes de personnes handicapées du Québec (COPHAN)        </w:t>
    </w:r>
  </w:p>
  <w:p w:rsidR="00494896" w:rsidRPr="009368B2" w:rsidRDefault="00494896" w:rsidP="003C4043">
    <w:pPr>
      <w:pStyle w:val="Pieddepage"/>
      <w:rPr>
        <w:sz w:val="18"/>
        <w:szCs w:val="18"/>
      </w:rPr>
    </w:pPr>
    <w:r w:rsidRPr="009368B2">
      <w:rPr>
        <w:sz w:val="18"/>
        <w:szCs w:val="18"/>
      </w:rPr>
      <w:t>2030 boul. Pie-IX, suite 300, Montréal (Québec) H2V 1C8</w:t>
    </w:r>
  </w:p>
  <w:p w:rsidR="00494896" w:rsidRPr="009368B2" w:rsidRDefault="00494896" w:rsidP="003C4043">
    <w:pPr>
      <w:pStyle w:val="Pieddepage"/>
      <w:rPr>
        <w:sz w:val="18"/>
        <w:szCs w:val="18"/>
      </w:rPr>
    </w:pPr>
    <w:r w:rsidRPr="009368B2">
      <w:rPr>
        <w:sz w:val="18"/>
        <w:szCs w:val="18"/>
      </w:rPr>
      <w:t>Tél : 514-284-0155 Courriel : info@cophan.org</w:t>
    </w:r>
    <w:r w:rsidRPr="009368B2">
      <w:rPr>
        <w:sz w:val="18"/>
        <w:szCs w:val="18"/>
      </w:rPr>
      <w:br/>
    </w:r>
    <w:hyperlink r:id="rId1" w:history="1">
      <w:r w:rsidRPr="009368B2">
        <w:rPr>
          <w:sz w:val="18"/>
          <w:szCs w:val="18"/>
        </w:rPr>
        <w:t>www.cophan.org</w:t>
      </w:r>
    </w:hyperlink>
    <w:r w:rsidRPr="009368B2">
      <w:rPr>
        <w:sz w:val="18"/>
        <w:szCs w:val="1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96" w:rsidRPr="009368B2" w:rsidRDefault="00494896" w:rsidP="003C4043">
    <w:pPr>
      <w:pStyle w:val="Pieddepage"/>
      <w:rPr>
        <w:sz w:val="18"/>
        <w:szCs w:val="18"/>
      </w:rPr>
    </w:pPr>
    <w:r w:rsidRPr="009368B2">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7F" w:rsidRDefault="0073257F" w:rsidP="00FF7B19">
      <w:pPr>
        <w:spacing w:line="240" w:lineRule="auto"/>
      </w:pPr>
      <w:r>
        <w:separator/>
      </w:r>
    </w:p>
  </w:footnote>
  <w:footnote w:type="continuationSeparator" w:id="0">
    <w:p w:rsidR="0073257F" w:rsidRDefault="0073257F" w:rsidP="00FF7B19">
      <w:pPr>
        <w:spacing w:line="240" w:lineRule="auto"/>
      </w:pPr>
      <w:r>
        <w:continuationSeparator/>
      </w:r>
    </w:p>
  </w:footnote>
  <w:footnote w:id="1">
    <w:p w:rsidR="00494896" w:rsidRDefault="00494896" w:rsidP="00513545">
      <w:pPr>
        <w:pStyle w:val="Notedebasdepage"/>
      </w:pPr>
      <w:r>
        <w:rPr>
          <w:rStyle w:val="Appelnotedebasdep"/>
        </w:rPr>
        <w:footnoteRef/>
      </w:r>
      <w:r>
        <w:t xml:space="preserve"> Loi </w:t>
      </w:r>
      <w:r w:rsidR="00BB2F66">
        <w:t>sur le développement durable, chapitre D-8.1.1</w:t>
      </w:r>
      <w:r w:rsidR="00257469">
        <w:t>.</w:t>
      </w:r>
    </w:p>
  </w:footnote>
  <w:footnote w:id="2">
    <w:p w:rsidR="00494896" w:rsidRDefault="00494896" w:rsidP="00513545">
      <w:pPr>
        <w:pStyle w:val="Notedebasdepage"/>
      </w:pPr>
      <w:r>
        <w:rPr>
          <w:rStyle w:val="Appelnotedebasdep"/>
        </w:rPr>
        <w:footnoteRef/>
      </w:r>
      <w:r>
        <w:t xml:space="preserve"> L</w:t>
      </w:r>
      <w:r w:rsidR="00257469">
        <w:t>oi assurant l’exercice des droits des personnes handicapées en vue de leur intégration scolaire, professionnelle et sociale, chapitre E-20.1</w:t>
      </w:r>
    </w:p>
  </w:footnote>
  <w:footnote w:id="3">
    <w:p w:rsidR="00494896" w:rsidRDefault="00494896" w:rsidP="00513545">
      <w:pPr>
        <w:pStyle w:val="Notedebasdepage"/>
      </w:pPr>
      <w:r>
        <w:rPr>
          <w:rStyle w:val="Appelnotedebasdep"/>
        </w:rPr>
        <w:footnoteRef/>
      </w:r>
      <w:r>
        <w:t xml:space="preserve"> </w:t>
      </w:r>
      <w:hyperlink r:id="rId1" w:history="1">
        <w:r w:rsidRPr="003D3D42">
          <w:rPr>
            <w:rStyle w:val="Lienhypertexte"/>
          </w:rPr>
          <w:t>https://www.institutions-democratiques.gouv.qc.ca/centre-de-presse/communiques/2016/2016-10-31.htm</w:t>
        </w:r>
      </w:hyperlink>
      <w:r>
        <w:t xml:space="preserve"> </w:t>
      </w:r>
    </w:p>
  </w:footnote>
  <w:footnote w:id="4">
    <w:p w:rsidR="00494896" w:rsidRDefault="00494896">
      <w:pPr>
        <w:pStyle w:val="Notedebasdepage"/>
      </w:pPr>
      <w:r>
        <w:rPr>
          <w:rStyle w:val="Appelnotedebasdep"/>
        </w:rPr>
        <w:footnoteRef/>
      </w:r>
      <w:r>
        <w:t xml:space="preserve"> </w:t>
      </w:r>
      <w:r w:rsidRPr="000A0D71">
        <w:t xml:space="preserve">Institut de la statistique du Québec. </w:t>
      </w:r>
      <w:r w:rsidRPr="000902BF">
        <w:rPr>
          <w:i/>
          <w:iCs/>
        </w:rPr>
        <w:t xml:space="preserve">Enquête québécoise sur les limitations d’activités, les maladies chroniques et le vieillissement 2010-2011, </w:t>
      </w:r>
      <w:r w:rsidRPr="000A0D71">
        <w:t>p.14</w:t>
      </w:r>
    </w:p>
  </w:footnote>
  <w:footnote w:id="5">
    <w:p w:rsidR="00494896" w:rsidRDefault="00494896" w:rsidP="00BA6988">
      <w:pPr>
        <w:pStyle w:val="Notedebasdepage"/>
      </w:pPr>
      <w:r>
        <w:rPr>
          <w:rStyle w:val="Appelnotedebasdep"/>
        </w:rPr>
        <w:footnoteRef/>
      </w:r>
      <w:r>
        <w:t xml:space="preserve"> Pour plus d’informations au sujet de la COPHAN, consultez notre site web au : </w:t>
      </w:r>
      <w:hyperlink r:id="rId2" w:history="1">
        <w:r w:rsidRPr="005668A8">
          <w:rPr>
            <w:rStyle w:val="Lienhypertexte"/>
          </w:rPr>
          <w:t>www.cophan.org</w:t>
        </w:r>
      </w:hyperlink>
      <w:r>
        <w:t xml:space="preserve">. </w:t>
      </w:r>
    </w:p>
  </w:footnote>
  <w:footnote w:id="6">
    <w:p w:rsidR="00494896" w:rsidRDefault="00494896">
      <w:pPr>
        <w:pStyle w:val="Notedebasdepage"/>
      </w:pPr>
      <w:r>
        <w:rPr>
          <w:rStyle w:val="Appelnotedebasdep"/>
        </w:rPr>
        <w:footnoteRef/>
      </w:r>
      <w:r>
        <w:t xml:space="preserve"> </w:t>
      </w:r>
      <w:r w:rsidR="00BB2F66">
        <w:t xml:space="preserve">COPHAN (2013) </w:t>
      </w:r>
      <w:r w:rsidRPr="00BB2F66">
        <w:rPr>
          <w:i/>
        </w:rPr>
        <w:t xml:space="preserve">Mémoire </w:t>
      </w:r>
      <w:r w:rsidR="00BB2F66" w:rsidRPr="00BB2F66">
        <w:rPr>
          <w:i/>
        </w:rPr>
        <w:t xml:space="preserve">portant sur le document de consultation de la future Politique québécoise de </w:t>
      </w:r>
      <w:r w:rsidRPr="00BB2F66">
        <w:rPr>
          <w:i/>
        </w:rPr>
        <w:t>mobilité durable</w:t>
      </w:r>
      <w:r w:rsidR="00BB2F66" w:rsidRPr="00BB2F66">
        <w:rPr>
          <w:i/>
        </w:rPr>
        <w:t> : pour une mobilité inclusive</w:t>
      </w:r>
      <w:r w:rsidR="00BB2F66">
        <w:t xml:space="preserve">. Montréal, 17p. En ligne : </w:t>
      </w:r>
      <w:hyperlink r:id="rId3" w:history="1">
        <w:r w:rsidR="00BB2F66" w:rsidRPr="003D3D42">
          <w:rPr>
            <w:rStyle w:val="Lienhypertexte"/>
          </w:rPr>
          <w:t>http://cophan.org/documentation/avis-et-memoires/</w:t>
        </w:r>
      </w:hyperlink>
      <w:r w:rsidR="00BB2F66">
        <w:t xml:space="preserve"> </w:t>
      </w:r>
    </w:p>
  </w:footnote>
  <w:footnote w:id="7">
    <w:p w:rsidR="00494896" w:rsidRPr="00BB2F66" w:rsidRDefault="00494896" w:rsidP="003979CC">
      <w:pPr>
        <w:pStyle w:val="Titre3"/>
        <w:shd w:val="clear" w:color="auto" w:fill="FFFFFF"/>
        <w:spacing w:before="0" w:after="120" w:line="240" w:lineRule="auto"/>
        <w:ind w:left="0"/>
        <w:textAlignment w:val="baseline"/>
        <w:rPr>
          <w:rFonts w:eastAsiaTheme="minorHAnsi" w:cstheme="minorBidi"/>
          <w:b w:val="0"/>
          <w:bCs w:val="0"/>
          <w:color w:val="auto"/>
          <w:sz w:val="20"/>
          <w:szCs w:val="20"/>
        </w:rPr>
      </w:pPr>
      <w:r w:rsidRPr="00BB2F66">
        <w:rPr>
          <w:rFonts w:eastAsiaTheme="minorHAnsi" w:cstheme="minorBidi"/>
          <w:b w:val="0"/>
          <w:bCs w:val="0"/>
          <w:color w:val="auto"/>
          <w:sz w:val="20"/>
          <w:szCs w:val="20"/>
          <w:vertAlign w:val="superscript"/>
        </w:rPr>
        <w:footnoteRef/>
      </w:r>
      <w:r w:rsidR="00FA0666" w:rsidRPr="00BB2F66">
        <w:rPr>
          <w:rFonts w:eastAsiaTheme="minorHAnsi" w:cstheme="minorBidi"/>
          <w:b w:val="0"/>
          <w:bCs w:val="0"/>
          <w:color w:val="auto"/>
          <w:sz w:val="20"/>
          <w:szCs w:val="20"/>
        </w:rPr>
        <w:t xml:space="preserve"> Commission des transpor</w:t>
      </w:r>
      <w:r w:rsidR="00BB2F66" w:rsidRPr="00BB2F66">
        <w:rPr>
          <w:rFonts w:eastAsiaTheme="minorHAnsi" w:cstheme="minorBidi"/>
          <w:b w:val="0"/>
          <w:bCs w:val="0"/>
          <w:color w:val="auto"/>
          <w:sz w:val="20"/>
          <w:szCs w:val="20"/>
        </w:rPr>
        <w:t>t</w:t>
      </w:r>
      <w:r w:rsidR="00FA0666" w:rsidRPr="00BB2F66">
        <w:rPr>
          <w:rFonts w:eastAsiaTheme="minorHAnsi" w:cstheme="minorBidi"/>
          <w:b w:val="0"/>
          <w:bCs w:val="0"/>
          <w:color w:val="auto"/>
          <w:sz w:val="20"/>
          <w:szCs w:val="20"/>
        </w:rPr>
        <w:t>s et de l’environnement</w:t>
      </w:r>
      <w:r w:rsidR="00BB2F66" w:rsidRPr="00BB2F66">
        <w:rPr>
          <w:rFonts w:eastAsiaTheme="minorHAnsi" w:cstheme="minorBidi"/>
          <w:b w:val="0"/>
          <w:bCs w:val="0"/>
          <w:color w:val="auto"/>
          <w:sz w:val="20"/>
          <w:szCs w:val="20"/>
        </w:rPr>
        <w:t xml:space="preserve">, Journal des débats, Vol. 44 No 71, 26 mai 2016, </w:t>
      </w:r>
      <w:r w:rsidR="00BB2F66" w:rsidRPr="00BB2F66">
        <w:rPr>
          <w:rFonts w:eastAsiaTheme="minorHAnsi" w:cstheme="minorBidi"/>
          <w:b w:val="0"/>
          <w:bCs w:val="0"/>
          <w:i/>
          <w:color w:val="auto"/>
          <w:sz w:val="20"/>
          <w:szCs w:val="20"/>
        </w:rPr>
        <w:t>Consultations particulières et auditions publiques sur le projet de loi n° 100, Loi modifiant diverses dispositions législatives concernant principalement les services de transport par taxi</w:t>
      </w:r>
      <w:r w:rsidR="00BB2F66">
        <w:rPr>
          <w:rFonts w:eastAsiaTheme="minorHAnsi" w:cstheme="minorBidi"/>
          <w:b w:val="0"/>
          <w:bCs w:val="0"/>
          <w:i/>
          <w:color w:val="auto"/>
          <w:sz w:val="20"/>
          <w:szCs w:val="20"/>
        </w:rPr>
        <w:t> :</w:t>
      </w:r>
      <w:r>
        <w:t xml:space="preserve"> </w:t>
      </w:r>
      <w:hyperlink r:id="rId4" w:history="1">
        <w:r w:rsidRPr="00BB2F66">
          <w:rPr>
            <w:rStyle w:val="Lienhypertexte"/>
            <w:b w:val="0"/>
            <w:sz w:val="20"/>
            <w:szCs w:val="20"/>
          </w:rPr>
          <w:t>http://www.assnat.qc.ca/fr/travaux-par</w:t>
        </w:r>
        <w:r w:rsidRPr="00BB2F66">
          <w:rPr>
            <w:rStyle w:val="Lienhypertexte"/>
            <w:b w:val="0"/>
            <w:sz w:val="20"/>
            <w:szCs w:val="20"/>
          </w:rPr>
          <w:t>l</w:t>
        </w:r>
        <w:r w:rsidRPr="00BB2F66">
          <w:rPr>
            <w:rStyle w:val="Lienhypertexte"/>
            <w:b w:val="0"/>
            <w:sz w:val="20"/>
            <w:szCs w:val="20"/>
          </w:rPr>
          <w:t>ementaires/commissions/cte-41-1/journal-debats/CTE-160526.html</w:t>
        </w:r>
      </w:hyperlink>
      <w:r w:rsidR="00BB2F66">
        <w:rPr>
          <w:b w:val="0"/>
          <w:sz w:val="20"/>
          <w:szCs w:val="20"/>
        </w:rPr>
        <w:t>.</w:t>
      </w:r>
      <w:r>
        <w:t xml:space="preserve"> </w:t>
      </w:r>
    </w:p>
  </w:footnote>
  <w:footnote w:id="8">
    <w:p w:rsidR="00494896" w:rsidRDefault="00494896">
      <w:pPr>
        <w:pStyle w:val="Notedebasdepage"/>
      </w:pPr>
      <w:r>
        <w:rPr>
          <w:rStyle w:val="Appelnotedebasdep"/>
        </w:rPr>
        <w:footnoteRef/>
      </w:r>
      <w:r>
        <w:t xml:space="preserve"> </w:t>
      </w:r>
      <w:r w:rsidR="009558AB">
        <w:t xml:space="preserve">Tiré du feuillet intitulé « Le code de la rue… la rue pour tous » publié par le gouvernement belge téléchargeable au: </w:t>
      </w:r>
      <w:hyperlink r:id="rId5" w:history="1">
        <w:r w:rsidR="009558AB" w:rsidRPr="003D3D42">
          <w:rPr>
            <w:rStyle w:val="Lienhypertexte"/>
          </w:rPr>
          <w:t>http://www.gracq.org/sites/default/files/coderueibsr.pdf</w:t>
        </w:r>
      </w:hyperlink>
      <w:r w:rsidR="009558AB">
        <w:t xml:space="preserve">   </w:t>
      </w:r>
    </w:p>
  </w:footnote>
  <w:footnote w:id="9">
    <w:p w:rsidR="00494896" w:rsidRDefault="00494896" w:rsidP="00FC4342">
      <w:pPr>
        <w:pStyle w:val="Notedebasdepage"/>
      </w:pPr>
      <w:r>
        <w:rPr>
          <w:rStyle w:val="Appelnotedebasdep"/>
        </w:rPr>
        <w:footnoteRef/>
      </w:r>
      <w:r>
        <w:t xml:space="preserve"> Pour plus d’informations au sujet de ce projet, voir : </w:t>
      </w:r>
      <w:hyperlink r:id="rId6" w:history="1">
        <w:r w:rsidRPr="003D3D42">
          <w:rPr>
            <w:rStyle w:val="Lienhypertexte"/>
          </w:rPr>
          <w:t>http://www.exaequo.net/Arrondissements-et-deneigement</w:t>
        </w:r>
      </w:hyperlink>
      <w:r>
        <w:t xml:space="preserve">. </w:t>
      </w:r>
    </w:p>
  </w:footnote>
  <w:footnote w:id="10">
    <w:p w:rsidR="00494896" w:rsidRDefault="00494896">
      <w:pPr>
        <w:pStyle w:val="Notedebasdepage"/>
      </w:pPr>
      <w:r>
        <w:rPr>
          <w:rStyle w:val="Appelnotedebasdep"/>
        </w:rPr>
        <w:footnoteRef/>
      </w:r>
      <w:r>
        <w:t xml:space="preserve"> </w:t>
      </w:r>
      <w:r w:rsidR="00257469">
        <w:t xml:space="preserve">Plus d’informations au sujet du projet-pilote sur le site web du MTMDET au : </w:t>
      </w:r>
      <w:hyperlink r:id="rId7" w:history="1">
        <w:r w:rsidR="00257469" w:rsidRPr="003D3D42">
          <w:rPr>
            <w:rStyle w:val="Lienhypertexte"/>
          </w:rPr>
          <w:t>https://www.transports.gouv.qc.ca/fr/modes-transport-utilises/mobilite-motorisee/AMM/Pages/projet-pilote-aides-mobilite-motorisee.aspx</w:t>
        </w:r>
      </w:hyperlink>
      <w:r w:rsidR="00257469">
        <w:t xml:space="preserve"> </w:t>
      </w:r>
    </w:p>
  </w:footnote>
  <w:footnote w:id="11">
    <w:p w:rsidR="00494896" w:rsidRDefault="00494896">
      <w:pPr>
        <w:pStyle w:val="Notedebasdepage"/>
      </w:pPr>
      <w:r>
        <w:rPr>
          <w:rStyle w:val="Appelnotedebasdep"/>
        </w:rPr>
        <w:footnoteRef/>
      </w:r>
      <w:r>
        <w:t xml:space="preserve"> </w:t>
      </w:r>
      <w:r w:rsidR="00257469">
        <w:t xml:space="preserve">COPHAN (2015). </w:t>
      </w:r>
      <w:r w:rsidR="00257469" w:rsidRPr="00257469">
        <w:rPr>
          <w:i/>
        </w:rPr>
        <w:t>Mémoire concernant le « Projet-pilote relatif aux aides à la mobilité motorisées ».</w:t>
      </w:r>
      <w:r w:rsidR="00257469">
        <w:t xml:space="preserve"> Montréal, 10p. En ligne : </w:t>
      </w:r>
      <w:hyperlink r:id="rId8" w:history="1">
        <w:r w:rsidR="00257469" w:rsidRPr="003D3D42">
          <w:rPr>
            <w:rStyle w:val="Lienhypertexte"/>
          </w:rPr>
          <w:t>http://cophan.org/documentation/avis-et-memoires/</w:t>
        </w:r>
      </w:hyperlink>
      <w:r w:rsidR="00257469">
        <w:t xml:space="preserve"> </w:t>
      </w:r>
    </w:p>
  </w:footnote>
  <w:footnote w:id="12">
    <w:p w:rsidR="00494896" w:rsidRDefault="00494896">
      <w:pPr>
        <w:pStyle w:val="Notedebasdepage"/>
      </w:pPr>
      <w:r>
        <w:rPr>
          <w:rStyle w:val="Appelnotedebasdep"/>
        </w:rPr>
        <w:footnoteRef/>
      </w:r>
      <w:r>
        <w:t xml:space="preserve"> Voir le mémoire déposé par le RAAQ dans le cadre de la présente consultation.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DD" w:rsidRDefault="003D58D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DD" w:rsidRDefault="003D58D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DD" w:rsidRDefault="003D58D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1">
    <w:nsid w:val="03FE4F7F"/>
    <w:multiLevelType w:val="hybridMultilevel"/>
    <w:tmpl w:val="6FBC1154"/>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2">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
    <w:nsid w:val="12BC70A3"/>
    <w:multiLevelType w:val="hybridMultilevel"/>
    <w:tmpl w:val="733C46C8"/>
    <w:lvl w:ilvl="0" w:tplc="FA40F96E">
      <w:start w:val="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9C9630B"/>
    <w:multiLevelType w:val="hybridMultilevel"/>
    <w:tmpl w:val="D9D67A70"/>
    <w:lvl w:ilvl="0" w:tplc="FA40F96E">
      <w:start w:val="1"/>
      <w:numFmt w:val="bullet"/>
      <w:lvlText w:val="-"/>
      <w:lvlJc w:val="left"/>
      <w:pPr>
        <w:ind w:left="1287" w:hanging="360"/>
      </w:pPr>
      <w:rPr>
        <w:rFonts w:ascii="Arial" w:eastAsia="Calibri" w:hAnsi="Arial" w:cs="Aria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nsid w:val="1CE11311"/>
    <w:multiLevelType w:val="hybridMultilevel"/>
    <w:tmpl w:val="100C09C8"/>
    <w:lvl w:ilvl="0" w:tplc="954874D8">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753D04"/>
    <w:multiLevelType w:val="hybridMultilevel"/>
    <w:tmpl w:val="9692CEEE"/>
    <w:lvl w:ilvl="0" w:tplc="FA40F96E">
      <w:start w:val="1"/>
      <w:numFmt w:val="bullet"/>
      <w:lvlText w:val="-"/>
      <w:lvlJc w:val="left"/>
      <w:pPr>
        <w:ind w:left="1080" w:hanging="360"/>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3DC15649"/>
    <w:multiLevelType w:val="hybridMultilevel"/>
    <w:tmpl w:val="099E494E"/>
    <w:lvl w:ilvl="0" w:tplc="FEE2DF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00E23AB"/>
    <w:multiLevelType w:val="hybridMultilevel"/>
    <w:tmpl w:val="29A2934A"/>
    <w:lvl w:ilvl="0" w:tplc="FA40F96E">
      <w:start w:val="1"/>
      <w:numFmt w:val="bullet"/>
      <w:lvlText w:val="-"/>
      <w:lvlJc w:val="left"/>
      <w:pPr>
        <w:ind w:left="1233" w:hanging="360"/>
      </w:pPr>
      <w:rPr>
        <w:rFonts w:ascii="Arial" w:eastAsia="Calibri" w:hAnsi="Arial" w:cs="Arial" w:hint="default"/>
      </w:rPr>
    </w:lvl>
    <w:lvl w:ilvl="1" w:tplc="0C0C0003" w:tentative="1">
      <w:start w:val="1"/>
      <w:numFmt w:val="bullet"/>
      <w:lvlText w:val="o"/>
      <w:lvlJc w:val="left"/>
      <w:pPr>
        <w:ind w:left="1953" w:hanging="360"/>
      </w:pPr>
      <w:rPr>
        <w:rFonts w:ascii="Courier New" w:hAnsi="Courier New" w:cs="Courier New" w:hint="default"/>
      </w:rPr>
    </w:lvl>
    <w:lvl w:ilvl="2" w:tplc="0C0C0005" w:tentative="1">
      <w:start w:val="1"/>
      <w:numFmt w:val="bullet"/>
      <w:lvlText w:val=""/>
      <w:lvlJc w:val="left"/>
      <w:pPr>
        <w:ind w:left="2673" w:hanging="360"/>
      </w:pPr>
      <w:rPr>
        <w:rFonts w:ascii="Wingdings" w:hAnsi="Wingdings" w:hint="default"/>
      </w:rPr>
    </w:lvl>
    <w:lvl w:ilvl="3" w:tplc="0C0C0001" w:tentative="1">
      <w:start w:val="1"/>
      <w:numFmt w:val="bullet"/>
      <w:lvlText w:val=""/>
      <w:lvlJc w:val="left"/>
      <w:pPr>
        <w:ind w:left="3393" w:hanging="360"/>
      </w:pPr>
      <w:rPr>
        <w:rFonts w:ascii="Symbol" w:hAnsi="Symbol" w:hint="default"/>
      </w:rPr>
    </w:lvl>
    <w:lvl w:ilvl="4" w:tplc="0C0C0003" w:tentative="1">
      <w:start w:val="1"/>
      <w:numFmt w:val="bullet"/>
      <w:lvlText w:val="o"/>
      <w:lvlJc w:val="left"/>
      <w:pPr>
        <w:ind w:left="4113" w:hanging="360"/>
      </w:pPr>
      <w:rPr>
        <w:rFonts w:ascii="Courier New" w:hAnsi="Courier New" w:cs="Courier New" w:hint="default"/>
      </w:rPr>
    </w:lvl>
    <w:lvl w:ilvl="5" w:tplc="0C0C0005" w:tentative="1">
      <w:start w:val="1"/>
      <w:numFmt w:val="bullet"/>
      <w:lvlText w:val=""/>
      <w:lvlJc w:val="left"/>
      <w:pPr>
        <w:ind w:left="4833" w:hanging="360"/>
      </w:pPr>
      <w:rPr>
        <w:rFonts w:ascii="Wingdings" w:hAnsi="Wingdings" w:hint="default"/>
      </w:rPr>
    </w:lvl>
    <w:lvl w:ilvl="6" w:tplc="0C0C0001" w:tentative="1">
      <w:start w:val="1"/>
      <w:numFmt w:val="bullet"/>
      <w:lvlText w:val=""/>
      <w:lvlJc w:val="left"/>
      <w:pPr>
        <w:ind w:left="5553" w:hanging="360"/>
      </w:pPr>
      <w:rPr>
        <w:rFonts w:ascii="Symbol" w:hAnsi="Symbol" w:hint="default"/>
      </w:rPr>
    </w:lvl>
    <w:lvl w:ilvl="7" w:tplc="0C0C0003" w:tentative="1">
      <w:start w:val="1"/>
      <w:numFmt w:val="bullet"/>
      <w:lvlText w:val="o"/>
      <w:lvlJc w:val="left"/>
      <w:pPr>
        <w:ind w:left="6273" w:hanging="360"/>
      </w:pPr>
      <w:rPr>
        <w:rFonts w:ascii="Courier New" w:hAnsi="Courier New" w:cs="Courier New" w:hint="default"/>
      </w:rPr>
    </w:lvl>
    <w:lvl w:ilvl="8" w:tplc="0C0C0005" w:tentative="1">
      <w:start w:val="1"/>
      <w:numFmt w:val="bullet"/>
      <w:lvlText w:val=""/>
      <w:lvlJc w:val="left"/>
      <w:pPr>
        <w:ind w:left="6993" w:hanging="360"/>
      </w:pPr>
      <w:rPr>
        <w:rFonts w:ascii="Wingdings" w:hAnsi="Wingdings" w:hint="default"/>
      </w:rPr>
    </w:lvl>
  </w:abstractNum>
  <w:abstractNum w:abstractNumId="9">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0">
    <w:nsid w:val="450F0C38"/>
    <w:multiLevelType w:val="hybridMultilevel"/>
    <w:tmpl w:val="C8B43928"/>
    <w:lvl w:ilvl="0" w:tplc="FA40F96E">
      <w:start w:val="1"/>
      <w:numFmt w:val="bullet"/>
      <w:lvlText w:val="-"/>
      <w:lvlJc w:val="left"/>
      <w:pPr>
        <w:ind w:left="876" w:hanging="360"/>
      </w:pPr>
      <w:rPr>
        <w:rFonts w:ascii="Arial" w:eastAsia="Calibri" w:hAnsi="Arial" w:cs="Arial" w:hint="default"/>
      </w:rPr>
    </w:lvl>
    <w:lvl w:ilvl="1" w:tplc="040C0003" w:tentative="1">
      <w:start w:val="1"/>
      <w:numFmt w:val="bullet"/>
      <w:lvlText w:val="o"/>
      <w:lvlJc w:val="left"/>
      <w:pPr>
        <w:ind w:left="1596" w:hanging="360"/>
      </w:pPr>
      <w:rPr>
        <w:rFonts w:ascii="Courier New" w:hAnsi="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11">
    <w:nsid w:val="47996F8A"/>
    <w:multiLevelType w:val="hybridMultilevel"/>
    <w:tmpl w:val="7FAEDB14"/>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3">
    <w:nsid w:val="50E359FF"/>
    <w:multiLevelType w:val="hybridMultilevel"/>
    <w:tmpl w:val="AD8C60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599291C"/>
    <w:multiLevelType w:val="hybridMultilevel"/>
    <w:tmpl w:val="219E11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211"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E842E74"/>
    <w:multiLevelType w:val="hybridMultilevel"/>
    <w:tmpl w:val="841CB25E"/>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60BB213E"/>
    <w:multiLevelType w:val="hybridMultilevel"/>
    <w:tmpl w:val="9C364736"/>
    <w:lvl w:ilvl="0" w:tplc="98020EAE">
      <w:start w:val="27"/>
      <w:numFmt w:val="bullet"/>
      <w:lvlText w:val="-"/>
      <w:lvlJc w:val="left"/>
      <w:pPr>
        <w:ind w:left="1068" w:hanging="36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nsid w:val="6B5E4831"/>
    <w:multiLevelType w:val="hybridMultilevel"/>
    <w:tmpl w:val="83CE10BE"/>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hint="default"/>
      </w:rPr>
    </w:lvl>
    <w:lvl w:ilvl="8" w:tplc="040C0005" w:tentative="1">
      <w:start w:val="1"/>
      <w:numFmt w:val="bullet"/>
      <w:lvlText w:val=""/>
      <w:lvlJc w:val="left"/>
      <w:pPr>
        <w:ind w:left="6636" w:hanging="360"/>
      </w:pPr>
      <w:rPr>
        <w:rFonts w:ascii="Wingdings" w:hAnsi="Wingdings" w:hint="default"/>
      </w:rPr>
    </w:lvl>
  </w:abstractNum>
  <w:num w:numId="1">
    <w:abstractNumId w:val="14"/>
  </w:num>
  <w:num w:numId="2">
    <w:abstractNumId w:val="15"/>
  </w:num>
  <w:num w:numId="3">
    <w:abstractNumId w:val="5"/>
  </w:num>
  <w:num w:numId="4">
    <w:abstractNumId w:val="13"/>
  </w:num>
  <w:num w:numId="5">
    <w:abstractNumId w:val="17"/>
  </w:num>
  <w:num w:numId="6">
    <w:abstractNumId w:val="1"/>
  </w:num>
  <w:num w:numId="7">
    <w:abstractNumId w:val="0"/>
  </w:num>
  <w:num w:numId="8">
    <w:abstractNumId w:val="2"/>
  </w:num>
  <w:num w:numId="9">
    <w:abstractNumId w:val="9"/>
  </w:num>
  <w:num w:numId="10">
    <w:abstractNumId w:val="12"/>
  </w:num>
  <w:num w:numId="11">
    <w:abstractNumId w:val="16"/>
  </w:num>
  <w:num w:numId="12">
    <w:abstractNumId w:val="7"/>
  </w:num>
  <w:num w:numId="13">
    <w:abstractNumId w:val="6"/>
  </w:num>
  <w:num w:numId="14">
    <w:abstractNumId w:val="11"/>
  </w:num>
  <w:num w:numId="15">
    <w:abstractNumId w:val="10"/>
  </w:num>
  <w:num w:numId="16">
    <w:abstractNumId w:val="3"/>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013A"/>
    <w:rsid w:val="00003026"/>
    <w:rsid w:val="000621B9"/>
    <w:rsid w:val="00086A57"/>
    <w:rsid w:val="000902BF"/>
    <w:rsid w:val="00090B22"/>
    <w:rsid w:val="000B495B"/>
    <w:rsid w:val="0010107B"/>
    <w:rsid w:val="00103B3D"/>
    <w:rsid w:val="00120061"/>
    <w:rsid w:val="001466F3"/>
    <w:rsid w:val="0015036F"/>
    <w:rsid w:val="00155112"/>
    <w:rsid w:val="001669B6"/>
    <w:rsid w:val="001917DB"/>
    <w:rsid w:val="00197B23"/>
    <w:rsid w:val="001F4242"/>
    <w:rsid w:val="00216602"/>
    <w:rsid w:val="00235065"/>
    <w:rsid w:val="00257469"/>
    <w:rsid w:val="002A438F"/>
    <w:rsid w:val="002F2AFD"/>
    <w:rsid w:val="002F310D"/>
    <w:rsid w:val="002F3763"/>
    <w:rsid w:val="00343949"/>
    <w:rsid w:val="003667E2"/>
    <w:rsid w:val="003803DB"/>
    <w:rsid w:val="003979CC"/>
    <w:rsid w:val="003B0346"/>
    <w:rsid w:val="003C4043"/>
    <w:rsid w:val="003D58DD"/>
    <w:rsid w:val="003E02B7"/>
    <w:rsid w:val="003E6E1F"/>
    <w:rsid w:val="004109B3"/>
    <w:rsid w:val="004237A6"/>
    <w:rsid w:val="0046358D"/>
    <w:rsid w:val="00464479"/>
    <w:rsid w:val="00472272"/>
    <w:rsid w:val="00480B23"/>
    <w:rsid w:val="00482D6B"/>
    <w:rsid w:val="00494896"/>
    <w:rsid w:val="00497B05"/>
    <w:rsid w:val="004C3D2A"/>
    <w:rsid w:val="004D21FC"/>
    <w:rsid w:val="004D496E"/>
    <w:rsid w:val="004E4FF5"/>
    <w:rsid w:val="004F0B2B"/>
    <w:rsid w:val="004F1CC7"/>
    <w:rsid w:val="004F4BEB"/>
    <w:rsid w:val="00501D3D"/>
    <w:rsid w:val="00504B80"/>
    <w:rsid w:val="00513545"/>
    <w:rsid w:val="00527E08"/>
    <w:rsid w:val="0055359B"/>
    <w:rsid w:val="00555CC7"/>
    <w:rsid w:val="00562EE9"/>
    <w:rsid w:val="005A0BF8"/>
    <w:rsid w:val="005A3941"/>
    <w:rsid w:val="005B013A"/>
    <w:rsid w:val="005C198D"/>
    <w:rsid w:val="005C2AE2"/>
    <w:rsid w:val="005E43E7"/>
    <w:rsid w:val="006020C0"/>
    <w:rsid w:val="006060D9"/>
    <w:rsid w:val="00660E90"/>
    <w:rsid w:val="00672414"/>
    <w:rsid w:val="00674BAA"/>
    <w:rsid w:val="006A4E64"/>
    <w:rsid w:val="006C4C24"/>
    <w:rsid w:val="00704A6F"/>
    <w:rsid w:val="00705FAF"/>
    <w:rsid w:val="0071493D"/>
    <w:rsid w:val="00721E42"/>
    <w:rsid w:val="0073257F"/>
    <w:rsid w:val="00733C01"/>
    <w:rsid w:val="00744852"/>
    <w:rsid w:val="00750126"/>
    <w:rsid w:val="007733EA"/>
    <w:rsid w:val="007924C5"/>
    <w:rsid w:val="007B10CF"/>
    <w:rsid w:val="007B2D6D"/>
    <w:rsid w:val="007B2E65"/>
    <w:rsid w:val="007C2DE8"/>
    <w:rsid w:val="007E05F0"/>
    <w:rsid w:val="007E2EE4"/>
    <w:rsid w:val="00805807"/>
    <w:rsid w:val="008079DF"/>
    <w:rsid w:val="00832FA8"/>
    <w:rsid w:val="008677CF"/>
    <w:rsid w:val="008726E9"/>
    <w:rsid w:val="008A4254"/>
    <w:rsid w:val="008A5607"/>
    <w:rsid w:val="008B400E"/>
    <w:rsid w:val="008B5A44"/>
    <w:rsid w:val="009319EF"/>
    <w:rsid w:val="00951A24"/>
    <w:rsid w:val="009558AB"/>
    <w:rsid w:val="0097391D"/>
    <w:rsid w:val="00975144"/>
    <w:rsid w:val="00983EE5"/>
    <w:rsid w:val="009865D3"/>
    <w:rsid w:val="009A68AC"/>
    <w:rsid w:val="009C0D95"/>
    <w:rsid w:val="009C1921"/>
    <w:rsid w:val="009E240C"/>
    <w:rsid w:val="00A15585"/>
    <w:rsid w:val="00A3096B"/>
    <w:rsid w:val="00A327FA"/>
    <w:rsid w:val="00A6248F"/>
    <w:rsid w:val="00A91475"/>
    <w:rsid w:val="00AA3CB7"/>
    <w:rsid w:val="00AD038D"/>
    <w:rsid w:val="00AD695D"/>
    <w:rsid w:val="00AF2EE6"/>
    <w:rsid w:val="00AF6000"/>
    <w:rsid w:val="00B13068"/>
    <w:rsid w:val="00B545F3"/>
    <w:rsid w:val="00B7528A"/>
    <w:rsid w:val="00B835C3"/>
    <w:rsid w:val="00B85211"/>
    <w:rsid w:val="00BA6988"/>
    <w:rsid w:val="00BB2F66"/>
    <w:rsid w:val="00BC7C17"/>
    <w:rsid w:val="00BD3C9C"/>
    <w:rsid w:val="00BD5CA6"/>
    <w:rsid w:val="00BE757F"/>
    <w:rsid w:val="00BF44C4"/>
    <w:rsid w:val="00BF7138"/>
    <w:rsid w:val="00C0360E"/>
    <w:rsid w:val="00C256EF"/>
    <w:rsid w:val="00C82865"/>
    <w:rsid w:val="00C91306"/>
    <w:rsid w:val="00CA7F30"/>
    <w:rsid w:val="00CE33AC"/>
    <w:rsid w:val="00D17951"/>
    <w:rsid w:val="00D5128B"/>
    <w:rsid w:val="00D758A4"/>
    <w:rsid w:val="00DB54D6"/>
    <w:rsid w:val="00DE7471"/>
    <w:rsid w:val="00E16901"/>
    <w:rsid w:val="00E279FA"/>
    <w:rsid w:val="00E64AE8"/>
    <w:rsid w:val="00E7190D"/>
    <w:rsid w:val="00E72B60"/>
    <w:rsid w:val="00E868EC"/>
    <w:rsid w:val="00E90A52"/>
    <w:rsid w:val="00EA44FA"/>
    <w:rsid w:val="00EA7585"/>
    <w:rsid w:val="00ED3CC8"/>
    <w:rsid w:val="00ED44D5"/>
    <w:rsid w:val="00ED71C7"/>
    <w:rsid w:val="00EF0CD2"/>
    <w:rsid w:val="00F024B8"/>
    <w:rsid w:val="00F06CE1"/>
    <w:rsid w:val="00F11CC5"/>
    <w:rsid w:val="00F21819"/>
    <w:rsid w:val="00F427B0"/>
    <w:rsid w:val="00F43B89"/>
    <w:rsid w:val="00F502BE"/>
    <w:rsid w:val="00F54CC0"/>
    <w:rsid w:val="00F73E1C"/>
    <w:rsid w:val="00F8054D"/>
    <w:rsid w:val="00FA0666"/>
    <w:rsid w:val="00FB1C8C"/>
    <w:rsid w:val="00FC0D33"/>
    <w:rsid w:val="00FC3154"/>
    <w:rsid w:val="00FC4342"/>
    <w:rsid w:val="00FC5DAA"/>
    <w:rsid w:val="00FD5FAD"/>
    <w:rsid w:val="00FE4BF3"/>
    <w:rsid w:val="00FF7B1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6"/>
    <w:pPr>
      <w:spacing w:after="0"/>
    </w:pPr>
    <w:rPr>
      <w:rFonts w:ascii="Arial" w:hAnsi="Arial"/>
      <w:sz w:val="24"/>
    </w:rPr>
  </w:style>
  <w:style w:type="paragraph" w:styleId="Titre1">
    <w:name w:val="heading 1"/>
    <w:basedOn w:val="Normal"/>
    <w:next w:val="Normal"/>
    <w:link w:val="Titre1Car"/>
    <w:uiPriority w:val="9"/>
    <w:qFormat/>
    <w:rsid w:val="00480B23"/>
    <w:pPr>
      <w:keepNext/>
      <w:spacing w:before="240" w:after="60"/>
      <w:outlineLvl w:val="0"/>
    </w:pPr>
    <w:rPr>
      <w:rFonts w:ascii="Arial Gras" w:eastAsia="Times New Roman" w:hAnsi="Arial Gras" w:cs="Mangal"/>
      <w:b/>
      <w:bCs/>
      <w:smallCaps/>
      <w:color w:val="244061" w:themeColor="accent1" w:themeShade="80"/>
      <w:kern w:val="32"/>
      <w:szCs w:val="29"/>
    </w:rPr>
  </w:style>
  <w:style w:type="paragraph" w:styleId="Titre2">
    <w:name w:val="heading 2"/>
    <w:basedOn w:val="Normal"/>
    <w:next w:val="Normal"/>
    <w:link w:val="Titre2Car"/>
    <w:uiPriority w:val="9"/>
    <w:unhideWhenUsed/>
    <w:qFormat/>
    <w:rsid w:val="00480B23"/>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480B23"/>
    <w:pPr>
      <w:keepNext/>
      <w:keepLines/>
      <w:spacing w:before="200"/>
      <w:ind w:left="708"/>
      <w:outlineLvl w:val="2"/>
    </w:pPr>
    <w:rPr>
      <w:rFonts w:eastAsiaTheme="majorEastAsia" w:cstheme="majorBidi"/>
      <w:b/>
      <w:b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B23"/>
    <w:rPr>
      <w:rFonts w:ascii="Arial Gras" w:eastAsia="Times New Roman" w:hAnsi="Arial Gras" w:cs="Mangal"/>
      <w:b/>
      <w:bCs/>
      <w:smallCaps/>
      <w:color w:val="244061" w:themeColor="accent1" w:themeShade="80"/>
      <w:kern w:val="32"/>
      <w:sz w:val="24"/>
      <w:szCs w:val="29"/>
    </w:rPr>
  </w:style>
  <w:style w:type="paragraph" w:styleId="Paragraphedeliste">
    <w:name w:val="List Paragraph"/>
    <w:basedOn w:val="Normal"/>
    <w:uiPriority w:val="34"/>
    <w:qFormat/>
    <w:rsid w:val="004D496E"/>
    <w:pPr>
      <w:ind w:left="720"/>
      <w:contextualSpacing/>
    </w:pPr>
  </w:style>
  <w:style w:type="paragraph" w:styleId="Notedebasdepage">
    <w:name w:val="footnote text"/>
    <w:basedOn w:val="Normal"/>
    <w:link w:val="NotedebasdepageCar"/>
    <w:uiPriority w:val="99"/>
    <w:semiHidden/>
    <w:unhideWhenUsed/>
    <w:rsid w:val="00FF7B19"/>
    <w:pPr>
      <w:spacing w:line="240" w:lineRule="auto"/>
    </w:pPr>
    <w:rPr>
      <w:sz w:val="20"/>
      <w:szCs w:val="20"/>
    </w:rPr>
  </w:style>
  <w:style w:type="character" w:customStyle="1" w:styleId="NotedebasdepageCar">
    <w:name w:val="Note de bas de page Car"/>
    <w:basedOn w:val="Policepardfaut"/>
    <w:link w:val="Notedebasdepage"/>
    <w:uiPriority w:val="99"/>
    <w:semiHidden/>
    <w:rsid w:val="00FF7B19"/>
    <w:rPr>
      <w:rFonts w:ascii="Arial" w:hAnsi="Arial"/>
      <w:sz w:val="20"/>
      <w:szCs w:val="20"/>
    </w:rPr>
  </w:style>
  <w:style w:type="character" w:styleId="Appelnotedebasdep">
    <w:name w:val="footnote reference"/>
    <w:basedOn w:val="Policepardfaut"/>
    <w:uiPriority w:val="99"/>
    <w:semiHidden/>
    <w:unhideWhenUsed/>
    <w:rsid w:val="00FF7B19"/>
    <w:rPr>
      <w:vertAlign w:val="superscript"/>
    </w:rPr>
  </w:style>
  <w:style w:type="character" w:styleId="Lienhypertexte">
    <w:name w:val="Hyperlink"/>
    <w:basedOn w:val="Policepardfaut"/>
    <w:uiPriority w:val="99"/>
    <w:unhideWhenUsed/>
    <w:rsid w:val="00513545"/>
    <w:rPr>
      <w:color w:val="0000FF" w:themeColor="hyperlink"/>
      <w:u w:val="single"/>
    </w:rPr>
  </w:style>
  <w:style w:type="paragraph" w:styleId="Pieddepage">
    <w:name w:val="footer"/>
    <w:basedOn w:val="Normal"/>
    <w:link w:val="PieddepageCar"/>
    <w:uiPriority w:val="99"/>
    <w:unhideWhenUsed/>
    <w:rsid w:val="00FD5FAD"/>
    <w:pPr>
      <w:tabs>
        <w:tab w:val="center" w:pos="4320"/>
        <w:tab w:val="right" w:pos="8640"/>
      </w:tabs>
      <w:spacing w:line="240" w:lineRule="auto"/>
    </w:pPr>
    <w:rPr>
      <w:rFonts w:ascii="Calibri" w:hAnsi="Calibri" w:cs="Calibri"/>
      <w:sz w:val="22"/>
      <w:lang w:eastAsia="fr-CA"/>
    </w:rPr>
  </w:style>
  <w:style w:type="character" w:customStyle="1" w:styleId="PieddepageCar">
    <w:name w:val="Pied de page Car"/>
    <w:basedOn w:val="Policepardfaut"/>
    <w:link w:val="Pieddepage"/>
    <w:uiPriority w:val="99"/>
    <w:rsid w:val="00FD5FAD"/>
    <w:rPr>
      <w:rFonts w:ascii="Calibri" w:hAnsi="Calibri" w:cs="Calibri"/>
      <w:lang w:eastAsia="fr-CA"/>
    </w:rPr>
  </w:style>
  <w:style w:type="character" w:styleId="Accentuation">
    <w:name w:val="Emphasis"/>
    <w:basedOn w:val="Policepardfaut"/>
    <w:uiPriority w:val="20"/>
    <w:qFormat/>
    <w:rsid w:val="00FD5FAD"/>
    <w:rPr>
      <w:i/>
      <w:iCs/>
    </w:rPr>
  </w:style>
  <w:style w:type="paragraph" w:styleId="Textedebulles">
    <w:name w:val="Balloon Text"/>
    <w:basedOn w:val="Normal"/>
    <w:link w:val="TextedebullesCar"/>
    <w:uiPriority w:val="99"/>
    <w:semiHidden/>
    <w:unhideWhenUsed/>
    <w:rsid w:val="00FD5FA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FAD"/>
    <w:rPr>
      <w:rFonts w:ascii="Tahoma" w:hAnsi="Tahoma" w:cs="Tahoma"/>
      <w:sz w:val="16"/>
      <w:szCs w:val="16"/>
    </w:rPr>
  </w:style>
  <w:style w:type="paragraph" w:styleId="En-tte">
    <w:name w:val="header"/>
    <w:basedOn w:val="Normal"/>
    <w:link w:val="En-tteCar"/>
    <w:uiPriority w:val="99"/>
    <w:semiHidden/>
    <w:unhideWhenUsed/>
    <w:rsid w:val="000621B9"/>
    <w:pPr>
      <w:tabs>
        <w:tab w:val="center" w:pos="4320"/>
        <w:tab w:val="right" w:pos="8640"/>
      </w:tabs>
      <w:spacing w:line="240" w:lineRule="auto"/>
    </w:pPr>
  </w:style>
  <w:style w:type="character" w:customStyle="1" w:styleId="En-tteCar">
    <w:name w:val="En-tête Car"/>
    <w:basedOn w:val="Policepardfaut"/>
    <w:link w:val="En-tte"/>
    <w:uiPriority w:val="99"/>
    <w:semiHidden/>
    <w:rsid w:val="000621B9"/>
    <w:rPr>
      <w:rFonts w:ascii="Arial" w:hAnsi="Arial"/>
      <w:sz w:val="24"/>
    </w:rPr>
  </w:style>
  <w:style w:type="character" w:customStyle="1" w:styleId="Titre2Car">
    <w:name w:val="Titre 2 Car"/>
    <w:basedOn w:val="Policepardfaut"/>
    <w:link w:val="Titre2"/>
    <w:uiPriority w:val="9"/>
    <w:rsid w:val="00480B2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480B23"/>
    <w:rPr>
      <w:rFonts w:ascii="Arial" w:eastAsiaTheme="majorEastAsia" w:hAnsi="Arial" w:cstheme="majorBidi"/>
      <w:b/>
      <w:bCs/>
      <w:color w:val="244061" w:themeColor="accent1" w:themeShade="80"/>
      <w:sz w:val="24"/>
    </w:rPr>
  </w:style>
  <w:style w:type="paragraph" w:styleId="En-ttedetabledesmatires">
    <w:name w:val="TOC Heading"/>
    <w:basedOn w:val="Titre1"/>
    <w:next w:val="Normal"/>
    <w:uiPriority w:val="39"/>
    <w:semiHidden/>
    <w:unhideWhenUsed/>
    <w:qFormat/>
    <w:rsid w:val="00DE7471"/>
    <w:pPr>
      <w:keepLines/>
      <w:spacing w:before="480" w:after="0"/>
      <w:outlineLvl w:val="9"/>
    </w:pPr>
    <w:rPr>
      <w:rFonts w:asciiTheme="majorHAnsi" w:eastAsiaTheme="majorEastAsia" w:hAnsiTheme="majorHAnsi" w:cstheme="majorBidi"/>
      <w:smallCaps w:val="0"/>
      <w:color w:val="365F91" w:themeColor="accent1" w:themeShade="BF"/>
      <w:kern w:val="0"/>
      <w:sz w:val="28"/>
      <w:szCs w:val="28"/>
      <w:lang w:val="fr-FR"/>
    </w:rPr>
  </w:style>
  <w:style w:type="paragraph" w:styleId="TM1">
    <w:name w:val="toc 1"/>
    <w:basedOn w:val="Normal"/>
    <w:next w:val="Normal"/>
    <w:autoRedefine/>
    <w:uiPriority w:val="39"/>
    <w:unhideWhenUsed/>
    <w:rsid w:val="00DE7471"/>
    <w:pPr>
      <w:spacing w:after="100"/>
    </w:pPr>
  </w:style>
  <w:style w:type="paragraph" w:styleId="TM2">
    <w:name w:val="toc 2"/>
    <w:basedOn w:val="Normal"/>
    <w:next w:val="Normal"/>
    <w:autoRedefine/>
    <w:uiPriority w:val="39"/>
    <w:unhideWhenUsed/>
    <w:rsid w:val="00DE7471"/>
    <w:pPr>
      <w:spacing w:after="100"/>
      <w:ind w:left="240"/>
    </w:pPr>
  </w:style>
  <w:style w:type="paragraph" w:styleId="TM3">
    <w:name w:val="toc 3"/>
    <w:basedOn w:val="Normal"/>
    <w:next w:val="Normal"/>
    <w:autoRedefine/>
    <w:uiPriority w:val="39"/>
    <w:unhideWhenUsed/>
    <w:rsid w:val="00DE7471"/>
    <w:pPr>
      <w:spacing w:after="100"/>
      <w:ind w:left="480"/>
    </w:pPr>
  </w:style>
  <w:style w:type="character" w:styleId="Lienhypertextesuivivisit">
    <w:name w:val="FollowedHyperlink"/>
    <w:basedOn w:val="Policepardfaut"/>
    <w:uiPriority w:val="99"/>
    <w:semiHidden/>
    <w:unhideWhenUsed/>
    <w:rsid w:val="00FA06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2163564">
      <w:bodyDiv w:val="1"/>
      <w:marLeft w:val="0"/>
      <w:marRight w:val="0"/>
      <w:marTop w:val="0"/>
      <w:marBottom w:val="0"/>
      <w:divBdr>
        <w:top w:val="none" w:sz="0" w:space="0" w:color="auto"/>
        <w:left w:val="none" w:sz="0" w:space="0" w:color="auto"/>
        <w:bottom w:val="none" w:sz="0" w:space="0" w:color="auto"/>
        <w:right w:val="none" w:sz="0" w:space="0" w:color="auto"/>
      </w:divBdr>
    </w:div>
    <w:div w:id="17533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cophan.org/documentation/avis-et-memoi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http://cophan.org/documentation/avis-et-memoir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ophan.org/documentation/avis-et-memoires/" TargetMode="External"/><Relationship Id="rId3" Type="http://schemas.openxmlformats.org/officeDocument/2006/relationships/hyperlink" Target="http://cophan.org/documentation/avis-et-memoires/" TargetMode="External"/><Relationship Id="rId7" Type="http://schemas.openxmlformats.org/officeDocument/2006/relationships/hyperlink" Target="https://www.transports.gouv.qc.ca/fr/modes-transport-utilises/mobilite-motorisee/AMM/Pages/projet-pilote-aides-mobilite-motorisee.aspx" TargetMode="External"/><Relationship Id="rId2" Type="http://schemas.openxmlformats.org/officeDocument/2006/relationships/hyperlink" Target="http://www.cophan.org" TargetMode="External"/><Relationship Id="rId1" Type="http://schemas.openxmlformats.org/officeDocument/2006/relationships/hyperlink" Target="https://www.institutions-democratiques.gouv.qc.ca/centre-de-presse/communiques/2016/2016-10-31.htm" TargetMode="External"/><Relationship Id="rId6" Type="http://schemas.openxmlformats.org/officeDocument/2006/relationships/hyperlink" Target="http://www.exaequo.net/Arrondissements-et-deneigement" TargetMode="External"/><Relationship Id="rId5" Type="http://schemas.openxmlformats.org/officeDocument/2006/relationships/hyperlink" Target="http://www.gracq.org/sites/default/files/coderueibsr.pdf" TargetMode="External"/><Relationship Id="rId4" Type="http://schemas.openxmlformats.org/officeDocument/2006/relationships/hyperlink" Target="http://www.assnat.qc.ca/fr/travaux-parlementaires/commissions/cte-41-1/journal-debats/CTE-16052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3F491-D0FA-4436-90B1-17DE0ACD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4554</Words>
  <Characters>25052</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29547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dc:creator>
  <cp:lastModifiedBy>Audrey-Anne</cp:lastModifiedBy>
  <cp:revision>5</cp:revision>
  <cp:lastPrinted>2017-03-03T15:01:00Z</cp:lastPrinted>
  <dcterms:created xsi:type="dcterms:W3CDTF">2017-03-03T15:01:00Z</dcterms:created>
  <dcterms:modified xsi:type="dcterms:W3CDTF">2017-03-03T15:02:00Z</dcterms:modified>
</cp:coreProperties>
</file>