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33F98" w14:textId="77777777" w:rsidR="00F67061" w:rsidRPr="00144C00" w:rsidRDefault="00F67061" w:rsidP="00F67061">
      <w:pPr>
        <w:pBdr>
          <w:bottom w:val="single" w:sz="4" w:space="1" w:color="auto"/>
        </w:pBdr>
        <w:rPr>
          <w:rFonts w:ascii="Arial" w:eastAsia="Calibri" w:hAnsi="Arial" w:cs="Arial"/>
          <w:b/>
          <w:sz w:val="36"/>
          <w:szCs w:val="36"/>
          <w:lang w:eastAsia="fr-CA"/>
        </w:rPr>
      </w:pPr>
      <w:r w:rsidRPr="00144C00">
        <w:rPr>
          <w:rFonts w:ascii="Arial" w:eastAsia="Calibri" w:hAnsi="Arial" w:cs="Arial"/>
          <w:b/>
          <w:noProof/>
          <w:sz w:val="36"/>
          <w:szCs w:val="36"/>
          <w:lang w:eastAsia="fr-CA"/>
        </w:rPr>
        <w:drawing>
          <wp:inline distT="0" distB="0" distL="0" distR="0" wp14:anchorId="727F17ED" wp14:editId="10C5E359">
            <wp:extent cx="4819650" cy="1228725"/>
            <wp:effectExtent l="0" t="0" r="0" b="9525"/>
            <wp:docPr id="2" name="Image 2"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14:paraId="470B88C7" w14:textId="77777777" w:rsidR="00F67061" w:rsidRPr="00144C00" w:rsidRDefault="00F67061" w:rsidP="00F67061">
      <w:pPr>
        <w:pBdr>
          <w:bottom w:val="single" w:sz="4" w:space="1" w:color="auto"/>
        </w:pBdr>
        <w:rPr>
          <w:rFonts w:ascii="Arial" w:eastAsia="Calibri" w:hAnsi="Arial" w:cs="Arial"/>
          <w:b/>
          <w:sz w:val="36"/>
          <w:szCs w:val="36"/>
          <w:lang w:eastAsia="fr-CA"/>
        </w:rPr>
      </w:pPr>
    </w:p>
    <w:p w14:paraId="208B1CFA" w14:textId="77777777" w:rsidR="00F67061" w:rsidRPr="00144C00" w:rsidRDefault="00F67061" w:rsidP="00F67061">
      <w:pPr>
        <w:pBdr>
          <w:bottom w:val="single" w:sz="4" w:space="1" w:color="auto"/>
        </w:pBdr>
        <w:rPr>
          <w:rFonts w:ascii="Arial" w:eastAsia="Calibri" w:hAnsi="Arial" w:cs="Arial"/>
          <w:b/>
          <w:sz w:val="36"/>
          <w:szCs w:val="36"/>
          <w:lang w:eastAsia="fr-CA"/>
        </w:rPr>
      </w:pPr>
    </w:p>
    <w:p w14:paraId="13E35EC4" w14:textId="77777777" w:rsidR="00F67061" w:rsidRPr="00144C00" w:rsidRDefault="00F67061" w:rsidP="00F67061">
      <w:pPr>
        <w:pBdr>
          <w:bottom w:val="single" w:sz="4" w:space="1" w:color="auto"/>
        </w:pBdr>
        <w:rPr>
          <w:rFonts w:ascii="Arial" w:eastAsia="Calibri" w:hAnsi="Arial" w:cs="Arial"/>
          <w:b/>
          <w:sz w:val="36"/>
          <w:szCs w:val="36"/>
          <w:lang w:eastAsia="fr-CA"/>
        </w:rPr>
      </w:pPr>
    </w:p>
    <w:p w14:paraId="14B744AC" w14:textId="77777777" w:rsidR="00235C50" w:rsidRPr="00144C00" w:rsidRDefault="00235C50" w:rsidP="00F67061">
      <w:pPr>
        <w:pBdr>
          <w:bottom w:val="single" w:sz="4" w:space="1" w:color="auto"/>
        </w:pBdr>
        <w:rPr>
          <w:rFonts w:ascii="Arial" w:eastAsia="Calibri" w:hAnsi="Arial" w:cs="Arial"/>
          <w:b/>
          <w:sz w:val="36"/>
          <w:szCs w:val="36"/>
          <w:lang w:eastAsia="fr-CA"/>
        </w:rPr>
      </w:pPr>
    </w:p>
    <w:p w14:paraId="55D22831" w14:textId="77777777" w:rsidR="00F67061" w:rsidRPr="00144C00" w:rsidRDefault="00F67061" w:rsidP="00F67061">
      <w:pPr>
        <w:pBdr>
          <w:bottom w:val="single" w:sz="4" w:space="1" w:color="auto"/>
        </w:pBdr>
        <w:rPr>
          <w:rFonts w:ascii="Arial" w:eastAsia="Calibri" w:hAnsi="Arial" w:cs="Arial"/>
          <w:b/>
          <w:sz w:val="36"/>
          <w:szCs w:val="36"/>
          <w:lang w:eastAsia="fr-CA"/>
        </w:rPr>
      </w:pPr>
    </w:p>
    <w:p w14:paraId="7A5CB1FE" w14:textId="77777777" w:rsidR="00F67061" w:rsidRPr="00144C00" w:rsidRDefault="00F67061" w:rsidP="00F67061">
      <w:pPr>
        <w:pBdr>
          <w:bottom w:val="single" w:sz="4" w:space="1" w:color="auto"/>
        </w:pBdr>
        <w:rPr>
          <w:rFonts w:ascii="Arial" w:eastAsia="Calibri" w:hAnsi="Arial" w:cs="Arial"/>
          <w:b/>
          <w:sz w:val="36"/>
          <w:szCs w:val="36"/>
          <w:lang w:eastAsia="fr-CA"/>
        </w:rPr>
      </w:pPr>
    </w:p>
    <w:p w14:paraId="51256771" w14:textId="77777777" w:rsidR="00F67061" w:rsidRPr="00144C00" w:rsidRDefault="00F67061" w:rsidP="00F67061">
      <w:pPr>
        <w:pBdr>
          <w:bottom w:val="single" w:sz="4" w:space="1" w:color="auto"/>
        </w:pBdr>
        <w:rPr>
          <w:rFonts w:ascii="Arial" w:eastAsia="Calibri" w:hAnsi="Arial" w:cs="Arial"/>
          <w:b/>
          <w:sz w:val="36"/>
          <w:szCs w:val="36"/>
          <w:lang w:eastAsia="fr-CA"/>
        </w:rPr>
      </w:pPr>
    </w:p>
    <w:p w14:paraId="22FE31CB" w14:textId="77777777" w:rsidR="00F67061" w:rsidRPr="00144C00" w:rsidRDefault="00F67061" w:rsidP="00F67061">
      <w:pPr>
        <w:pBdr>
          <w:bottom w:val="single" w:sz="4" w:space="1" w:color="auto"/>
        </w:pBdr>
        <w:rPr>
          <w:rFonts w:ascii="Arial" w:eastAsia="Calibri" w:hAnsi="Arial" w:cs="Arial"/>
          <w:b/>
          <w:sz w:val="32"/>
          <w:szCs w:val="32"/>
          <w:lang w:eastAsia="fr-CA"/>
        </w:rPr>
      </w:pPr>
    </w:p>
    <w:p w14:paraId="0CC90720" w14:textId="77777777" w:rsidR="00235C50" w:rsidRPr="00144C00" w:rsidRDefault="00F67061" w:rsidP="00F67061">
      <w:pPr>
        <w:pBdr>
          <w:bottom w:val="single" w:sz="4" w:space="1" w:color="auto"/>
        </w:pBdr>
        <w:rPr>
          <w:rFonts w:ascii="Arial" w:eastAsia="Calibri" w:hAnsi="Arial" w:cs="Arial"/>
          <w:b/>
          <w:sz w:val="32"/>
          <w:szCs w:val="32"/>
          <w:lang w:eastAsia="fr-CA"/>
        </w:rPr>
      </w:pPr>
      <w:r w:rsidRPr="00144C00">
        <w:rPr>
          <w:rFonts w:ascii="Arial" w:eastAsia="Calibri" w:hAnsi="Arial" w:cs="Arial"/>
          <w:b/>
          <w:i/>
          <w:sz w:val="32"/>
          <w:szCs w:val="32"/>
          <w:lang w:eastAsia="fr-CA"/>
        </w:rPr>
        <w:t>Nous ne sommes pas des lobbys!</w:t>
      </w:r>
      <w:r w:rsidRPr="00144C00">
        <w:rPr>
          <w:rFonts w:ascii="Arial" w:eastAsia="Calibri" w:hAnsi="Arial" w:cs="Arial"/>
          <w:b/>
          <w:sz w:val="32"/>
          <w:szCs w:val="32"/>
          <w:lang w:eastAsia="fr-CA"/>
        </w:rPr>
        <w:t xml:space="preserve"> </w:t>
      </w:r>
    </w:p>
    <w:p w14:paraId="172309F4" w14:textId="77777777" w:rsidR="00144C00" w:rsidRPr="00144C00" w:rsidRDefault="00F67061" w:rsidP="00144C00">
      <w:pPr>
        <w:pBdr>
          <w:bottom w:val="single" w:sz="4" w:space="1" w:color="auto"/>
        </w:pBdr>
        <w:rPr>
          <w:rFonts w:ascii="Arial" w:eastAsia="Calibri" w:hAnsi="Arial" w:cs="Arial"/>
          <w:b/>
          <w:sz w:val="32"/>
          <w:szCs w:val="32"/>
          <w:lang w:eastAsia="fr-CA"/>
        </w:rPr>
      </w:pPr>
      <w:r w:rsidRPr="00144C00">
        <w:rPr>
          <w:rFonts w:ascii="Arial" w:eastAsia="Calibri" w:hAnsi="Arial" w:cs="Arial"/>
          <w:b/>
          <w:sz w:val="32"/>
          <w:szCs w:val="32"/>
          <w:lang w:eastAsia="fr-CA"/>
        </w:rPr>
        <w:t xml:space="preserve">Avis sur le </w:t>
      </w:r>
      <w:r w:rsidR="00235C50" w:rsidRPr="00144C00">
        <w:rPr>
          <w:rFonts w:ascii="Arial" w:eastAsia="Calibri" w:hAnsi="Arial" w:cs="Arial"/>
          <w:b/>
          <w:sz w:val="32"/>
          <w:szCs w:val="32"/>
          <w:lang w:eastAsia="fr-CA"/>
        </w:rPr>
        <w:t>PL</w:t>
      </w:r>
      <w:r w:rsidRPr="00144C00">
        <w:rPr>
          <w:rFonts w:ascii="Arial" w:eastAsia="Calibri" w:hAnsi="Arial" w:cs="Arial"/>
          <w:b/>
          <w:sz w:val="32"/>
          <w:szCs w:val="32"/>
          <w:lang w:eastAsia="fr-CA"/>
        </w:rPr>
        <w:t xml:space="preserve">56 : Loi sur la transparence en matière de </w:t>
      </w:r>
      <w:proofErr w:type="spellStart"/>
      <w:r w:rsidRPr="00144C00">
        <w:rPr>
          <w:rFonts w:ascii="Arial" w:eastAsia="Calibri" w:hAnsi="Arial" w:cs="Arial"/>
          <w:b/>
          <w:sz w:val="32"/>
          <w:szCs w:val="32"/>
          <w:lang w:eastAsia="fr-CA"/>
        </w:rPr>
        <w:t>lobbyisme</w:t>
      </w:r>
      <w:proofErr w:type="spellEnd"/>
      <w:r w:rsidRPr="00144C00">
        <w:rPr>
          <w:rFonts w:ascii="Arial" w:eastAsia="Calibri" w:hAnsi="Arial" w:cs="Arial"/>
          <w:b/>
          <w:sz w:val="32"/>
          <w:szCs w:val="32"/>
          <w:lang w:eastAsia="fr-CA"/>
        </w:rPr>
        <w:t>.</w:t>
      </w:r>
    </w:p>
    <w:p w14:paraId="36419960" w14:textId="77777777" w:rsidR="00144C00" w:rsidRDefault="00144C00" w:rsidP="00F67061">
      <w:pPr>
        <w:rPr>
          <w:rFonts w:ascii="Arial" w:eastAsia="Calibri" w:hAnsi="Arial" w:cs="Arial"/>
          <w:sz w:val="32"/>
          <w:szCs w:val="32"/>
          <w:lang w:eastAsia="fr-CA"/>
        </w:rPr>
      </w:pPr>
    </w:p>
    <w:p w14:paraId="0DA5D983" w14:textId="77777777" w:rsidR="00F67061" w:rsidRPr="00144C00" w:rsidRDefault="00F67061" w:rsidP="00F67061">
      <w:pPr>
        <w:rPr>
          <w:rFonts w:ascii="Arial" w:eastAsia="Calibri" w:hAnsi="Arial" w:cs="Arial"/>
          <w:sz w:val="32"/>
          <w:szCs w:val="32"/>
          <w:lang w:eastAsia="fr-CA"/>
        </w:rPr>
      </w:pPr>
      <w:r w:rsidRPr="00144C00">
        <w:rPr>
          <w:rFonts w:ascii="Arial" w:eastAsia="Calibri" w:hAnsi="Arial" w:cs="Arial"/>
          <w:sz w:val="32"/>
          <w:szCs w:val="32"/>
          <w:lang w:eastAsia="fr-CA"/>
        </w:rPr>
        <w:t xml:space="preserve">Remis par la Confédération des organismes de personnes handicapées du Québec au Commissaire au </w:t>
      </w:r>
      <w:proofErr w:type="spellStart"/>
      <w:r w:rsidRPr="00144C00">
        <w:rPr>
          <w:rFonts w:ascii="Arial" w:eastAsia="Calibri" w:hAnsi="Arial" w:cs="Arial"/>
          <w:sz w:val="32"/>
          <w:szCs w:val="32"/>
          <w:lang w:eastAsia="fr-CA"/>
        </w:rPr>
        <w:t>lobbyisme</w:t>
      </w:r>
      <w:proofErr w:type="spellEnd"/>
      <w:r w:rsidRPr="00144C00">
        <w:rPr>
          <w:rFonts w:ascii="Arial" w:eastAsia="Calibri" w:hAnsi="Arial" w:cs="Arial"/>
          <w:sz w:val="32"/>
          <w:szCs w:val="32"/>
          <w:lang w:eastAsia="fr-CA"/>
        </w:rPr>
        <w:t xml:space="preserve"> du Québec</w:t>
      </w:r>
    </w:p>
    <w:p w14:paraId="2E961DB4" w14:textId="77777777" w:rsidR="00F67061" w:rsidRPr="00144C00" w:rsidRDefault="00F67061" w:rsidP="00F67061">
      <w:pPr>
        <w:rPr>
          <w:rFonts w:ascii="Arial" w:eastAsia="Calibri" w:hAnsi="Arial" w:cs="Arial"/>
          <w:sz w:val="32"/>
          <w:szCs w:val="32"/>
          <w:lang w:eastAsia="fr-CA"/>
        </w:rPr>
      </w:pPr>
    </w:p>
    <w:p w14:paraId="4FFE5530" w14:textId="77777777" w:rsidR="00F67061" w:rsidRPr="00144C00" w:rsidRDefault="00F67061" w:rsidP="00F67061">
      <w:pPr>
        <w:rPr>
          <w:rFonts w:ascii="Arial" w:eastAsia="Calibri" w:hAnsi="Arial" w:cs="Arial"/>
          <w:sz w:val="32"/>
          <w:szCs w:val="32"/>
          <w:lang w:eastAsia="fr-CA"/>
        </w:rPr>
      </w:pPr>
    </w:p>
    <w:p w14:paraId="6B16E142" w14:textId="77777777" w:rsidR="00F67061" w:rsidRPr="00144C00" w:rsidRDefault="00F67061" w:rsidP="00F67061">
      <w:pPr>
        <w:rPr>
          <w:rFonts w:ascii="Arial" w:eastAsia="Calibri" w:hAnsi="Arial" w:cs="Arial"/>
          <w:sz w:val="32"/>
          <w:szCs w:val="32"/>
          <w:lang w:eastAsia="fr-CA"/>
        </w:rPr>
      </w:pPr>
    </w:p>
    <w:p w14:paraId="67CCA479" w14:textId="77777777" w:rsidR="00F67061" w:rsidRPr="00144C00" w:rsidRDefault="00F67061" w:rsidP="00F67061">
      <w:pPr>
        <w:rPr>
          <w:rFonts w:ascii="Arial" w:eastAsia="Calibri" w:hAnsi="Arial" w:cs="Arial"/>
          <w:sz w:val="32"/>
          <w:szCs w:val="32"/>
          <w:lang w:eastAsia="fr-CA"/>
        </w:rPr>
      </w:pPr>
    </w:p>
    <w:p w14:paraId="30CEADC5" w14:textId="77777777" w:rsidR="00F67061" w:rsidRPr="00144C00" w:rsidRDefault="00F67061" w:rsidP="00F67061">
      <w:pPr>
        <w:rPr>
          <w:rFonts w:ascii="Arial" w:eastAsia="Calibri" w:hAnsi="Arial" w:cs="Arial"/>
          <w:sz w:val="32"/>
          <w:szCs w:val="32"/>
          <w:lang w:eastAsia="fr-CA"/>
        </w:rPr>
      </w:pPr>
    </w:p>
    <w:p w14:paraId="03ED230E" w14:textId="77777777" w:rsidR="00F67061" w:rsidRPr="00144C00" w:rsidRDefault="00F67061" w:rsidP="00F67061">
      <w:pPr>
        <w:rPr>
          <w:rFonts w:ascii="Arial" w:eastAsia="Calibri" w:hAnsi="Arial" w:cs="Arial"/>
          <w:sz w:val="32"/>
          <w:szCs w:val="32"/>
          <w:lang w:eastAsia="fr-CA"/>
        </w:rPr>
      </w:pPr>
    </w:p>
    <w:p w14:paraId="3B668450" w14:textId="77777777" w:rsidR="00F67061" w:rsidRPr="00144C00" w:rsidRDefault="00F67061" w:rsidP="00F67061">
      <w:pPr>
        <w:rPr>
          <w:rFonts w:ascii="Arial" w:eastAsia="Calibri" w:hAnsi="Arial" w:cs="Arial"/>
          <w:sz w:val="32"/>
          <w:szCs w:val="32"/>
          <w:lang w:eastAsia="fr-CA"/>
        </w:rPr>
      </w:pPr>
    </w:p>
    <w:p w14:paraId="66EEBBB0" w14:textId="77777777" w:rsidR="00F67061" w:rsidRPr="00144C00" w:rsidRDefault="00F67061" w:rsidP="00F67061">
      <w:pPr>
        <w:rPr>
          <w:rFonts w:ascii="Arial" w:eastAsia="Calibri" w:hAnsi="Arial" w:cs="Arial"/>
          <w:sz w:val="32"/>
          <w:szCs w:val="32"/>
          <w:lang w:eastAsia="fr-CA"/>
        </w:rPr>
      </w:pPr>
    </w:p>
    <w:p w14:paraId="6FA34BD7" w14:textId="77777777" w:rsidR="00F67061" w:rsidRPr="00144C00" w:rsidRDefault="00F67061" w:rsidP="00F67061">
      <w:pPr>
        <w:rPr>
          <w:rFonts w:ascii="Arial" w:eastAsia="Calibri" w:hAnsi="Arial" w:cs="Arial"/>
          <w:sz w:val="32"/>
          <w:szCs w:val="32"/>
          <w:lang w:eastAsia="fr-CA"/>
        </w:rPr>
      </w:pPr>
    </w:p>
    <w:p w14:paraId="66A16F70" w14:textId="77777777" w:rsidR="00F67061" w:rsidRPr="00144C00" w:rsidRDefault="00F67061" w:rsidP="00F67061">
      <w:pPr>
        <w:rPr>
          <w:rFonts w:ascii="Arial" w:eastAsia="Calibri" w:hAnsi="Arial" w:cs="Arial"/>
          <w:sz w:val="32"/>
          <w:szCs w:val="32"/>
          <w:lang w:eastAsia="fr-CA"/>
        </w:rPr>
      </w:pPr>
    </w:p>
    <w:p w14:paraId="5A3D1119" w14:textId="77777777" w:rsidR="00F67061" w:rsidRPr="00144C00" w:rsidRDefault="00F67061" w:rsidP="00F67061">
      <w:pPr>
        <w:rPr>
          <w:rFonts w:ascii="Arial" w:eastAsia="Calibri" w:hAnsi="Arial" w:cs="Arial"/>
          <w:sz w:val="32"/>
          <w:szCs w:val="32"/>
          <w:lang w:eastAsia="fr-CA"/>
        </w:rPr>
      </w:pPr>
    </w:p>
    <w:p w14:paraId="73C5DE1F" w14:textId="77777777" w:rsidR="00F67061" w:rsidRPr="00144C00" w:rsidRDefault="00F67061" w:rsidP="00F67061">
      <w:pPr>
        <w:rPr>
          <w:rFonts w:ascii="Arial" w:eastAsia="Calibri" w:hAnsi="Arial" w:cs="Arial"/>
          <w:sz w:val="32"/>
          <w:szCs w:val="32"/>
          <w:lang w:eastAsia="fr-CA"/>
        </w:rPr>
      </w:pPr>
    </w:p>
    <w:p w14:paraId="08E736A3" w14:textId="77777777" w:rsidR="00F67061" w:rsidRPr="00144C00" w:rsidRDefault="00F67061" w:rsidP="00F67061">
      <w:pPr>
        <w:rPr>
          <w:rFonts w:ascii="Arial" w:eastAsia="Calibri" w:hAnsi="Arial" w:cs="Arial"/>
          <w:b/>
          <w:color w:val="1F497D"/>
          <w:sz w:val="36"/>
          <w:szCs w:val="36"/>
          <w:lang w:eastAsia="fr-CA"/>
        </w:rPr>
      </w:pPr>
    </w:p>
    <w:p w14:paraId="2927C9EE" w14:textId="77777777" w:rsidR="00F67061" w:rsidRPr="00144C00" w:rsidRDefault="00F67061" w:rsidP="00235C50">
      <w:pPr>
        <w:rPr>
          <w:rFonts w:ascii="Arial" w:eastAsia="Calibri" w:hAnsi="Arial" w:cs="Arial"/>
          <w:b/>
          <w:color w:val="1F497D"/>
          <w:sz w:val="36"/>
          <w:szCs w:val="36"/>
          <w:lang w:eastAsia="fr-CA"/>
        </w:rPr>
        <w:sectPr w:rsidR="00F67061" w:rsidRPr="00144C00" w:rsidSect="00F67061">
          <w:headerReference w:type="even" r:id="rId10"/>
          <w:headerReference w:type="default" r:id="rId11"/>
          <w:footerReference w:type="even" r:id="rId12"/>
          <w:footerReference w:type="default" r:id="rId13"/>
          <w:headerReference w:type="first" r:id="rId14"/>
          <w:footerReference w:type="first" r:id="rId15"/>
          <w:pgSz w:w="12240" w:h="15840"/>
          <w:pgMar w:top="1191" w:right="1247" w:bottom="1531" w:left="1247" w:header="708" w:footer="708" w:gutter="0"/>
          <w:cols w:space="708"/>
          <w:docGrid w:linePitch="360"/>
        </w:sectPr>
      </w:pPr>
      <w:r w:rsidRPr="00144C00">
        <w:rPr>
          <w:rFonts w:ascii="Arial" w:eastAsia="Calibri" w:hAnsi="Arial" w:cs="Arial"/>
          <w:b/>
          <w:color w:val="1F497D"/>
          <w:sz w:val="36"/>
          <w:szCs w:val="36"/>
          <w:lang w:eastAsia="fr-CA"/>
        </w:rPr>
        <w:t>Févri</w:t>
      </w:r>
      <w:bookmarkStart w:id="0" w:name="_Toc401771644"/>
      <w:bookmarkStart w:id="1" w:name="_Toc401825303"/>
      <w:bookmarkStart w:id="2" w:name="_Toc401826709"/>
      <w:bookmarkStart w:id="3" w:name="_Toc401911320"/>
      <w:r w:rsidR="009A3134">
        <w:rPr>
          <w:rFonts w:ascii="Arial" w:eastAsia="Calibri" w:hAnsi="Arial" w:cs="Arial"/>
          <w:b/>
          <w:color w:val="1F497D"/>
          <w:sz w:val="36"/>
          <w:szCs w:val="36"/>
          <w:lang w:eastAsia="fr-CA"/>
        </w:rPr>
        <w:t>er 2016</w:t>
      </w:r>
    </w:p>
    <w:bookmarkEnd w:id="0"/>
    <w:bookmarkEnd w:id="1"/>
    <w:bookmarkEnd w:id="2"/>
    <w:bookmarkEnd w:id="3"/>
    <w:p w14:paraId="767A8A92" w14:textId="77777777" w:rsidR="00F67061" w:rsidRPr="00144C00" w:rsidRDefault="00F67061" w:rsidP="00F67061">
      <w:pPr>
        <w:spacing w:after="200"/>
        <w:rPr>
          <w:rFonts w:ascii="Arial" w:hAnsi="Arial" w:cs="Arial"/>
        </w:rPr>
        <w:sectPr w:rsidR="00F67061" w:rsidRPr="00144C00" w:rsidSect="00F67061">
          <w:headerReference w:type="default" r:id="rId16"/>
          <w:footerReference w:type="default" r:id="rId17"/>
          <w:type w:val="continuous"/>
          <w:pgSz w:w="12240" w:h="15840"/>
          <w:pgMar w:top="1191" w:right="1247" w:bottom="1531" w:left="1247" w:header="708" w:footer="708" w:gutter="0"/>
          <w:pgNumType w:start="1"/>
          <w:cols w:space="708"/>
          <w:docGrid w:linePitch="360"/>
        </w:sectPr>
      </w:pPr>
    </w:p>
    <w:bookmarkStart w:id="4" w:name="_Toc316730972" w:displacedByCustomXml="next"/>
    <w:bookmarkStart w:id="5" w:name="_Toc316730935" w:displacedByCustomXml="next"/>
    <w:bookmarkStart w:id="6" w:name="_Toc316723137" w:displacedByCustomXml="next"/>
    <w:bookmarkStart w:id="7" w:name="_Toc442191543" w:displacedByCustomXml="next"/>
    <w:sdt>
      <w:sdtPr>
        <w:rPr>
          <w:rFonts w:asciiTheme="minorHAnsi" w:eastAsiaTheme="minorEastAsia" w:hAnsiTheme="minorHAnsi" w:cstheme="minorBidi"/>
          <w:b w:val="0"/>
          <w:bCs w:val="0"/>
          <w:color w:val="auto"/>
          <w:sz w:val="24"/>
          <w:szCs w:val="24"/>
          <w:lang w:val="fr-CA"/>
        </w:rPr>
        <w:id w:val="-1278862137"/>
        <w:docPartObj>
          <w:docPartGallery w:val="Table of Contents"/>
          <w:docPartUnique/>
        </w:docPartObj>
      </w:sdtPr>
      <w:sdtEndPr>
        <w:rPr>
          <w:noProof/>
        </w:rPr>
      </w:sdtEndPr>
      <w:sdtContent>
        <w:p w14:paraId="5622FE72" w14:textId="77777777" w:rsidR="00E43F59" w:rsidRPr="00E75783" w:rsidRDefault="00E43F59" w:rsidP="00E43F59">
          <w:pPr>
            <w:pStyle w:val="En-ttedetabledesmatires"/>
            <w:tabs>
              <w:tab w:val="left" w:pos="1872"/>
            </w:tabs>
            <w:rPr>
              <w:rFonts w:ascii="Arial" w:hAnsi="Arial" w:cs="Arial"/>
              <w:color w:val="000000" w:themeColor="text1"/>
              <w:lang w:val="fr-CA"/>
            </w:rPr>
          </w:pPr>
          <w:r w:rsidRPr="00E75783">
            <w:rPr>
              <w:rFonts w:ascii="Arial" w:hAnsi="Arial" w:cs="Arial"/>
              <w:color w:val="000000" w:themeColor="text1"/>
              <w:lang w:val="fr-CA"/>
            </w:rPr>
            <w:t>Contenu</w:t>
          </w:r>
          <w:bookmarkStart w:id="8" w:name="_GoBack"/>
          <w:bookmarkEnd w:id="8"/>
        </w:p>
        <w:p w14:paraId="17883B8D" w14:textId="77777777" w:rsidR="00E43F59" w:rsidRPr="00E43F59" w:rsidRDefault="00E43F59" w:rsidP="00E43F59"/>
        <w:p w14:paraId="1BFC14F1" w14:textId="77777777" w:rsidR="00291267" w:rsidRDefault="00E43F59">
          <w:pPr>
            <w:pStyle w:val="TM1"/>
            <w:tabs>
              <w:tab w:val="right" w:leader="dot" w:pos="8630"/>
            </w:tabs>
            <w:rPr>
              <w:b w:val="0"/>
              <w:noProof/>
              <w:sz w:val="22"/>
              <w:szCs w:val="22"/>
              <w:lang w:eastAsia="fr-CA"/>
            </w:rPr>
          </w:pPr>
          <w:r w:rsidRPr="00E43F59">
            <w:rPr>
              <w:rFonts w:ascii="Arial" w:hAnsi="Arial" w:cs="Arial"/>
              <w:b w:val="0"/>
              <w:color w:val="000000" w:themeColor="text1"/>
            </w:rPr>
            <w:fldChar w:fldCharType="begin"/>
          </w:r>
          <w:r w:rsidRPr="00E43F59">
            <w:rPr>
              <w:rFonts w:ascii="Arial" w:hAnsi="Arial" w:cs="Arial"/>
              <w:color w:val="000000" w:themeColor="text1"/>
            </w:rPr>
            <w:instrText xml:space="preserve"> TOC \o "1-3" \h \z \u </w:instrText>
          </w:r>
          <w:r w:rsidRPr="00E43F59">
            <w:rPr>
              <w:rFonts w:ascii="Arial" w:hAnsi="Arial" w:cs="Arial"/>
              <w:b w:val="0"/>
              <w:color w:val="000000" w:themeColor="text1"/>
            </w:rPr>
            <w:fldChar w:fldCharType="separate"/>
          </w:r>
          <w:hyperlink w:anchor="_Toc442961238" w:history="1">
            <w:r w:rsidR="00291267" w:rsidRPr="009C269B">
              <w:rPr>
                <w:rStyle w:val="Lienhypertexte"/>
                <w:noProof/>
              </w:rPr>
              <w:t>Présentation de l’organisme</w:t>
            </w:r>
            <w:r w:rsidR="00291267">
              <w:rPr>
                <w:noProof/>
                <w:webHidden/>
              </w:rPr>
              <w:tab/>
            </w:r>
            <w:r w:rsidR="00291267">
              <w:rPr>
                <w:noProof/>
                <w:webHidden/>
              </w:rPr>
              <w:fldChar w:fldCharType="begin"/>
            </w:r>
            <w:r w:rsidR="00291267">
              <w:rPr>
                <w:noProof/>
                <w:webHidden/>
              </w:rPr>
              <w:instrText xml:space="preserve"> PAGEREF _Toc442961238 \h </w:instrText>
            </w:r>
            <w:r w:rsidR="00291267">
              <w:rPr>
                <w:noProof/>
                <w:webHidden/>
              </w:rPr>
            </w:r>
            <w:r w:rsidR="00291267">
              <w:rPr>
                <w:noProof/>
                <w:webHidden/>
              </w:rPr>
              <w:fldChar w:fldCharType="separate"/>
            </w:r>
            <w:r w:rsidR="00410C02">
              <w:rPr>
                <w:noProof/>
                <w:webHidden/>
              </w:rPr>
              <w:t>1</w:t>
            </w:r>
            <w:r w:rsidR="00291267">
              <w:rPr>
                <w:noProof/>
                <w:webHidden/>
              </w:rPr>
              <w:fldChar w:fldCharType="end"/>
            </w:r>
          </w:hyperlink>
        </w:p>
        <w:p w14:paraId="30BC29EF" w14:textId="77777777" w:rsidR="00291267" w:rsidRDefault="00291267">
          <w:pPr>
            <w:pStyle w:val="TM1"/>
            <w:tabs>
              <w:tab w:val="right" w:leader="dot" w:pos="8630"/>
            </w:tabs>
            <w:rPr>
              <w:b w:val="0"/>
              <w:noProof/>
              <w:sz w:val="22"/>
              <w:szCs w:val="22"/>
              <w:lang w:eastAsia="fr-CA"/>
            </w:rPr>
          </w:pPr>
          <w:hyperlink w:anchor="_Toc442961239" w:history="1">
            <w:r w:rsidRPr="009C269B">
              <w:rPr>
                <w:rStyle w:val="Lienhypertexte"/>
                <w:noProof/>
              </w:rPr>
              <w:t>Bref portrait des OSBL au Québec</w:t>
            </w:r>
            <w:r>
              <w:rPr>
                <w:noProof/>
                <w:webHidden/>
              </w:rPr>
              <w:tab/>
            </w:r>
            <w:r>
              <w:rPr>
                <w:noProof/>
                <w:webHidden/>
              </w:rPr>
              <w:fldChar w:fldCharType="begin"/>
            </w:r>
            <w:r>
              <w:rPr>
                <w:noProof/>
                <w:webHidden/>
              </w:rPr>
              <w:instrText xml:space="preserve"> PAGEREF _Toc442961239 \h </w:instrText>
            </w:r>
            <w:r>
              <w:rPr>
                <w:noProof/>
                <w:webHidden/>
              </w:rPr>
            </w:r>
            <w:r>
              <w:rPr>
                <w:noProof/>
                <w:webHidden/>
              </w:rPr>
              <w:fldChar w:fldCharType="separate"/>
            </w:r>
            <w:r w:rsidR="00410C02">
              <w:rPr>
                <w:noProof/>
                <w:webHidden/>
              </w:rPr>
              <w:t>1</w:t>
            </w:r>
            <w:r>
              <w:rPr>
                <w:noProof/>
                <w:webHidden/>
              </w:rPr>
              <w:fldChar w:fldCharType="end"/>
            </w:r>
          </w:hyperlink>
        </w:p>
        <w:p w14:paraId="3DA17B22" w14:textId="77777777" w:rsidR="00291267" w:rsidRDefault="00291267">
          <w:pPr>
            <w:pStyle w:val="TM1"/>
            <w:tabs>
              <w:tab w:val="right" w:leader="dot" w:pos="8630"/>
            </w:tabs>
            <w:rPr>
              <w:b w:val="0"/>
              <w:noProof/>
              <w:sz w:val="22"/>
              <w:szCs w:val="22"/>
              <w:lang w:eastAsia="fr-CA"/>
            </w:rPr>
          </w:pPr>
          <w:hyperlink w:anchor="_Toc442961240" w:history="1">
            <w:r w:rsidRPr="009C269B">
              <w:rPr>
                <w:rStyle w:val="Lienhypertexte"/>
                <w:noProof/>
              </w:rPr>
              <w:t>Coup d’œil sur le PL56</w:t>
            </w:r>
            <w:r>
              <w:rPr>
                <w:noProof/>
                <w:webHidden/>
              </w:rPr>
              <w:tab/>
            </w:r>
            <w:r>
              <w:rPr>
                <w:noProof/>
                <w:webHidden/>
              </w:rPr>
              <w:fldChar w:fldCharType="begin"/>
            </w:r>
            <w:r>
              <w:rPr>
                <w:noProof/>
                <w:webHidden/>
              </w:rPr>
              <w:instrText xml:space="preserve"> PAGEREF _Toc442961240 \h </w:instrText>
            </w:r>
            <w:r>
              <w:rPr>
                <w:noProof/>
                <w:webHidden/>
              </w:rPr>
            </w:r>
            <w:r>
              <w:rPr>
                <w:noProof/>
                <w:webHidden/>
              </w:rPr>
              <w:fldChar w:fldCharType="separate"/>
            </w:r>
            <w:r w:rsidR="00410C02">
              <w:rPr>
                <w:noProof/>
                <w:webHidden/>
              </w:rPr>
              <w:t>2</w:t>
            </w:r>
            <w:r>
              <w:rPr>
                <w:noProof/>
                <w:webHidden/>
              </w:rPr>
              <w:fldChar w:fldCharType="end"/>
            </w:r>
          </w:hyperlink>
        </w:p>
        <w:p w14:paraId="76FDA1DD" w14:textId="77777777" w:rsidR="00291267" w:rsidRDefault="00291267">
          <w:pPr>
            <w:pStyle w:val="TM1"/>
            <w:tabs>
              <w:tab w:val="right" w:leader="dot" w:pos="8630"/>
            </w:tabs>
            <w:rPr>
              <w:b w:val="0"/>
              <w:noProof/>
              <w:sz w:val="22"/>
              <w:szCs w:val="22"/>
              <w:lang w:eastAsia="fr-CA"/>
            </w:rPr>
          </w:pPr>
          <w:hyperlink w:anchor="_Toc442961241" w:history="1">
            <w:r w:rsidRPr="009C269B">
              <w:rPr>
                <w:rStyle w:val="Lienhypertexte"/>
                <w:noProof/>
              </w:rPr>
              <w:t>Les OSBL ne sont pas des lobbys</w:t>
            </w:r>
            <w:r>
              <w:rPr>
                <w:noProof/>
                <w:webHidden/>
              </w:rPr>
              <w:tab/>
            </w:r>
            <w:r>
              <w:rPr>
                <w:noProof/>
                <w:webHidden/>
              </w:rPr>
              <w:fldChar w:fldCharType="begin"/>
            </w:r>
            <w:r>
              <w:rPr>
                <w:noProof/>
                <w:webHidden/>
              </w:rPr>
              <w:instrText xml:space="preserve"> PAGEREF _Toc442961241 \h </w:instrText>
            </w:r>
            <w:r>
              <w:rPr>
                <w:noProof/>
                <w:webHidden/>
              </w:rPr>
            </w:r>
            <w:r>
              <w:rPr>
                <w:noProof/>
                <w:webHidden/>
              </w:rPr>
              <w:fldChar w:fldCharType="separate"/>
            </w:r>
            <w:r w:rsidR="00410C02">
              <w:rPr>
                <w:noProof/>
                <w:webHidden/>
              </w:rPr>
              <w:t>2</w:t>
            </w:r>
            <w:r>
              <w:rPr>
                <w:noProof/>
                <w:webHidden/>
              </w:rPr>
              <w:fldChar w:fldCharType="end"/>
            </w:r>
          </w:hyperlink>
        </w:p>
        <w:p w14:paraId="7B37854E" w14:textId="77777777" w:rsidR="00291267" w:rsidRDefault="00291267">
          <w:pPr>
            <w:pStyle w:val="TM2"/>
            <w:tabs>
              <w:tab w:val="right" w:leader="dot" w:pos="8630"/>
            </w:tabs>
            <w:rPr>
              <w:b w:val="0"/>
              <w:noProof/>
              <w:lang w:eastAsia="fr-CA"/>
            </w:rPr>
          </w:pPr>
          <w:hyperlink w:anchor="_Toc442961242" w:history="1">
            <w:r w:rsidRPr="009C269B">
              <w:rPr>
                <w:rStyle w:val="Lienhypertexte"/>
                <w:noProof/>
              </w:rPr>
              <w:t>Raison d’être de la Loi</w:t>
            </w:r>
            <w:r>
              <w:rPr>
                <w:noProof/>
                <w:webHidden/>
              </w:rPr>
              <w:tab/>
            </w:r>
            <w:r>
              <w:rPr>
                <w:noProof/>
                <w:webHidden/>
              </w:rPr>
              <w:fldChar w:fldCharType="begin"/>
            </w:r>
            <w:r>
              <w:rPr>
                <w:noProof/>
                <w:webHidden/>
              </w:rPr>
              <w:instrText xml:space="preserve"> PAGEREF _Toc442961242 \h </w:instrText>
            </w:r>
            <w:r>
              <w:rPr>
                <w:noProof/>
                <w:webHidden/>
              </w:rPr>
            </w:r>
            <w:r>
              <w:rPr>
                <w:noProof/>
                <w:webHidden/>
              </w:rPr>
              <w:fldChar w:fldCharType="separate"/>
            </w:r>
            <w:r w:rsidR="00410C02">
              <w:rPr>
                <w:noProof/>
                <w:webHidden/>
              </w:rPr>
              <w:t>2</w:t>
            </w:r>
            <w:r>
              <w:rPr>
                <w:noProof/>
                <w:webHidden/>
              </w:rPr>
              <w:fldChar w:fldCharType="end"/>
            </w:r>
          </w:hyperlink>
        </w:p>
        <w:p w14:paraId="1C020271" w14:textId="77777777" w:rsidR="00291267" w:rsidRDefault="00291267">
          <w:pPr>
            <w:pStyle w:val="TM2"/>
            <w:tabs>
              <w:tab w:val="right" w:leader="dot" w:pos="8630"/>
            </w:tabs>
            <w:rPr>
              <w:b w:val="0"/>
              <w:noProof/>
              <w:lang w:eastAsia="fr-CA"/>
            </w:rPr>
          </w:pPr>
          <w:hyperlink w:anchor="_Toc442961243" w:history="1">
            <w:r w:rsidRPr="009C269B">
              <w:rPr>
                <w:rStyle w:val="Lienhypertexte"/>
                <w:noProof/>
              </w:rPr>
              <w:t>Participation citoyenne et libertés d’association et d’expression</w:t>
            </w:r>
            <w:r>
              <w:rPr>
                <w:noProof/>
                <w:webHidden/>
              </w:rPr>
              <w:tab/>
            </w:r>
            <w:r>
              <w:rPr>
                <w:noProof/>
                <w:webHidden/>
              </w:rPr>
              <w:fldChar w:fldCharType="begin"/>
            </w:r>
            <w:r>
              <w:rPr>
                <w:noProof/>
                <w:webHidden/>
              </w:rPr>
              <w:instrText xml:space="preserve"> PAGEREF _Toc442961243 \h </w:instrText>
            </w:r>
            <w:r>
              <w:rPr>
                <w:noProof/>
                <w:webHidden/>
              </w:rPr>
            </w:r>
            <w:r>
              <w:rPr>
                <w:noProof/>
                <w:webHidden/>
              </w:rPr>
              <w:fldChar w:fldCharType="separate"/>
            </w:r>
            <w:r w:rsidR="00410C02">
              <w:rPr>
                <w:noProof/>
                <w:webHidden/>
              </w:rPr>
              <w:t>3</w:t>
            </w:r>
            <w:r>
              <w:rPr>
                <w:noProof/>
                <w:webHidden/>
              </w:rPr>
              <w:fldChar w:fldCharType="end"/>
            </w:r>
          </w:hyperlink>
        </w:p>
        <w:p w14:paraId="14245B55" w14:textId="77777777" w:rsidR="00291267" w:rsidRDefault="00291267">
          <w:pPr>
            <w:pStyle w:val="TM1"/>
            <w:tabs>
              <w:tab w:val="right" w:leader="dot" w:pos="8630"/>
            </w:tabs>
            <w:rPr>
              <w:b w:val="0"/>
              <w:noProof/>
              <w:sz w:val="22"/>
              <w:szCs w:val="22"/>
              <w:lang w:eastAsia="fr-CA"/>
            </w:rPr>
          </w:pPr>
          <w:hyperlink w:anchor="_Toc442961244" w:history="1">
            <w:r w:rsidRPr="009C269B">
              <w:rPr>
                <w:rStyle w:val="Lienhypertexte"/>
                <w:noProof/>
              </w:rPr>
              <w:t>Le PL56 menace l’efficacité et la survie des OSBL</w:t>
            </w:r>
            <w:r>
              <w:rPr>
                <w:noProof/>
                <w:webHidden/>
              </w:rPr>
              <w:tab/>
            </w:r>
            <w:r>
              <w:rPr>
                <w:noProof/>
                <w:webHidden/>
              </w:rPr>
              <w:fldChar w:fldCharType="begin"/>
            </w:r>
            <w:r>
              <w:rPr>
                <w:noProof/>
                <w:webHidden/>
              </w:rPr>
              <w:instrText xml:space="preserve"> PAGEREF _Toc442961244 \h </w:instrText>
            </w:r>
            <w:r>
              <w:rPr>
                <w:noProof/>
                <w:webHidden/>
              </w:rPr>
            </w:r>
            <w:r>
              <w:rPr>
                <w:noProof/>
                <w:webHidden/>
              </w:rPr>
              <w:fldChar w:fldCharType="separate"/>
            </w:r>
            <w:r w:rsidR="00410C02">
              <w:rPr>
                <w:noProof/>
                <w:webHidden/>
              </w:rPr>
              <w:t>4</w:t>
            </w:r>
            <w:r>
              <w:rPr>
                <w:noProof/>
                <w:webHidden/>
              </w:rPr>
              <w:fldChar w:fldCharType="end"/>
            </w:r>
          </w:hyperlink>
        </w:p>
        <w:p w14:paraId="51D07AC9" w14:textId="77777777" w:rsidR="00291267" w:rsidRDefault="00291267">
          <w:pPr>
            <w:pStyle w:val="TM2"/>
            <w:tabs>
              <w:tab w:val="right" w:leader="dot" w:pos="8630"/>
            </w:tabs>
            <w:rPr>
              <w:b w:val="0"/>
              <w:noProof/>
              <w:lang w:eastAsia="fr-CA"/>
            </w:rPr>
          </w:pPr>
          <w:hyperlink w:anchor="_Toc442961245" w:history="1">
            <w:r w:rsidRPr="009C269B">
              <w:rPr>
                <w:rStyle w:val="Lienhypertexte"/>
                <w:noProof/>
              </w:rPr>
              <w:t>Nature de nos activités et de nos mandats</w:t>
            </w:r>
            <w:r>
              <w:rPr>
                <w:noProof/>
                <w:webHidden/>
              </w:rPr>
              <w:tab/>
            </w:r>
            <w:r>
              <w:rPr>
                <w:noProof/>
                <w:webHidden/>
              </w:rPr>
              <w:fldChar w:fldCharType="begin"/>
            </w:r>
            <w:r>
              <w:rPr>
                <w:noProof/>
                <w:webHidden/>
              </w:rPr>
              <w:instrText xml:space="preserve"> PAGEREF _Toc442961245 \h </w:instrText>
            </w:r>
            <w:r>
              <w:rPr>
                <w:noProof/>
                <w:webHidden/>
              </w:rPr>
            </w:r>
            <w:r>
              <w:rPr>
                <w:noProof/>
                <w:webHidden/>
              </w:rPr>
              <w:fldChar w:fldCharType="separate"/>
            </w:r>
            <w:r w:rsidR="00410C02">
              <w:rPr>
                <w:noProof/>
                <w:webHidden/>
              </w:rPr>
              <w:t>4</w:t>
            </w:r>
            <w:r>
              <w:rPr>
                <w:noProof/>
                <w:webHidden/>
              </w:rPr>
              <w:fldChar w:fldCharType="end"/>
            </w:r>
          </w:hyperlink>
        </w:p>
        <w:p w14:paraId="46033F9F" w14:textId="77777777" w:rsidR="00291267" w:rsidRDefault="00291267">
          <w:pPr>
            <w:pStyle w:val="TM2"/>
            <w:tabs>
              <w:tab w:val="right" w:leader="dot" w:pos="8630"/>
            </w:tabs>
            <w:rPr>
              <w:b w:val="0"/>
              <w:noProof/>
              <w:lang w:eastAsia="fr-CA"/>
            </w:rPr>
          </w:pPr>
          <w:hyperlink w:anchor="_Toc442961246" w:history="1">
            <w:r w:rsidRPr="009C269B">
              <w:rPr>
                <w:rStyle w:val="Lienhypertexte"/>
                <w:noProof/>
              </w:rPr>
              <w:t>Lourdeur administrative</w:t>
            </w:r>
            <w:r>
              <w:rPr>
                <w:noProof/>
                <w:webHidden/>
              </w:rPr>
              <w:tab/>
            </w:r>
            <w:r>
              <w:rPr>
                <w:noProof/>
                <w:webHidden/>
              </w:rPr>
              <w:fldChar w:fldCharType="begin"/>
            </w:r>
            <w:r>
              <w:rPr>
                <w:noProof/>
                <w:webHidden/>
              </w:rPr>
              <w:instrText xml:space="preserve"> PAGEREF _Toc442961246 \h </w:instrText>
            </w:r>
            <w:r>
              <w:rPr>
                <w:noProof/>
                <w:webHidden/>
              </w:rPr>
            </w:r>
            <w:r>
              <w:rPr>
                <w:noProof/>
                <w:webHidden/>
              </w:rPr>
              <w:fldChar w:fldCharType="separate"/>
            </w:r>
            <w:r w:rsidR="00410C02">
              <w:rPr>
                <w:noProof/>
                <w:webHidden/>
              </w:rPr>
              <w:t>4</w:t>
            </w:r>
            <w:r>
              <w:rPr>
                <w:noProof/>
                <w:webHidden/>
              </w:rPr>
              <w:fldChar w:fldCharType="end"/>
            </w:r>
          </w:hyperlink>
        </w:p>
        <w:p w14:paraId="05AC7EFF" w14:textId="77777777" w:rsidR="00291267" w:rsidRDefault="00291267">
          <w:pPr>
            <w:pStyle w:val="TM2"/>
            <w:tabs>
              <w:tab w:val="right" w:leader="dot" w:pos="8630"/>
            </w:tabs>
            <w:rPr>
              <w:b w:val="0"/>
              <w:noProof/>
              <w:lang w:eastAsia="fr-CA"/>
            </w:rPr>
          </w:pPr>
          <w:hyperlink w:anchor="_Toc442961247" w:history="1">
            <w:r w:rsidRPr="009C269B">
              <w:rPr>
                <w:rStyle w:val="Lienhypertexte"/>
                <w:noProof/>
              </w:rPr>
              <w:t>Responsabilités et risques disproportionnés</w:t>
            </w:r>
            <w:r>
              <w:rPr>
                <w:noProof/>
                <w:webHidden/>
              </w:rPr>
              <w:tab/>
            </w:r>
            <w:r>
              <w:rPr>
                <w:noProof/>
                <w:webHidden/>
              </w:rPr>
              <w:fldChar w:fldCharType="begin"/>
            </w:r>
            <w:r>
              <w:rPr>
                <w:noProof/>
                <w:webHidden/>
              </w:rPr>
              <w:instrText xml:space="preserve"> PAGEREF _Toc442961247 \h </w:instrText>
            </w:r>
            <w:r>
              <w:rPr>
                <w:noProof/>
                <w:webHidden/>
              </w:rPr>
            </w:r>
            <w:r>
              <w:rPr>
                <w:noProof/>
                <w:webHidden/>
              </w:rPr>
              <w:fldChar w:fldCharType="separate"/>
            </w:r>
            <w:r w:rsidR="00410C02">
              <w:rPr>
                <w:noProof/>
                <w:webHidden/>
              </w:rPr>
              <w:t>5</w:t>
            </w:r>
            <w:r>
              <w:rPr>
                <w:noProof/>
                <w:webHidden/>
              </w:rPr>
              <w:fldChar w:fldCharType="end"/>
            </w:r>
          </w:hyperlink>
        </w:p>
        <w:p w14:paraId="4590B402" w14:textId="77777777" w:rsidR="00291267" w:rsidRDefault="00291267">
          <w:pPr>
            <w:pStyle w:val="TM1"/>
            <w:tabs>
              <w:tab w:val="right" w:leader="dot" w:pos="8630"/>
            </w:tabs>
            <w:rPr>
              <w:b w:val="0"/>
              <w:noProof/>
              <w:sz w:val="22"/>
              <w:szCs w:val="22"/>
              <w:lang w:eastAsia="fr-CA"/>
            </w:rPr>
          </w:pPr>
          <w:hyperlink w:anchor="_Toc442961248" w:history="1">
            <w:r w:rsidRPr="009C269B">
              <w:rPr>
                <w:rStyle w:val="Lienhypertexte"/>
                <w:noProof/>
              </w:rPr>
              <w:t>Objectif de transparence et droit du public de savoir</w:t>
            </w:r>
            <w:r>
              <w:rPr>
                <w:noProof/>
                <w:webHidden/>
              </w:rPr>
              <w:tab/>
            </w:r>
            <w:r>
              <w:rPr>
                <w:noProof/>
                <w:webHidden/>
              </w:rPr>
              <w:fldChar w:fldCharType="begin"/>
            </w:r>
            <w:r>
              <w:rPr>
                <w:noProof/>
                <w:webHidden/>
              </w:rPr>
              <w:instrText xml:space="preserve"> PAGEREF _Toc442961248 \h </w:instrText>
            </w:r>
            <w:r>
              <w:rPr>
                <w:noProof/>
                <w:webHidden/>
              </w:rPr>
            </w:r>
            <w:r>
              <w:rPr>
                <w:noProof/>
                <w:webHidden/>
              </w:rPr>
              <w:fldChar w:fldCharType="separate"/>
            </w:r>
            <w:r w:rsidR="00410C02">
              <w:rPr>
                <w:noProof/>
                <w:webHidden/>
              </w:rPr>
              <w:t>5</w:t>
            </w:r>
            <w:r>
              <w:rPr>
                <w:noProof/>
                <w:webHidden/>
              </w:rPr>
              <w:fldChar w:fldCharType="end"/>
            </w:r>
          </w:hyperlink>
        </w:p>
        <w:p w14:paraId="5B56937B" w14:textId="77777777" w:rsidR="00291267" w:rsidRDefault="00291267">
          <w:pPr>
            <w:pStyle w:val="TM2"/>
            <w:tabs>
              <w:tab w:val="right" w:leader="dot" w:pos="8630"/>
            </w:tabs>
            <w:rPr>
              <w:b w:val="0"/>
              <w:noProof/>
              <w:lang w:eastAsia="fr-CA"/>
            </w:rPr>
          </w:pPr>
          <w:hyperlink w:anchor="_Toc442961249" w:history="1">
            <w:r w:rsidRPr="009C269B">
              <w:rPr>
                <w:rStyle w:val="Lienhypertexte"/>
                <w:noProof/>
              </w:rPr>
              <w:t>Caractère public de nos actions</w:t>
            </w:r>
            <w:r>
              <w:rPr>
                <w:noProof/>
                <w:webHidden/>
              </w:rPr>
              <w:tab/>
            </w:r>
            <w:r>
              <w:rPr>
                <w:noProof/>
                <w:webHidden/>
              </w:rPr>
              <w:fldChar w:fldCharType="begin"/>
            </w:r>
            <w:r>
              <w:rPr>
                <w:noProof/>
                <w:webHidden/>
              </w:rPr>
              <w:instrText xml:space="preserve"> PAGEREF _Toc442961249 \h </w:instrText>
            </w:r>
            <w:r>
              <w:rPr>
                <w:noProof/>
                <w:webHidden/>
              </w:rPr>
            </w:r>
            <w:r>
              <w:rPr>
                <w:noProof/>
                <w:webHidden/>
              </w:rPr>
              <w:fldChar w:fldCharType="separate"/>
            </w:r>
            <w:r w:rsidR="00410C02">
              <w:rPr>
                <w:noProof/>
                <w:webHidden/>
              </w:rPr>
              <w:t>5</w:t>
            </w:r>
            <w:r>
              <w:rPr>
                <w:noProof/>
                <w:webHidden/>
              </w:rPr>
              <w:fldChar w:fldCharType="end"/>
            </w:r>
          </w:hyperlink>
        </w:p>
        <w:p w14:paraId="2364BEF6" w14:textId="77777777" w:rsidR="00291267" w:rsidRDefault="00291267">
          <w:pPr>
            <w:pStyle w:val="TM2"/>
            <w:tabs>
              <w:tab w:val="right" w:leader="dot" w:pos="8630"/>
            </w:tabs>
            <w:rPr>
              <w:b w:val="0"/>
              <w:noProof/>
              <w:lang w:eastAsia="fr-CA"/>
            </w:rPr>
          </w:pPr>
          <w:hyperlink w:anchor="_Toc442961250" w:history="1">
            <w:r w:rsidRPr="009C269B">
              <w:rPr>
                <w:rStyle w:val="Lienhypertexte"/>
                <w:noProof/>
              </w:rPr>
              <w:t>Besoin non démontré et possibles effets néfastes</w:t>
            </w:r>
            <w:r>
              <w:rPr>
                <w:noProof/>
                <w:webHidden/>
              </w:rPr>
              <w:tab/>
            </w:r>
            <w:r>
              <w:rPr>
                <w:noProof/>
                <w:webHidden/>
              </w:rPr>
              <w:fldChar w:fldCharType="begin"/>
            </w:r>
            <w:r>
              <w:rPr>
                <w:noProof/>
                <w:webHidden/>
              </w:rPr>
              <w:instrText xml:space="preserve"> PAGEREF _Toc442961250 \h </w:instrText>
            </w:r>
            <w:r>
              <w:rPr>
                <w:noProof/>
                <w:webHidden/>
              </w:rPr>
            </w:r>
            <w:r>
              <w:rPr>
                <w:noProof/>
                <w:webHidden/>
              </w:rPr>
              <w:fldChar w:fldCharType="separate"/>
            </w:r>
            <w:r w:rsidR="00410C02">
              <w:rPr>
                <w:noProof/>
                <w:webHidden/>
              </w:rPr>
              <w:t>6</w:t>
            </w:r>
            <w:r>
              <w:rPr>
                <w:noProof/>
                <w:webHidden/>
              </w:rPr>
              <w:fldChar w:fldCharType="end"/>
            </w:r>
          </w:hyperlink>
        </w:p>
        <w:p w14:paraId="6AFE9EB5" w14:textId="77777777" w:rsidR="00291267" w:rsidRDefault="00291267">
          <w:pPr>
            <w:pStyle w:val="TM2"/>
            <w:tabs>
              <w:tab w:val="right" w:leader="dot" w:pos="8630"/>
            </w:tabs>
            <w:rPr>
              <w:b w:val="0"/>
              <w:noProof/>
              <w:lang w:eastAsia="fr-CA"/>
            </w:rPr>
          </w:pPr>
          <w:hyperlink w:anchor="_Toc442961251" w:history="1">
            <w:r w:rsidRPr="009C269B">
              <w:rPr>
                <w:rStyle w:val="Lienhypertexte"/>
                <w:noProof/>
              </w:rPr>
              <w:t>Questionnement au sujet de certaines exclusions</w:t>
            </w:r>
            <w:r>
              <w:rPr>
                <w:noProof/>
                <w:webHidden/>
              </w:rPr>
              <w:tab/>
            </w:r>
            <w:r>
              <w:rPr>
                <w:noProof/>
                <w:webHidden/>
              </w:rPr>
              <w:fldChar w:fldCharType="begin"/>
            </w:r>
            <w:r>
              <w:rPr>
                <w:noProof/>
                <w:webHidden/>
              </w:rPr>
              <w:instrText xml:space="preserve"> PAGEREF _Toc442961251 \h </w:instrText>
            </w:r>
            <w:r>
              <w:rPr>
                <w:noProof/>
                <w:webHidden/>
              </w:rPr>
            </w:r>
            <w:r>
              <w:rPr>
                <w:noProof/>
                <w:webHidden/>
              </w:rPr>
              <w:fldChar w:fldCharType="separate"/>
            </w:r>
            <w:r w:rsidR="00410C02">
              <w:rPr>
                <w:noProof/>
                <w:webHidden/>
              </w:rPr>
              <w:t>6</w:t>
            </w:r>
            <w:r>
              <w:rPr>
                <w:noProof/>
                <w:webHidden/>
              </w:rPr>
              <w:fldChar w:fldCharType="end"/>
            </w:r>
          </w:hyperlink>
        </w:p>
        <w:p w14:paraId="451B8090" w14:textId="77777777" w:rsidR="00291267" w:rsidRDefault="00291267">
          <w:pPr>
            <w:pStyle w:val="TM1"/>
            <w:tabs>
              <w:tab w:val="right" w:leader="dot" w:pos="8630"/>
            </w:tabs>
            <w:rPr>
              <w:b w:val="0"/>
              <w:noProof/>
              <w:sz w:val="22"/>
              <w:szCs w:val="22"/>
              <w:lang w:eastAsia="fr-CA"/>
            </w:rPr>
          </w:pPr>
          <w:hyperlink w:anchor="_Toc442961252" w:history="1">
            <w:r w:rsidRPr="009C269B">
              <w:rPr>
                <w:rStyle w:val="Lienhypertexte"/>
                <w:noProof/>
              </w:rPr>
              <w:t>Conclusion</w:t>
            </w:r>
            <w:r>
              <w:rPr>
                <w:noProof/>
                <w:webHidden/>
              </w:rPr>
              <w:tab/>
            </w:r>
            <w:r>
              <w:rPr>
                <w:noProof/>
                <w:webHidden/>
              </w:rPr>
              <w:fldChar w:fldCharType="begin"/>
            </w:r>
            <w:r>
              <w:rPr>
                <w:noProof/>
                <w:webHidden/>
              </w:rPr>
              <w:instrText xml:space="preserve"> PAGEREF _Toc442961252 \h </w:instrText>
            </w:r>
            <w:r>
              <w:rPr>
                <w:noProof/>
                <w:webHidden/>
              </w:rPr>
            </w:r>
            <w:r>
              <w:rPr>
                <w:noProof/>
                <w:webHidden/>
              </w:rPr>
              <w:fldChar w:fldCharType="separate"/>
            </w:r>
            <w:r w:rsidR="00410C02">
              <w:rPr>
                <w:noProof/>
                <w:webHidden/>
              </w:rPr>
              <w:t>7</w:t>
            </w:r>
            <w:r>
              <w:rPr>
                <w:noProof/>
                <w:webHidden/>
              </w:rPr>
              <w:fldChar w:fldCharType="end"/>
            </w:r>
          </w:hyperlink>
        </w:p>
        <w:p w14:paraId="7BF0B103" w14:textId="77777777" w:rsidR="00E43F59" w:rsidRDefault="00E43F59">
          <w:r w:rsidRPr="00E43F59">
            <w:rPr>
              <w:rFonts w:ascii="Arial" w:hAnsi="Arial" w:cs="Arial"/>
              <w:b/>
              <w:bCs/>
              <w:noProof/>
              <w:color w:val="000000" w:themeColor="text1"/>
            </w:rPr>
            <w:fldChar w:fldCharType="end"/>
          </w:r>
        </w:p>
      </w:sdtContent>
    </w:sdt>
    <w:p w14:paraId="5BC3C922" w14:textId="77777777" w:rsidR="009A3134" w:rsidRPr="009A3134" w:rsidRDefault="009A3134" w:rsidP="009A3134">
      <w:pPr>
        <w:pStyle w:val="En-ttedetabledesmatires"/>
      </w:pPr>
    </w:p>
    <w:p w14:paraId="0107FFBD" w14:textId="77777777" w:rsidR="00E43F59" w:rsidRDefault="00E43F59">
      <w:pPr>
        <w:sectPr w:rsidR="00E43F59" w:rsidSect="005F6AB7">
          <w:headerReference w:type="default" r:id="rId18"/>
          <w:footerReference w:type="default" r:id="rId19"/>
          <w:pgSz w:w="12240" w:h="15840"/>
          <w:pgMar w:top="1440" w:right="1800" w:bottom="1440" w:left="1800" w:header="708" w:footer="708" w:gutter="0"/>
          <w:cols w:space="708"/>
          <w:docGrid w:linePitch="360"/>
        </w:sectPr>
      </w:pPr>
    </w:p>
    <w:p w14:paraId="2AEA95BB" w14:textId="77777777" w:rsidR="00E43F59" w:rsidRDefault="00E43F59">
      <w:pPr>
        <w:rPr>
          <w:rFonts w:ascii="Arial" w:eastAsiaTheme="majorEastAsia" w:hAnsi="Arial" w:cstheme="majorBidi"/>
          <w:b/>
          <w:bCs/>
          <w:szCs w:val="28"/>
        </w:rPr>
      </w:pPr>
      <w:r>
        <w:lastRenderedPageBreak/>
        <w:br w:type="page"/>
      </w:r>
    </w:p>
    <w:p w14:paraId="047EF6E3" w14:textId="77777777" w:rsidR="00E43F59" w:rsidRDefault="00E43F59" w:rsidP="009A3134">
      <w:pPr>
        <w:pStyle w:val="Titre1"/>
        <w:sectPr w:rsidR="00E43F59" w:rsidSect="00E43F59">
          <w:headerReference w:type="default" r:id="rId20"/>
          <w:footerReference w:type="default" r:id="rId21"/>
          <w:type w:val="continuous"/>
          <w:pgSz w:w="12240" w:h="15840"/>
          <w:pgMar w:top="1440" w:right="1800" w:bottom="1440" w:left="1800" w:header="708" w:footer="708" w:gutter="0"/>
          <w:pgNumType w:start="1"/>
          <w:cols w:space="708"/>
          <w:docGrid w:linePitch="360"/>
        </w:sectPr>
      </w:pPr>
    </w:p>
    <w:p w14:paraId="15D21A2D" w14:textId="77777777" w:rsidR="00F67061" w:rsidRPr="00144C00" w:rsidRDefault="00F67061" w:rsidP="009A3134">
      <w:pPr>
        <w:pStyle w:val="Titre1"/>
      </w:pPr>
      <w:bookmarkStart w:id="9" w:name="_Toc442961238"/>
      <w:r w:rsidRPr="00144C00">
        <w:lastRenderedPageBreak/>
        <w:t>Présentation de l’organisme</w:t>
      </w:r>
      <w:bookmarkEnd w:id="6"/>
      <w:bookmarkEnd w:id="5"/>
      <w:bookmarkEnd w:id="4"/>
      <w:bookmarkEnd w:id="9"/>
      <w:r w:rsidRPr="00144C00">
        <w:t xml:space="preserve">  </w:t>
      </w:r>
      <w:bookmarkEnd w:id="7"/>
    </w:p>
    <w:p w14:paraId="3842F8EB" w14:textId="77777777" w:rsidR="00F67061" w:rsidRPr="00144C00" w:rsidRDefault="00F67061" w:rsidP="00235C50">
      <w:pPr>
        <w:spacing w:line="276" w:lineRule="auto"/>
        <w:rPr>
          <w:rFonts w:ascii="Arial" w:hAnsi="Arial" w:cs="Arial"/>
        </w:rPr>
      </w:pPr>
      <w:r w:rsidRPr="00144C00">
        <w:rPr>
          <w:rFonts w:ascii="Arial" w:hAnsi="Arial" w:cs="Arial"/>
        </w:rPr>
        <w:t xml:space="preserve">La </w:t>
      </w:r>
      <w:hyperlink r:id="rId22" w:history="1">
        <w:r w:rsidRPr="00144C00">
          <w:rPr>
            <w:rStyle w:val="Lienhypertexte"/>
            <w:rFonts w:ascii="Arial" w:hAnsi="Arial" w:cs="Arial"/>
          </w:rPr>
          <w:t>Confédération des organismes de personnes handicapées du Québec (COPHAN)</w:t>
        </w:r>
      </w:hyperlink>
      <w:r w:rsidRPr="00144C00">
        <w:rPr>
          <w:rFonts w:ascii="Arial" w:hAnsi="Arial" w:cs="Arial"/>
        </w:rPr>
        <w:t>, organisme d’action communautaire autonome de défense collective des droits incorporé en 1985, a pour mission de rendre le Québec inclusif afin d’assurer la participation sociale pleine et entière des personnes ayant des limitations fonctionnelles et de leur famille. Elle regroupe plus de 60 organismes et regroupements nationaux, régionaux et locaux de personnes ayant des limitations fonctionnelles de toutes les régions du Québec. Elle représente toutes les limitations fonctionnelles : motrices, organiques, neurologiques, intellectuelles, visuelles, auditives, troubles d’apprentissage, troubles du langage, troubles du spectre de l’autisme et problèmes de santé mentale.</w:t>
      </w:r>
    </w:p>
    <w:p w14:paraId="7C5412EA" w14:textId="77777777" w:rsidR="00B451F3" w:rsidRPr="00144C00" w:rsidRDefault="00235C50" w:rsidP="009A3134">
      <w:pPr>
        <w:pStyle w:val="Titre1"/>
      </w:pPr>
      <w:bookmarkStart w:id="10" w:name="_Toc316730936"/>
      <w:bookmarkStart w:id="11" w:name="_Toc316730973"/>
      <w:bookmarkStart w:id="12" w:name="_Toc442961239"/>
      <w:r w:rsidRPr="00144C00">
        <w:t>Bref p</w:t>
      </w:r>
      <w:r w:rsidR="006E60C2" w:rsidRPr="00144C00">
        <w:t>ortrait</w:t>
      </w:r>
      <w:r w:rsidRPr="00144C00">
        <w:t xml:space="preserve"> des OSBL au Québec</w:t>
      </w:r>
      <w:bookmarkEnd w:id="10"/>
      <w:bookmarkEnd w:id="11"/>
      <w:bookmarkEnd w:id="12"/>
    </w:p>
    <w:p w14:paraId="4066A4BA" w14:textId="70627B76" w:rsidR="00B451F3" w:rsidRPr="00144C00" w:rsidRDefault="00235C50" w:rsidP="00235C50">
      <w:pPr>
        <w:spacing w:line="276" w:lineRule="auto"/>
        <w:rPr>
          <w:rFonts w:ascii="Arial" w:hAnsi="Arial" w:cs="Arial"/>
        </w:rPr>
      </w:pPr>
      <w:r w:rsidRPr="00144C00">
        <w:rPr>
          <w:rFonts w:ascii="Arial" w:hAnsi="Arial" w:cs="Arial"/>
        </w:rPr>
        <w:t>Le Québec compte plus de 60</w:t>
      </w:r>
      <w:r w:rsidR="0065675A">
        <w:rPr>
          <w:rFonts w:ascii="Arial" w:hAnsi="Arial" w:cs="Arial"/>
        </w:rPr>
        <w:t> </w:t>
      </w:r>
      <w:r w:rsidRPr="00144C00">
        <w:rPr>
          <w:rFonts w:ascii="Arial" w:hAnsi="Arial" w:cs="Arial"/>
        </w:rPr>
        <w:t>000 organismes sans but lucratif (OSBL). Ce véhicule juridique</w:t>
      </w:r>
      <w:r w:rsidR="00B451F3" w:rsidRPr="00144C00">
        <w:rPr>
          <w:rFonts w:ascii="Arial" w:hAnsi="Arial" w:cs="Arial"/>
        </w:rPr>
        <w:t xml:space="preserve"> </w:t>
      </w:r>
      <w:r w:rsidRPr="00144C00">
        <w:rPr>
          <w:rFonts w:ascii="Arial" w:hAnsi="Arial" w:cs="Arial"/>
        </w:rPr>
        <w:t>désigne</w:t>
      </w:r>
      <w:r w:rsidR="00B451F3" w:rsidRPr="00144C00">
        <w:rPr>
          <w:rFonts w:ascii="Arial" w:hAnsi="Arial" w:cs="Arial"/>
        </w:rPr>
        <w:t xml:space="preserve"> des organisations diversifiées, mais qui partage</w:t>
      </w:r>
      <w:r w:rsidRPr="00144C00">
        <w:rPr>
          <w:rFonts w:ascii="Arial" w:hAnsi="Arial" w:cs="Arial"/>
        </w:rPr>
        <w:t>nt</w:t>
      </w:r>
      <w:r w:rsidR="00B451F3" w:rsidRPr="00144C00">
        <w:rPr>
          <w:rFonts w:ascii="Arial" w:hAnsi="Arial" w:cs="Arial"/>
        </w:rPr>
        <w:t xml:space="preserve"> un même statut (formel ou non) </w:t>
      </w:r>
      <w:r w:rsidRPr="00144C00">
        <w:rPr>
          <w:rFonts w:ascii="Arial" w:hAnsi="Arial" w:cs="Arial"/>
        </w:rPr>
        <w:t>: ne pas avoir de but lucratif.</w:t>
      </w:r>
    </w:p>
    <w:p w14:paraId="3CCA4804" w14:textId="77777777" w:rsidR="00B451F3" w:rsidRPr="00144C00" w:rsidRDefault="00B451F3" w:rsidP="00235C50">
      <w:pPr>
        <w:spacing w:line="276" w:lineRule="auto"/>
        <w:rPr>
          <w:rFonts w:ascii="Arial" w:hAnsi="Arial" w:cs="Arial"/>
        </w:rPr>
      </w:pPr>
    </w:p>
    <w:p w14:paraId="37399021" w14:textId="427A1E6B" w:rsidR="00B451F3" w:rsidRPr="00144C00" w:rsidRDefault="00235C50" w:rsidP="00235C50">
      <w:pPr>
        <w:spacing w:line="276" w:lineRule="auto"/>
        <w:rPr>
          <w:rFonts w:ascii="Arial" w:hAnsi="Arial" w:cs="Arial"/>
        </w:rPr>
      </w:pPr>
      <w:r w:rsidRPr="00144C00">
        <w:rPr>
          <w:rFonts w:ascii="Arial" w:hAnsi="Arial" w:cs="Arial"/>
        </w:rPr>
        <w:t>Ces organismes</w:t>
      </w:r>
      <w:r w:rsidR="00B451F3" w:rsidRPr="00144C00">
        <w:rPr>
          <w:rFonts w:ascii="Arial" w:hAnsi="Arial" w:cs="Arial"/>
        </w:rPr>
        <w:t xml:space="preserve"> peuvent être de rayonnement local, régional, national ou international; réunir des organismes ou des individus</w:t>
      </w:r>
      <w:r w:rsidR="00E90FD0">
        <w:rPr>
          <w:rFonts w:ascii="Arial" w:hAnsi="Arial" w:cs="Arial"/>
        </w:rPr>
        <w:t>,</w:t>
      </w:r>
      <w:r w:rsidR="00B451F3" w:rsidRPr="00144C00">
        <w:rPr>
          <w:rFonts w:ascii="Arial" w:hAnsi="Arial" w:cs="Arial"/>
        </w:rPr>
        <w:t xml:space="preserve"> ou les deux. Ils peuvent prendre différents noms : groupe, club, association, regroupement, coalition, fédération, rassemblement, comité, etc. Ils sont constitués formellement ou non, sont temporaires ou non. Ils peuvent se définir selon diverses appartenances, notamment en fonction de leurs pratiques, culture organisationnelle ou de leur histoire : mouvement d’action communautaire autonome, mouvements sociaux, groupes citoyens, etc. </w:t>
      </w:r>
    </w:p>
    <w:p w14:paraId="365B1130" w14:textId="77777777" w:rsidR="00B451F3" w:rsidRPr="00144C00" w:rsidRDefault="00B451F3" w:rsidP="00235C50">
      <w:pPr>
        <w:spacing w:line="276" w:lineRule="auto"/>
        <w:rPr>
          <w:rFonts w:ascii="Arial" w:hAnsi="Arial" w:cs="Arial"/>
        </w:rPr>
      </w:pPr>
    </w:p>
    <w:p w14:paraId="5EAF380D" w14:textId="61EDC8EF" w:rsidR="00B451F3" w:rsidRPr="00144C00" w:rsidRDefault="00B451F3" w:rsidP="00235C50">
      <w:pPr>
        <w:spacing w:line="276" w:lineRule="auto"/>
        <w:rPr>
          <w:rFonts w:ascii="Arial" w:hAnsi="Arial" w:cs="Arial"/>
        </w:rPr>
      </w:pPr>
      <w:r w:rsidRPr="00144C00">
        <w:rPr>
          <w:rFonts w:ascii="Arial" w:hAnsi="Arial" w:cs="Arial"/>
        </w:rPr>
        <w:t xml:space="preserve">Leurs domaines d’activités sont variés : </w:t>
      </w:r>
      <w:r w:rsidR="00235C50" w:rsidRPr="00144C00">
        <w:rPr>
          <w:rFonts w:ascii="Arial" w:hAnsi="Arial" w:cs="Arial"/>
        </w:rPr>
        <w:t xml:space="preserve">défense collective de droits, </w:t>
      </w:r>
      <w:r w:rsidRPr="00144C00">
        <w:rPr>
          <w:rFonts w:ascii="Arial" w:hAnsi="Arial" w:cs="Arial"/>
        </w:rPr>
        <w:t xml:space="preserve">groupes d’entraide, maisons de jeunes, groupes de bénévoles, ressources pour les familles, centres communautaires, associations du domaine des sports, des arts, de la science et des loisirs, sensibilisation à divers </w:t>
      </w:r>
      <w:r w:rsidR="00235C50" w:rsidRPr="00144C00">
        <w:rPr>
          <w:rFonts w:ascii="Arial" w:hAnsi="Arial" w:cs="Arial"/>
        </w:rPr>
        <w:t xml:space="preserve">enjeux sociaux, </w:t>
      </w:r>
      <w:r w:rsidRPr="00144C00">
        <w:rPr>
          <w:rFonts w:ascii="Arial" w:hAnsi="Arial" w:cs="Arial"/>
        </w:rPr>
        <w:t>pr</w:t>
      </w:r>
      <w:r w:rsidR="00235C50" w:rsidRPr="00144C00">
        <w:rPr>
          <w:rFonts w:ascii="Arial" w:hAnsi="Arial" w:cs="Arial"/>
        </w:rPr>
        <w:t xml:space="preserve">otection de l’environnement, </w:t>
      </w:r>
      <w:r w:rsidRPr="00144C00">
        <w:rPr>
          <w:rFonts w:ascii="Arial" w:hAnsi="Arial" w:cs="Arial"/>
        </w:rPr>
        <w:t>dé</w:t>
      </w:r>
      <w:r w:rsidR="00235C50" w:rsidRPr="00144C00">
        <w:rPr>
          <w:rFonts w:ascii="Arial" w:hAnsi="Arial" w:cs="Arial"/>
        </w:rPr>
        <w:t>fense des services publics, pour n’en nommer que quelques-uns.</w:t>
      </w:r>
    </w:p>
    <w:p w14:paraId="03062DDB" w14:textId="77777777" w:rsidR="00E43F59" w:rsidRDefault="00E43F59">
      <w:pPr>
        <w:rPr>
          <w:rFonts w:ascii="Arial" w:eastAsiaTheme="majorEastAsia" w:hAnsi="Arial" w:cstheme="majorBidi"/>
          <w:b/>
          <w:bCs/>
          <w:szCs w:val="28"/>
        </w:rPr>
      </w:pPr>
      <w:r>
        <w:br w:type="page"/>
      </w:r>
    </w:p>
    <w:p w14:paraId="1F19E9F3" w14:textId="329A487B" w:rsidR="00235C50" w:rsidRPr="00144C00" w:rsidRDefault="00235C50" w:rsidP="009A3134">
      <w:pPr>
        <w:pStyle w:val="Titre1"/>
      </w:pPr>
      <w:bookmarkStart w:id="13" w:name="_Toc442961240"/>
      <w:r w:rsidRPr="00144C00">
        <w:lastRenderedPageBreak/>
        <w:t>Coup d’</w:t>
      </w:r>
      <w:r w:rsidR="00E75783" w:rsidRPr="00144C00">
        <w:t>œil</w:t>
      </w:r>
      <w:r w:rsidRPr="00144C00">
        <w:t xml:space="preserve"> sur le PL56</w:t>
      </w:r>
      <w:bookmarkEnd w:id="13"/>
    </w:p>
    <w:p w14:paraId="4030DC62" w14:textId="77777777" w:rsidR="006F61B3" w:rsidRPr="00E43F59" w:rsidRDefault="00144C00" w:rsidP="00235C50">
      <w:pPr>
        <w:spacing w:line="276" w:lineRule="auto"/>
        <w:rPr>
          <w:rFonts w:ascii="Arial" w:eastAsiaTheme="majorEastAsia" w:hAnsi="Arial" w:cs="Arial"/>
          <w:bCs/>
          <w:color w:val="000000" w:themeColor="text1"/>
          <w:szCs w:val="26"/>
        </w:rPr>
      </w:pPr>
      <w:r w:rsidRPr="00144C00">
        <w:rPr>
          <w:rFonts w:ascii="Arial" w:eastAsiaTheme="majorEastAsia" w:hAnsi="Arial" w:cs="Arial"/>
          <w:bCs/>
          <w:color w:val="000000" w:themeColor="text1"/>
          <w:szCs w:val="26"/>
        </w:rPr>
        <w:t xml:space="preserve">À l’instar </w:t>
      </w:r>
      <w:r>
        <w:rPr>
          <w:rFonts w:ascii="Arial" w:eastAsiaTheme="majorEastAsia" w:hAnsi="Arial" w:cs="Arial"/>
          <w:bCs/>
          <w:color w:val="000000" w:themeColor="text1"/>
          <w:szCs w:val="26"/>
        </w:rPr>
        <w:t xml:space="preserve">de nombreux OSBL québécois, la COPHAN se positionne contre l’assujettissement de l’ensemble des OSBL à la Loi sur le </w:t>
      </w:r>
      <w:proofErr w:type="spellStart"/>
      <w:r>
        <w:rPr>
          <w:rFonts w:ascii="Arial" w:eastAsiaTheme="majorEastAsia" w:hAnsi="Arial" w:cs="Arial"/>
          <w:bCs/>
          <w:color w:val="000000" w:themeColor="text1"/>
          <w:szCs w:val="26"/>
        </w:rPr>
        <w:t>lobbyisme</w:t>
      </w:r>
      <w:proofErr w:type="spellEnd"/>
      <w:r>
        <w:rPr>
          <w:rFonts w:ascii="Arial" w:eastAsiaTheme="majorEastAsia" w:hAnsi="Arial" w:cs="Arial"/>
          <w:bCs/>
          <w:color w:val="000000" w:themeColor="text1"/>
          <w:szCs w:val="26"/>
        </w:rPr>
        <w:t xml:space="preserve"> et demande le rejet immédiat du PL56. </w:t>
      </w:r>
      <w:r w:rsidR="000B2BC0">
        <w:rPr>
          <w:rFonts w:ascii="Arial" w:eastAsiaTheme="majorEastAsia" w:hAnsi="Arial" w:cs="Arial"/>
          <w:bCs/>
          <w:color w:val="000000" w:themeColor="text1"/>
          <w:szCs w:val="26"/>
        </w:rPr>
        <w:t>En plus de représenter une entrave substantielle à l’exercice des libertés d’association et d’expression, c</w:t>
      </w:r>
      <w:r>
        <w:rPr>
          <w:rFonts w:ascii="Arial" w:eastAsiaTheme="majorEastAsia" w:hAnsi="Arial" w:cs="Arial"/>
          <w:bCs/>
          <w:color w:val="000000" w:themeColor="text1"/>
          <w:szCs w:val="26"/>
        </w:rPr>
        <w:t xml:space="preserve">e projet de loi démontre une grave méconnaissance de la nature, de la raison d’être et des modes de fonctionnement des organismes communautaires, et plus encore des organismes d’action communautaire autonome. </w:t>
      </w:r>
      <w:r w:rsidR="009A3134">
        <w:rPr>
          <w:rFonts w:ascii="Arial" w:eastAsiaTheme="majorEastAsia" w:hAnsi="Arial" w:cs="Arial"/>
          <w:bCs/>
          <w:color w:val="000000" w:themeColor="text1"/>
          <w:szCs w:val="26"/>
        </w:rPr>
        <w:t xml:space="preserve">L’assujettissement de tous les OSBL à la Loi sur le </w:t>
      </w:r>
      <w:proofErr w:type="spellStart"/>
      <w:r w:rsidR="009A3134">
        <w:rPr>
          <w:rFonts w:ascii="Arial" w:eastAsiaTheme="majorEastAsia" w:hAnsi="Arial" w:cs="Arial"/>
          <w:bCs/>
          <w:color w:val="000000" w:themeColor="text1"/>
          <w:szCs w:val="26"/>
        </w:rPr>
        <w:t>lobbyisme</w:t>
      </w:r>
      <w:proofErr w:type="spellEnd"/>
      <w:r w:rsidR="009A3134">
        <w:rPr>
          <w:rFonts w:ascii="Arial" w:eastAsiaTheme="majorEastAsia" w:hAnsi="Arial" w:cs="Arial"/>
          <w:bCs/>
          <w:color w:val="000000" w:themeColor="text1"/>
          <w:szCs w:val="26"/>
        </w:rPr>
        <w:t xml:space="preserve"> </w:t>
      </w:r>
      <w:r w:rsidR="000B2BC0">
        <w:rPr>
          <w:rFonts w:ascii="Arial" w:eastAsiaTheme="majorEastAsia" w:hAnsi="Arial" w:cs="Arial"/>
          <w:bCs/>
          <w:color w:val="000000" w:themeColor="text1"/>
          <w:szCs w:val="26"/>
        </w:rPr>
        <w:t>mettrait en péril</w:t>
      </w:r>
      <w:r w:rsidR="009A3134">
        <w:rPr>
          <w:rFonts w:ascii="Arial" w:eastAsiaTheme="majorEastAsia" w:hAnsi="Arial" w:cs="Arial"/>
          <w:bCs/>
          <w:color w:val="000000" w:themeColor="text1"/>
          <w:szCs w:val="26"/>
        </w:rPr>
        <w:t xml:space="preserve"> la réalisation de leurs missions et n’est absolument pas nécessaire à l’objectif de transparence visé par la loi. </w:t>
      </w:r>
    </w:p>
    <w:p w14:paraId="2D83628F" w14:textId="77777777" w:rsidR="00304DFF" w:rsidRDefault="00304DFF" w:rsidP="00304DFF">
      <w:pPr>
        <w:pStyle w:val="Titre1"/>
      </w:pPr>
      <w:bookmarkStart w:id="14" w:name="_Toc442961241"/>
      <w:r>
        <w:t>Les OSBL ne sont</w:t>
      </w:r>
      <w:r w:rsidR="00886FDF" w:rsidRPr="009A3134">
        <w:t xml:space="preserve"> pas des lobby</w:t>
      </w:r>
      <w:r w:rsidR="000B2BC0">
        <w:t>s</w:t>
      </w:r>
      <w:bookmarkEnd w:id="14"/>
    </w:p>
    <w:p w14:paraId="2468E251" w14:textId="77777777" w:rsidR="00304DFF" w:rsidRPr="00304DFF" w:rsidRDefault="00304DFF" w:rsidP="00304DFF">
      <w:pPr>
        <w:pStyle w:val="Titre2"/>
      </w:pPr>
      <w:bookmarkStart w:id="15" w:name="_Toc442961242"/>
      <w:r>
        <w:t>Raison d’être de la Loi</w:t>
      </w:r>
      <w:bookmarkEnd w:id="15"/>
    </w:p>
    <w:p w14:paraId="66BEF326" w14:textId="0D274FFD" w:rsidR="000B2BC0" w:rsidRDefault="00E43F59" w:rsidP="000B2BC0">
      <w:pPr>
        <w:spacing w:line="276" w:lineRule="auto"/>
        <w:rPr>
          <w:rFonts w:ascii="Arial" w:hAnsi="Arial" w:cs="Arial"/>
        </w:rPr>
      </w:pPr>
      <w:r w:rsidRPr="00E43F59">
        <w:rPr>
          <w:rFonts w:ascii="Arial" w:eastAsiaTheme="majorEastAsia" w:hAnsi="Arial" w:cs="Arial"/>
          <w:bCs/>
          <w:color w:val="000000" w:themeColor="text1"/>
          <w:szCs w:val="26"/>
        </w:rPr>
        <w:t xml:space="preserve">Bien que le PL56 ait vocation à remplacer complètement la Loi sur la transparence et l’éthique en matière de </w:t>
      </w:r>
      <w:proofErr w:type="spellStart"/>
      <w:r w:rsidRPr="00E43F59">
        <w:rPr>
          <w:rFonts w:ascii="Arial" w:eastAsiaTheme="majorEastAsia" w:hAnsi="Arial" w:cs="Arial"/>
          <w:bCs/>
          <w:color w:val="000000" w:themeColor="text1"/>
          <w:szCs w:val="26"/>
        </w:rPr>
        <w:t>lobbyisme</w:t>
      </w:r>
      <w:proofErr w:type="spellEnd"/>
      <w:r w:rsidR="00E75783">
        <w:rPr>
          <w:rStyle w:val="Appelnotedebasdep"/>
          <w:rFonts w:ascii="Arial" w:eastAsiaTheme="majorEastAsia" w:hAnsi="Arial"/>
          <w:bCs/>
          <w:color w:val="000000" w:themeColor="text1"/>
          <w:szCs w:val="26"/>
        </w:rPr>
        <w:footnoteReference w:id="1"/>
      </w:r>
      <w:r w:rsidRPr="00E43F59">
        <w:rPr>
          <w:rFonts w:ascii="Arial" w:eastAsiaTheme="majorEastAsia" w:hAnsi="Arial" w:cs="Arial"/>
          <w:bCs/>
          <w:color w:val="000000" w:themeColor="text1"/>
          <w:szCs w:val="26"/>
        </w:rPr>
        <w:t>, nous considérons qu’i</w:t>
      </w:r>
      <w:r w:rsidR="00E75783">
        <w:rPr>
          <w:rFonts w:ascii="Arial" w:eastAsiaTheme="majorEastAsia" w:hAnsi="Arial" w:cs="Arial"/>
          <w:bCs/>
          <w:color w:val="000000" w:themeColor="text1"/>
          <w:szCs w:val="26"/>
        </w:rPr>
        <w:t>l est important de se rappeler l</w:t>
      </w:r>
      <w:r w:rsidRPr="00E43F59">
        <w:rPr>
          <w:rFonts w:ascii="Arial" w:eastAsiaTheme="majorEastAsia" w:hAnsi="Arial" w:cs="Arial"/>
          <w:bCs/>
          <w:color w:val="000000" w:themeColor="text1"/>
          <w:szCs w:val="26"/>
        </w:rPr>
        <w:t xml:space="preserve">es raisons pour lesquelles cette loi a été adoptée en premier lieu. Cette loi faisait suite à de nombreux scandales </w:t>
      </w:r>
      <w:r w:rsidR="0065675A">
        <w:rPr>
          <w:rFonts w:ascii="Arial" w:eastAsiaTheme="majorEastAsia" w:hAnsi="Arial" w:cs="Arial"/>
          <w:bCs/>
          <w:color w:val="000000" w:themeColor="text1"/>
          <w:szCs w:val="26"/>
        </w:rPr>
        <w:t>concernant</w:t>
      </w:r>
      <w:r w:rsidRPr="00E43F59">
        <w:rPr>
          <w:rFonts w:ascii="Arial" w:eastAsiaTheme="majorEastAsia" w:hAnsi="Arial" w:cs="Arial"/>
          <w:bCs/>
          <w:color w:val="000000" w:themeColor="text1"/>
          <w:szCs w:val="26"/>
        </w:rPr>
        <w:t xml:space="preserve"> les contacts entre les titulaires de charges publiques et les représentants du secteur privé. À la base, la Loi sur la transparence et l’éthique en matière de </w:t>
      </w:r>
      <w:proofErr w:type="spellStart"/>
      <w:r w:rsidRPr="00E43F59">
        <w:rPr>
          <w:rFonts w:ascii="Arial" w:eastAsiaTheme="majorEastAsia" w:hAnsi="Arial" w:cs="Arial"/>
          <w:bCs/>
          <w:color w:val="000000" w:themeColor="text1"/>
          <w:szCs w:val="26"/>
        </w:rPr>
        <w:t>lobbyisme</w:t>
      </w:r>
      <w:proofErr w:type="spellEnd"/>
      <w:r w:rsidRPr="00E43F59">
        <w:rPr>
          <w:rFonts w:ascii="Arial" w:eastAsiaTheme="majorEastAsia" w:hAnsi="Arial" w:cs="Arial"/>
          <w:bCs/>
          <w:color w:val="000000" w:themeColor="text1"/>
          <w:szCs w:val="26"/>
        </w:rPr>
        <w:t xml:space="preserve"> avait pour but de régir les rapports entre le secteur public et le secteur privé. Or, les OSBL ne peuvent être considérés comme des entités privées au même titre que les entreprises, pour la simple et bonne raison qu’elles ne travaillent pas pour leurs intérêts particuliers ou pécuniaires, mais bien dans l’intérêt du public</w:t>
      </w:r>
      <w:r w:rsidR="000B2BC0">
        <w:rPr>
          <w:rFonts w:ascii="Arial" w:hAnsi="Arial" w:cs="Arial"/>
        </w:rPr>
        <w:t xml:space="preserve">, dans une logique de transformation sociale. </w:t>
      </w:r>
    </w:p>
    <w:p w14:paraId="4682DBB6" w14:textId="77777777" w:rsidR="00E43F59" w:rsidRPr="00E43F59" w:rsidRDefault="00E43F59" w:rsidP="00E43F59">
      <w:pPr>
        <w:spacing w:line="276" w:lineRule="auto"/>
        <w:rPr>
          <w:rFonts w:ascii="Arial" w:eastAsiaTheme="majorEastAsia" w:hAnsi="Arial" w:cs="Arial"/>
          <w:bCs/>
          <w:color w:val="000000" w:themeColor="text1"/>
          <w:szCs w:val="26"/>
        </w:rPr>
      </w:pPr>
    </w:p>
    <w:p w14:paraId="2533A5F7" w14:textId="53F1E22E" w:rsidR="00E43F59" w:rsidRDefault="00E43F59" w:rsidP="00E43F59">
      <w:pPr>
        <w:spacing w:line="276" w:lineRule="auto"/>
        <w:rPr>
          <w:rFonts w:ascii="Arial" w:eastAsiaTheme="majorEastAsia" w:hAnsi="Arial" w:cs="Arial"/>
          <w:bCs/>
          <w:color w:val="000000" w:themeColor="text1"/>
          <w:szCs w:val="26"/>
        </w:rPr>
      </w:pPr>
      <w:r w:rsidRPr="00E43F59">
        <w:rPr>
          <w:rFonts w:ascii="Arial" w:eastAsiaTheme="majorEastAsia" w:hAnsi="Arial" w:cs="Arial"/>
          <w:bCs/>
          <w:color w:val="000000" w:themeColor="text1"/>
          <w:szCs w:val="26"/>
        </w:rPr>
        <w:t>L’assujettissement des OSBL à la Loi représente donc un changement de cap radical en ce qui a trait à la vision des OSBL par le gouvernement. Il dénature complètement les objectifs visés pa</w:t>
      </w:r>
      <w:r w:rsidR="0065675A">
        <w:rPr>
          <w:rFonts w:ascii="Arial" w:eastAsiaTheme="majorEastAsia" w:hAnsi="Arial" w:cs="Arial"/>
          <w:bCs/>
          <w:color w:val="000000" w:themeColor="text1"/>
          <w:szCs w:val="26"/>
        </w:rPr>
        <w:t>r</w:t>
      </w:r>
      <w:r w:rsidRPr="00E43F59">
        <w:rPr>
          <w:rFonts w:ascii="Arial" w:eastAsiaTheme="majorEastAsia" w:hAnsi="Arial" w:cs="Arial"/>
          <w:bCs/>
          <w:color w:val="000000" w:themeColor="text1"/>
          <w:szCs w:val="26"/>
        </w:rPr>
        <w:t xml:space="preserve"> la Loi lors de son adoption, comme en témoigne l’extrait suivant du </w:t>
      </w:r>
      <w:hyperlink r:id="rId23" w:history="1">
        <w:r w:rsidRPr="008F6D01">
          <w:rPr>
            <w:rStyle w:val="Lienhypertexte"/>
            <w:rFonts w:ascii="Arial" w:eastAsiaTheme="majorEastAsia" w:hAnsi="Arial" w:cs="Arial"/>
            <w:bCs/>
            <w:szCs w:val="26"/>
          </w:rPr>
          <w:t xml:space="preserve">Rapport sur la mise en œuvre de la Loi sur la transparence et l’éthique en matière de </w:t>
        </w:r>
        <w:proofErr w:type="spellStart"/>
        <w:r w:rsidRPr="008F6D01">
          <w:rPr>
            <w:rStyle w:val="Lienhypertexte"/>
            <w:rFonts w:ascii="Arial" w:eastAsiaTheme="majorEastAsia" w:hAnsi="Arial" w:cs="Arial"/>
            <w:bCs/>
            <w:szCs w:val="26"/>
          </w:rPr>
          <w:t>lobbyisme</w:t>
        </w:r>
        <w:proofErr w:type="spellEnd"/>
        <w:r w:rsidRPr="008F6D01">
          <w:rPr>
            <w:rStyle w:val="Lienhypertexte"/>
            <w:rFonts w:ascii="Arial" w:eastAsiaTheme="majorEastAsia" w:hAnsi="Arial" w:cs="Arial"/>
            <w:bCs/>
            <w:szCs w:val="26"/>
          </w:rPr>
          <w:t xml:space="preserve"> et du Code de déontologie des lobbyistes de 2007</w:t>
        </w:r>
      </w:hyperlink>
      <w:r w:rsidRPr="00E43F59">
        <w:rPr>
          <w:rFonts w:ascii="Arial" w:eastAsiaTheme="majorEastAsia" w:hAnsi="Arial" w:cs="Arial"/>
          <w:bCs/>
          <w:color w:val="000000" w:themeColor="text1"/>
          <w:szCs w:val="26"/>
        </w:rPr>
        <w:t xml:space="preserve"> : </w:t>
      </w:r>
    </w:p>
    <w:p w14:paraId="4972CE32" w14:textId="77777777" w:rsidR="00E43F59" w:rsidRPr="00E43F59" w:rsidRDefault="00E43F59" w:rsidP="00E43F59">
      <w:pPr>
        <w:spacing w:line="276" w:lineRule="auto"/>
        <w:rPr>
          <w:rFonts w:ascii="Arial" w:eastAsiaTheme="majorEastAsia" w:hAnsi="Arial" w:cs="Arial"/>
          <w:bCs/>
          <w:color w:val="000000" w:themeColor="text1"/>
          <w:szCs w:val="26"/>
        </w:rPr>
      </w:pPr>
    </w:p>
    <w:p w14:paraId="545D295B" w14:textId="77777777" w:rsidR="00E43F59" w:rsidRDefault="00E43F59" w:rsidP="00E43F59">
      <w:pPr>
        <w:autoSpaceDE w:val="0"/>
        <w:autoSpaceDN w:val="0"/>
        <w:adjustRightInd w:val="0"/>
        <w:spacing w:line="276" w:lineRule="auto"/>
        <w:ind w:left="567" w:right="567"/>
        <w:rPr>
          <w:rFonts w:ascii="Arial" w:eastAsiaTheme="majorEastAsia" w:hAnsi="Arial" w:cs="Arial"/>
          <w:bCs/>
          <w:color w:val="000000" w:themeColor="text1"/>
          <w:szCs w:val="26"/>
        </w:rPr>
      </w:pPr>
      <w:r w:rsidRPr="00E43F59">
        <w:rPr>
          <w:rFonts w:ascii="Arial" w:eastAsiaTheme="majorEastAsia" w:hAnsi="Arial" w:cs="Arial"/>
          <w:bCs/>
          <w:color w:val="000000" w:themeColor="text1"/>
          <w:szCs w:val="26"/>
        </w:rPr>
        <w:t xml:space="preserve">« Les organismes à but non lucratif que l’on veut viser sont ceux qui peuvent retirer un avantage pécuniaire des activités de </w:t>
      </w:r>
      <w:proofErr w:type="spellStart"/>
      <w:r w:rsidRPr="00E43F59">
        <w:rPr>
          <w:rFonts w:ascii="Arial" w:eastAsiaTheme="majorEastAsia" w:hAnsi="Arial" w:cs="Arial"/>
          <w:bCs/>
          <w:color w:val="000000" w:themeColor="text1"/>
          <w:szCs w:val="26"/>
        </w:rPr>
        <w:t>lobbyisme</w:t>
      </w:r>
      <w:proofErr w:type="spellEnd"/>
      <w:r w:rsidRPr="00E43F59">
        <w:rPr>
          <w:rFonts w:ascii="Arial" w:eastAsiaTheme="majorEastAsia" w:hAnsi="Arial" w:cs="Arial"/>
          <w:bCs/>
          <w:color w:val="000000" w:themeColor="text1"/>
          <w:szCs w:val="26"/>
        </w:rPr>
        <w:t xml:space="preserve">, pour eux-mêmes ou pour leurs membres, et dont les revenus ne sont pas essentiellement composés de subventions versées par le gouvernement, une municipalité ou un de leurs organismes. […]Le </w:t>
      </w:r>
      <w:r w:rsidRPr="00E43F59">
        <w:rPr>
          <w:rFonts w:ascii="Arial" w:eastAsiaTheme="majorEastAsia" w:hAnsi="Arial" w:cs="Arial"/>
          <w:bCs/>
          <w:color w:val="000000" w:themeColor="text1"/>
          <w:szCs w:val="26"/>
        </w:rPr>
        <w:lastRenderedPageBreak/>
        <w:t>législateur ne voulait pas viser les associations ou groupements qui s’occupent de promouvoir des causes d’intérêt commun susceptibles de profiter à la collectivité (en matière environnementale, par exemple) par opposition à ceux qui défendent l’intérêt économique de quelques perso</w:t>
      </w:r>
      <w:r>
        <w:rPr>
          <w:rFonts w:ascii="Arial" w:eastAsiaTheme="majorEastAsia" w:hAnsi="Arial" w:cs="Arial"/>
          <w:bCs/>
          <w:color w:val="000000" w:themeColor="text1"/>
          <w:szCs w:val="26"/>
        </w:rPr>
        <w:t>nnes ou groupes de personnes. »</w:t>
      </w:r>
      <w:r w:rsidRPr="00E43F59">
        <w:rPr>
          <w:rFonts w:ascii="Arial" w:eastAsiaTheme="majorEastAsia" w:hAnsi="Arial" w:cs="Arial"/>
          <w:color w:val="000000" w:themeColor="text1"/>
          <w:vertAlign w:val="superscript"/>
        </w:rPr>
        <w:footnoteReference w:id="2"/>
      </w:r>
    </w:p>
    <w:p w14:paraId="1508760E" w14:textId="77777777" w:rsidR="00E43F59" w:rsidRPr="00E43F59" w:rsidRDefault="00E43F59" w:rsidP="00E43F59">
      <w:pPr>
        <w:autoSpaceDE w:val="0"/>
        <w:autoSpaceDN w:val="0"/>
        <w:adjustRightInd w:val="0"/>
        <w:spacing w:line="276" w:lineRule="auto"/>
        <w:ind w:left="567" w:right="567"/>
        <w:rPr>
          <w:rFonts w:ascii="Arial" w:eastAsiaTheme="majorEastAsia" w:hAnsi="Arial" w:cs="Arial"/>
          <w:bCs/>
          <w:color w:val="000000" w:themeColor="text1"/>
          <w:szCs w:val="26"/>
        </w:rPr>
      </w:pPr>
    </w:p>
    <w:p w14:paraId="00A5C371" w14:textId="08D20567" w:rsidR="00304DFF" w:rsidRDefault="006B0E60" w:rsidP="00235C50">
      <w:pPr>
        <w:spacing w:line="276" w:lineRule="auto"/>
        <w:rPr>
          <w:rFonts w:ascii="Arial" w:hAnsi="Arial" w:cs="Arial"/>
        </w:rPr>
      </w:pPr>
      <w:r>
        <w:rPr>
          <w:rFonts w:ascii="Arial" w:hAnsi="Arial" w:cs="Arial"/>
        </w:rPr>
        <w:t>Cet extrait</w:t>
      </w:r>
      <w:r w:rsidR="000B2BC0">
        <w:rPr>
          <w:rFonts w:ascii="Arial" w:hAnsi="Arial" w:cs="Arial"/>
        </w:rPr>
        <w:t xml:space="preserve"> témoigne de l’importance de l’action des groupes communautaires et de l’utilité de ces derniers pour la collectivité. </w:t>
      </w:r>
      <w:r w:rsidR="00E90FD0">
        <w:rPr>
          <w:rFonts w:ascii="Arial" w:hAnsi="Arial" w:cs="Arial"/>
        </w:rPr>
        <w:t xml:space="preserve">En effet, dans plusieurs cas, le milieu communautaire joue un rôle de </w:t>
      </w:r>
      <w:r w:rsidR="00CB7233">
        <w:rPr>
          <w:rFonts w:ascii="Arial" w:hAnsi="Arial" w:cs="Arial"/>
        </w:rPr>
        <w:t xml:space="preserve">surveillance </w:t>
      </w:r>
      <w:r w:rsidR="00E90FD0">
        <w:rPr>
          <w:rFonts w:ascii="Arial" w:hAnsi="Arial" w:cs="Arial"/>
        </w:rPr>
        <w:t xml:space="preserve">et avise le gouvernement lorsque ses actions ont des effets néfastes immédiats ou potentiels sur la population. </w:t>
      </w:r>
      <w:r w:rsidR="00304DFF">
        <w:rPr>
          <w:rFonts w:ascii="Arial" w:hAnsi="Arial" w:cs="Arial"/>
        </w:rPr>
        <w:t>Assimiler les OSBL à des lobbys reviendrait à avaliser une forme de marchandisation du bien commun, qui serait désormais considéré comme un banal sujet de négociation, au même titre qu’un avantage financier.</w:t>
      </w:r>
      <w:r w:rsidR="00E90FD0">
        <w:rPr>
          <w:rFonts w:ascii="Arial" w:hAnsi="Arial" w:cs="Arial"/>
        </w:rPr>
        <w:t xml:space="preserve"> La COPHAN considère qu’il est </w:t>
      </w:r>
      <w:r>
        <w:rPr>
          <w:rFonts w:ascii="Arial" w:hAnsi="Arial" w:cs="Arial"/>
        </w:rPr>
        <w:t>absurde de vouloir mettre sur un</w:t>
      </w:r>
      <w:r w:rsidR="00E90FD0">
        <w:rPr>
          <w:rFonts w:ascii="Arial" w:hAnsi="Arial" w:cs="Arial"/>
        </w:rPr>
        <w:t xml:space="preserve"> même pied d’égalité les activités qu’elle </w:t>
      </w:r>
      <w:r w:rsidR="00CB7233">
        <w:rPr>
          <w:rFonts w:ascii="Arial" w:hAnsi="Arial" w:cs="Arial"/>
        </w:rPr>
        <w:t>mène dans le but de promouvoir l’inclusion sociale des personnes ayant des limitations fonctionnelles et les négociations menées par des lobbyistes professionnels payés à prix d’or par les compagnies pharmaceutiques</w:t>
      </w:r>
      <w:r>
        <w:rPr>
          <w:rFonts w:ascii="Arial" w:hAnsi="Arial" w:cs="Arial"/>
        </w:rPr>
        <w:t xml:space="preserve"> </w:t>
      </w:r>
      <w:r w:rsidR="00CB7233">
        <w:rPr>
          <w:rFonts w:ascii="Arial" w:hAnsi="Arial" w:cs="Arial"/>
        </w:rPr>
        <w:t xml:space="preserve">pour obtenir des contrats dans le secteur public. </w:t>
      </w:r>
    </w:p>
    <w:p w14:paraId="72477D0C" w14:textId="77777777" w:rsidR="00304DFF" w:rsidRDefault="00304DFF" w:rsidP="00235C50">
      <w:pPr>
        <w:spacing w:line="276" w:lineRule="auto"/>
        <w:rPr>
          <w:rFonts w:ascii="Arial" w:hAnsi="Arial" w:cs="Arial"/>
        </w:rPr>
      </w:pPr>
    </w:p>
    <w:p w14:paraId="3B951BA3" w14:textId="77777777" w:rsidR="00304DFF" w:rsidRDefault="00304DFF" w:rsidP="00304DFF">
      <w:pPr>
        <w:pStyle w:val="Titre2"/>
      </w:pPr>
      <w:bookmarkStart w:id="16" w:name="_Toc442961243"/>
      <w:r>
        <w:t>Par</w:t>
      </w:r>
      <w:r w:rsidR="00C460A8">
        <w:t>ticipation citoyenne et libertés</w:t>
      </w:r>
      <w:r>
        <w:t xml:space="preserve"> d’association </w:t>
      </w:r>
      <w:r w:rsidR="00C460A8">
        <w:t>et d’expression</w:t>
      </w:r>
      <w:bookmarkEnd w:id="16"/>
    </w:p>
    <w:p w14:paraId="62521F58" w14:textId="62EC4B98" w:rsidR="00C460A8" w:rsidRPr="00C460A8" w:rsidRDefault="000B2BC0" w:rsidP="00C460A8">
      <w:pPr>
        <w:spacing w:line="276" w:lineRule="auto"/>
        <w:rPr>
          <w:rFonts w:ascii="Arial" w:hAnsi="Arial" w:cs="Arial"/>
        </w:rPr>
      </w:pPr>
      <w:r>
        <w:rPr>
          <w:rFonts w:ascii="Arial" w:hAnsi="Arial" w:cs="Arial"/>
        </w:rPr>
        <w:t xml:space="preserve">Selon la COPHAN, les activités des OSBL, et particulièrement celles des groupes de défense collective des droits, relèvent de la simple participation citoyenne et de l’exercice des libertés d’expression et d’association, qui se doivent d’être libres d’entraves. </w:t>
      </w:r>
      <w:r w:rsidR="00C460A8" w:rsidRPr="00C460A8">
        <w:rPr>
          <w:rFonts w:ascii="Arial" w:hAnsi="Arial" w:cs="Arial"/>
        </w:rPr>
        <w:t xml:space="preserve">Comme mentionné plus haut, un des multiples rôles des OSBL est de défendre des causes d’intérêt commun. Ce sont des lieux de rassemblement pour des citoyens qui souhaitent faire entendre leur voix. </w:t>
      </w:r>
      <w:r w:rsidR="006B0E60">
        <w:rPr>
          <w:rFonts w:ascii="Arial" w:hAnsi="Arial" w:cs="Arial"/>
        </w:rPr>
        <w:t>Ces organisations</w:t>
      </w:r>
      <w:r w:rsidR="00C460A8" w:rsidRPr="00C460A8">
        <w:rPr>
          <w:rFonts w:ascii="Arial" w:hAnsi="Arial" w:cs="Arial"/>
        </w:rPr>
        <w:t xml:space="preserve"> permettent de faire ressortir des problématiques systémiques qui seraient moins visibles si les revendications étaient menées à l’échelle individuelle seulement. De plus, elles offrent à des citoyens n’ayant pas les ressources, le temps ou l’énergie pour le faire eux-mêmes de défendre leurs droits et de porter leurs revendications auprès des titulaires de charges publiques. Il nous paraît absurde qu’une même revendication, présentée à un même titulaire de charge publique, soit considérée comme un exercice de citoyenneté ou bien un acte de </w:t>
      </w:r>
      <w:proofErr w:type="spellStart"/>
      <w:r w:rsidR="00C460A8" w:rsidRPr="00C460A8">
        <w:rPr>
          <w:rFonts w:ascii="Arial" w:hAnsi="Arial" w:cs="Arial"/>
        </w:rPr>
        <w:t>lobbyisme</w:t>
      </w:r>
      <w:proofErr w:type="spellEnd"/>
      <w:r w:rsidR="00C460A8" w:rsidRPr="00C460A8">
        <w:rPr>
          <w:rFonts w:ascii="Arial" w:hAnsi="Arial" w:cs="Arial"/>
        </w:rPr>
        <w:t xml:space="preserve">, selon qu’elle est présentée par un citoyen ou par un groupe communautaire. N’est-ce pas là limiter l’exercice </w:t>
      </w:r>
      <w:r w:rsidR="00C460A8">
        <w:rPr>
          <w:rFonts w:ascii="Arial" w:hAnsi="Arial" w:cs="Arial"/>
        </w:rPr>
        <w:t>de la liberté</w:t>
      </w:r>
      <w:r w:rsidR="00C460A8" w:rsidRPr="00C460A8">
        <w:rPr>
          <w:rFonts w:ascii="Arial" w:hAnsi="Arial" w:cs="Arial"/>
        </w:rPr>
        <w:t xml:space="preserve"> d’association</w:t>
      </w:r>
      <w:r w:rsidR="00C460A8">
        <w:rPr>
          <w:rFonts w:ascii="Arial" w:hAnsi="Arial" w:cs="Arial"/>
        </w:rPr>
        <w:t xml:space="preserve"> et de la liberté d’expression</w:t>
      </w:r>
      <w:r w:rsidR="00C460A8" w:rsidRPr="00C460A8">
        <w:rPr>
          <w:rFonts w:ascii="Arial" w:hAnsi="Arial" w:cs="Arial"/>
        </w:rPr>
        <w:t>?</w:t>
      </w:r>
    </w:p>
    <w:p w14:paraId="038958BA" w14:textId="77777777" w:rsidR="001D049C" w:rsidRPr="00304DFF" w:rsidRDefault="00304DFF" w:rsidP="00304DFF">
      <w:pPr>
        <w:pStyle w:val="Titre1"/>
      </w:pPr>
      <w:bookmarkStart w:id="17" w:name="_Toc442961244"/>
      <w:r>
        <w:lastRenderedPageBreak/>
        <w:t>Le</w:t>
      </w:r>
      <w:r w:rsidR="00886FDF" w:rsidRPr="009A3134">
        <w:t xml:space="preserve"> PL56 </w:t>
      </w:r>
      <w:r>
        <w:t>menace l’efficacité et la survie des OSBL</w:t>
      </w:r>
      <w:bookmarkEnd w:id="17"/>
    </w:p>
    <w:p w14:paraId="471D7E4F" w14:textId="77777777" w:rsidR="001D049C" w:rsidRDefault="001D049C" w:rsidP="001D049C">
      <w:pPr>
        <w:pStyle w:val="Titre2"/>
      </w:pPr>
      <w:bookmarkStart w:id="18" w:name="_Toc442961245"/>
      <w:r>
        <w:t xml:space="preserve">Nature de nos </w:t>
      </w:r>
      <w:r w:rsidR="00304DFF">
        <w:t>activités</w:t>
      </w:r>
      <w:r w:rsidR="00C460A8">
        <w:t xml:space="preserve"> et de nos mandats</w:t>
      </w:r>
      <w:bookmarkEnd w:id="18"/>
    </w:p>
    <w:p w14:paraId="51837304" w14:textId="7E655B6E" w:rsidR="00304DFF" w:rsidRDefault="00C460A8" w:rsidP="00304DFF">
      <w:pPr>
        <w:autoSpaceDE w:val="0"/>
        <w:autoSpaceDN w:val="0"/>
        <w:adjustRightInd w:val="0"/>
        <w:spacing w:line="276" w:lineRule="auto"/>
        <w:rPr>
          <w:rFonts w:ascii="Arial" w:hAnsi="Arial" w:cs="Arial"/>
        </w:rPr>
      </w:pPr>
      <w:r>
        <w:rPr>
          <w:rFonts w:ascii="Arial" w:hAnsi="Arial" w:cs="Arial"/>
        </w:rPr>
        <w:t>L</w:t>
      </w:r>
      <w:r w:rsidR="00304DFF" w:rsidRPr="00304DFF">
        <w:rPr>
          <w:rFonts w:ascii="Arial" w:hAnsi="Arial" w:cs="Arial"/>
        </w:rPr>
        <w:t>a nature des activités des OSBL ainsi que les affiliations qui en découlent font en sorte que des communications auprès de titulaires de charges publiques y sont couramment effectuées en vue d’influencer une décision. Cela est l’essence même des actions de mobilisation des communautés, de la défense des droits collectifs, des appels au respect de valeurs de société, de la surveillance des engagements des divers niveaux politiques, etc. Cela ne fait pas pour autant de ces organismes des lobbyistes.</w:t>
      </w:r>
      <w:r w:rsidR="00304DFF" w:rsidRPr="001D049C">
        <w:rPr>
          <w:rFonts w:ascii="Arial" w:hAnsi="Arial" w:cs="Arial"/>
        </w:rPr>
        <w:t xml:space="preserve"> </w:t>
      </w:r>
    </w:p>
    <w:p w14:paraId="5AB01E06" w14:textId="77777777" w:rsidR="00CB7233" w:rsidRDefault="00CB7233" w:rsidP="00304DFF">
      <w:pPr>
        <w:autoSpaceDE w:val="0"/>
        <w:autoSpaceDN w:val="0"/>
        <w:adjustRightInd w:val="0"/>
        <w:spacing w:line="276" w:lineRule="auto"/>
        <w:rPr>
          <w:rFonts w:ascii="Arial" w:hAnsi="Arial" w:cs="Arial"/>
        </w:rPr>
      </w:pPr>
    </w:p>
    <w:p w14:paraId="3AE043E2" w14:textId="54CF3638" w:rsidR="00304DFF" w:rsidRPr="00C460A8" w:rsidRDefault="00C460A8" w:rsidP="00C460A8">
      <w:pPr>
        <w:autoSpaceDE w:val="0"/>
        <w:autoSpaceDN w:val="0"/>
        <w:adjustRightInd w:val="0"/>
        <w:spacing w:line="276" w:lineRule="auto"/>
        <w:rPr>
          <w:rFonts w:ascii="Arial" w:hAnsi="Arial" w:cs="Arial"/>
        </w:rPr>
      </w:pPr>
      <w:r>
        <w:rPr>
          <w:rFonts w:ascii="Arial" w:hAnsi="Arial" w:cs="Arial"/>
        </w:rPr>
        <w:t>Pour plusieurs OSBL, notamment les groupes de défense collective des droits, les mandats s’étirent sur de nombreuses années. À titre d’exemple, la COPHAN milite depuis plus de 30 ans pour l’inclusion sociale des personnes ayant des limitations fonctionnelles. En prévoyant une durée de mandat d’un an, renouvelable pour une autre année, le PL56 illustre la méconnaissance du ministre et du Commissaire par rapport à la nature des mandats de certains OSBL, qui œuvrent par exemple au changement de politiques publiques, au développe</w:t>
      </w:r>
      <w:r w:rsidR="00CB7233">
        <w:rPr>
          <w:rFonts w:ascii="Arial" w:hAnsi="Arial" w:cs="Arial"/>
        </w:rPr>
        <w:t>ment de programmes de soutien ou</w:t>
      </w:r>
      <w:r>
        <w:rPr>
          <w:rFonts w:ascii="Arial" w:hAnsi="Arial" w:cs="Arial"/>
        </w:rPr>
        <w:t xml:space="preserve"> à la transformation des mentalités. Ces activités s’étendent sur plusieurs années et il n’est pas réaliste de circonscrire la réalisation </w:t>
      </w:r>
      <w:r w:rsidR="00CB7233">
        <w:rPr>
          <w:rFonts w:ascii="Arial" w:hAnsi="Arial" w:cs="Arial"/>
        </w:rPr>
        <w:t>de ces mandats à une ou deux années.</w:t>
      </w:r>
      <w:r>
        <w:rPr>
          <w:rFonts w:ascii="Arial" w:hAnsi="Arial" w:cs="Arial"/>
        </w:rPr>
        <w:t xml:space="preserve">   </w:t>
      </w:r>
    </w:p>
    <w:p w14:paraId="4899105D" w14:textId="77777777" w:rsidR="001D049C" w:rsidRPr="001D049C" w:rsidRDefault="001D049C" w:rsidP="001D049C"/>
    <w:p w14:paraId="3315A2C4" w14:textId="77777777" w:rsidR="001D049C" w:rsidRDefault="001D049C" w:rsidP="001D049C">
      <w:pPr>
        <w:pStyle w:val="Titre2"/>
      </w:pPr>
      <w:bookmarkStart w:id="19" w:name="_Toc442961246"/>
      <w:r>
        <w:t>Lourdeur administrative</w:t>
      </w:r>
      <w:bookmarkEnd w:id="19"/>
    </w:p>
    <w:p w14:paraId="60121104" w14:textId="3D4C75FB" w:rsidR="001D049C" w:rsidRPr="001D049C" w:rsidRDefault="001D049C" w:rsidP="001D049C">
      <w:pPr>
        <w:spacing w:line="276" w:lineRule="auto"/>
        <w:contextualSpacing/>
        <w:rPr>
          <w:rFonts w:ascii="Arial" w:hAnsi="Arial" w:cs="Arial"/>
        </w:rPr>
      </w:pPr>
      <w:r w:rsidRPr="001D049C">
        <w:rPr>
          <w:rFonts w:ascii="Arial" w:hAnsi="Arial" w:cs="Arial"/>
        </w:rPr>
        <w:t xml:space="preserve">L’assujettissement des OSBL à la loi risque de les paralyser dans leurs activités quotidiennes auprès de la communauté et des titulaires de charge publique, en raison </w:t>
      </w:r>
      <w:r w:rsidR="006B0E60">
        <w:rPr>
          <w:rFonts w:ascii="Arial" w:hAnsi="Arial" w:cs="Arial"/>
        </w:rPr>
        <w:t>d’une surcharge administrative.</w:t>
      </w:r>
      <w:r w:rsidRPr="001D049C">
        <w:rPr>
          <w:rFonts w:ascii="Arial" w:hAnsi="Arial" w:cs="Arial"/>
        </w:rPr>
        <w:t xml:space="preserve"> </w:t>
      </w:r>
      <w:r w:rsidR="006B0E60">
        <w:rPr>
          <w:rFonts w:ascii="Arial" w:hAnsi="Arial" w:cs="Arial"/>
        </w:rPr>
        <w:t>L</w:t>
      </w:r>
      <w:r w:rsidRPr="001D049C">
        <w:rPr>
          <w:rFonts w:ascii="Arial" w:hAnsi="Arial" w:cs="Arial"/>
        </w:rPr>
        <w:t>a très grande majorité des OSBL ont des moyens restreints, fonctionnant souvent par le travail de quelques personnes, voire même d’une seule personne dans certains cas. Les obligations entraînées par l’assujettissement sont énormes. Non seulement les renseignements demandés lors de l’inscription pour chaque ma</w:t>
      </w:r>
      <w:r w:rsidR="0065675A">
        <w:rPr>
          <w:rFonts w:ascii="Arial" w:hAnsi="Arial" w:cs="Arial"/>
        </w:rPr>
        <w:t>ndat sont très nombreux</w:t>
      </w:r>
      <w:r w:rsidRPr="001D049C">
        <w:rPr>
          <w:rFonts w:ascii="Arial" w:hAnsi="Arial" w:cs="Arial"/>
        </w:rPr>
        <w:t>, mais il faut également produire un bilan trimestriel des activités effectuées pour l’e</w:t>
      </w:r>
      <w:r w:rsidR="0065675A">
        <w:rPr>
          <w:rFonts w:ascii="Arial" w:hAnsi="Arial" w:cs="Arial"/>
        </w:rPr>
        <w:t>nsemble de ses mandats</w:t>
      </w:r>
      <w:r w:rsidRPr="001D049C">
        <w:rPr>
          <w:rFonts w:ascii="Arial" w:hAnsi="Arial" w:cs="Arial"/>
        </w:rPr>
        <w:t>. Une telle obligation est incompatible avec la réalité des OSBL, dont plusieurs travaillent sur de nombreux dossiers en lien avec différents ministères et organismes.</w:t>
      </w:r>
      <w:r w:rsidR="006B0E60">
        <w:rPr>
          <w:rFonts w:ascii="Arial" w:hAnsi="Arial" w:cs="Arial"/>
        </w:rPr>
        <w:t xml:space="preserve"> </w:t>
      </w:r>
      <w:r w:rsidRPr="001D049C">
        <w:rPr>
          <w:rFonts w:ascii="Arial" w:hAnsi="Arial" w:cs="Arial"/>
        </w:rPr>
        <w:t>Il s’agirait là de contraintes injustifiées à notre liberté d’expression, comme groupe</w:t>
      </w:r>
      <w:r w:rsidR="0065675A">
        <w:rPr>
          <w:rFonts w:ascii="Arial" w:hAnsi="Arial" w:cs="Arial"/>
        </w:rPr>
        <w:t>s</w:t>
      </w:r>
      <w:r w:rsidRPr="001D049C">
        <w:rPr>
          <w:rFonts w:ascii="Arial" w:hAnsi="Arial" w:cs="Arial"/>
        </w:rPr>
        <w:t xml:space="preserve"> et comme individus qui en faisons partie.</w:t>
      </w:r>
      <w:r w:rsidR="00437725">
        <w:rPr>
          <w:rFonts w:ascii="Arial" w:hAnsi="Arial" w:cs="Arial"/>
        </w:rPr>
        <w:t xml:space="preserve"> Notons également que de nombreuses personnes militant pour les droits des personnes ayant des limitations fonctionnelles sont elles-mêmes confrontées à des situations de handicap et que l’accessibilité des formulaires en ligne est loin d’être garantie, si on se fie à l’état actuel de l’accessibilité du web.</w:t>
      </w:r>
    </w:p>
    <w:p w14:paraId="3023C229" w14:textId="77777777" w:rsidR="001D049C" w:rsidRDefault="001D049C" w:rsidP="001D049C">
      <w:pPr>
        <w:spacing w:line="276" w:lineRule="auto"/>
        <w:contextualSpacing/>
        <w:rPr>
          <w:rFonts w:ascii="Arial" w:hAnsi="Arial" w:cs="Arial"/>
        </w:rPr>
      </w:pPr>
    </w:p>
    <w:p w14:paraId="66DC7476" w14:textId="4973A44F" w:rsidR="001D049C" w:rsidRPr="001D049C" w:rsidRDefault="001D049C" w:rsidP="001D049C">
      <w:pPr>
        <w:pStyle w:val="Titre2"/>
        <w:rPr>
          <w:szCs w:val="24"/>
        </w:rPr>
      </w:pPr>
      <w:bookmarkStart w:id="20" w:name="_Toc442961247"/>
      <w:r>
        <w:lastRenderedPageBreak/>
        <w:t>Responsabilités et risques disproportionnés</w:t>
      </w:r>
      <w:bookmarkEnd w:id="20"/>
    </w:p>
    <w:p w14:paraId="326CBD57" w14:textId="0213CAC9" w:rsidR="001D049C" w:rsidRPr="001D049C" w:rsidRDefault="001D049C" w:rsidP="001D049C">
      <w:pPr>
        <w:spacing w:line="276" w:lineRule="auto"/>
        <w:rPr>
          <w:rFonts w:ascii="Arial" w:hAnsi="Arial" w:cs="Arial"/>
        </w:rPr>
      </w:pPr>
      <w:r w:rsidRPr="001D049C">
        <w:rPr>
          <w:rFonts w:ascii="Arial" w:hAnsi="Arial" w:cs="Arial"/>
        </w:rPr>
        <w:t>Le PL56 prévoit également le transfert de la responsabilité d’enregistrement de la haute direction vers l’individu lui-même. Ainsi, c’est l’employé, le directeur ou le membre du CA d’un organisme qui serait personnellement responsable de s’inscrire de façon conforme au registre et de produire les bilans demandés. À défaut de le faire, il s’expo</w:t>
      </w:r>
      <w:r w:rsidR="0065675A">
        <w:rPr>
          <w:rFonts w:ascii="Arial" w:hAnsi="Arial" w:cs="Arial"/>
        </w:rPr>
        <w:t>serait à des amendes salées</w:t>
      </w:r>
      <w:r w:rsidRPr="001D049C">
        <w:rPr>
          <w:rFonts w:ascii="Arial" w:hAnsi="Arial" w:cs="Arial"/>
        </w:rPr>
        <w:t>. Il est à prévoir que les personnes qui s’impliquent ou travaillent au sein d’OSBL choisissent de ne pas s’exposer à ce risque et donc, de dim</w:t>
      </w:r>
      <w:r w:rsidR="00437725">
        <w:rPr>
          <w:rFonts w:ascii="Arial" w:hAnsi="Arial" w:cs="Arial"/>
        </w:rPr>
        <w:t xml:space="preserve">inuer, voire d’interrompre leurs revendications </w:t>
      </w:r>
      <w:r w:rsidRPr="001D049C">
        <w:rPr>
          <w:rFonts w:ascii="Arial" w:hAnsi="Arial" w:cs="Arial"/>
        </w:rPr>
        <w:t xml:space="preserve">auprès des titulaires de charge publique. </w:t>
      </w:r>
      <w:r w:rsidR="00437725">
        <w:rPr>
          <w:rFonts w:ascii="Arial" w:hAnsi="Arial" w:cs="Arial"/>
        </w:rPr>
        <w:t xml:space="preserve">Or, il s’agit là du principal levier d’action de nos organismes. </w:t>
      </w:r>
    </w:p>
    <w:p w14:paraId="10A890B8" w14:textId="77777777" w:rsidR="001D049C" w:rsidRPr="001D049C" w:rsidRDefault="001D049C" w:rsidP="001D049C">
      <w:pPr>
        <w:spacing w:line="276" w:lineRule="auto"/>
        <w:rPr>
          <w:rFonts w:ascii="Arial" w:hAnsi="Arial" w:cs="Arial"/>
        </w:rPr>
      </w:pPr>
    </w:p>
    <w:p w14:paraId="2DC49BB7" w14:textId="36D8BFBF" w:rsidR="001D049C" w:rsidRPr="001D049C" w:rsidRDefault="001D049C" w:rsidP="001D049C">
      <w:pPr>
        <w:spacing w:line="276" w:lineRule="auto"/>
        <w:rPr>
          <w:rFonts w:ascii="Arial" w:hAnsi="Arial" w:cs="Arial"/>
        </w:rPr>
      </w:pPr>
      <w:r w:rsidRPr="001D049C">
        <w:rPr>
          <w:rFonts w:ascii="Arial" w:hAnsi="Arial" w:cs="Arial"/>
        </w:rPr>
        <w:t>Le PL56 menace donc directement la survi</w:t>
      </w:r>
      <w:r>
        <w:rPr>
          <w:rFonts w:ascii="Arial" w:hAnsi="Arial" w:cs="Arial"/>
        </w:rPr>
        <w:t xml:space="preserve">e, sinon </w:t>
      </w:r>
      <w:r w:rsidR="00CB7233">
        <w:rPr>
          <w:rFonts w:ascii="Arial" w:hAnsi="Arial" w:cs="Arial"/>
        </w:rPr>
        <w:t xml:space="preserve">du moins l’efficacité </w:t>
      </w:r>
      <w:r w:rsidRPr="001D049C">
        <w:rPr>
          <w:rFonts w:ascii="Arial" w:hAnsi="Arial" w:cs="Arial"/>
        </w:rPr>
        <w:t>des OSBL. En effet</w:t>
      </w:r>
      <w:r>
        <w:rPr>
          <w:rFonts w:ascii="Arial" w:hAnsi="Arial" w:cs="Arial"/>
        </w:rPr>
        <w:t>, la lourdeur de la tâche de même que</w:t>
      </w:r>
      <w:r w:rsidRPr="001D049C">
        <w:rPr>
          <w:rFonts w:ascii="Arial" w:hAnsi="Arial" w:cs="Arial"/>
        </w:rPr>
        <w:t xml:space="preserve"> les risques encourus forceraient plusieurs OSBL à diminuer de façon importante leurs activités auprès de la communauté et leurs activités de représentation auprès de titulaires de charges publiques. Concrètement, l’assujettissement des OSBL à la loi aura pour effet de museler le milieu communautaire en limitant fortement sa capacité d’action.</w:t>
      </w:r>
    </w:p>
    <w:p w14:paraId="6A969026" w14:textId="77777777" w:rsidR="00304DFF" w:rsidRPr="00304DFF" w:rsidRDefault="00304DFF" w:rsidP="00304DFF">
      <w:pPr>
        <w:pStyle w:val="Titre1"/>
      </w:pPr>
      <w:bookmarkStart w:id="21" w:name="_Toc442961248"/>
      <w:r>
        <w:t>Objectif de transparence et droit du public de savoir</w:t>
      </w:r>
      <w:bookmarkEnd w:id="21"/>
    </w:p>
    <w:p w14:paraId="7B80C9CC" w14:textId="0233872C" w:rsidR="001D049C" w:rsidRDefault="001D049C" w:rsidP="00437725">
      <w:pPr>
        <w:spacing w:line="276" w:lineRule="auto"/>
        <w:rPr>
          <w:rFonts w:ascii="Arial" w:hAnsi="Arial" w:cs="Arial"/>
        </w:rPr>
      </w:pPr>
      <w:r w:rsidRPr="001D049C">
        <w:rPr>
          <w:rFonts w:ascii="Arial" w:hAnsi="Arial" w:cs="Arial"/>
        </w:rPr>
        <w:t xml:space="preserve">Les notes explicatives du projet de loi nous informent qu’il « a pour objet d’assurer la transparence des activités de </w:t>
      </w:r>
      <w:proofErr w:type="spellStart"/>
      <w:r w:rsidRPr="001D049C">
        <w:rPr>
          <w:rFonts w:ascii="Arial" w:hAnsi="Arial" w:cs="Arial"/>
        </w:rPr>
        <w:t>lobbyisme</w:t>
      </w:r>
      <w:proofErr w:type="spellEnd"/>
      <w:r w:rsidRPr="001D049C">
        <w:rPr>
          <w:rFonts w:ascii="Arial" w:hAnsi="Arial" w:cs="Arial"/>
        </w:rPr>
        <w:t xml:space="preserve"> et le sain exercice de ces activités ». Il réitère également le « droit du public de savoir ». </w:t>
      </w:r>
      <w:r w:rsidR="00C460A8">
        <w:rPr>
          <w:rFonts w:ascii="Arial" w:hAnsi="Arial" w:cs="Arial"/>
        </w:rPr>
        <w:t xml:space="preserve">Or, selon la COPHAN, l’assujettissement des OSBL à la Loi sur le </w:t>
      </w:r>
      <w:proofErr w:type="spellStart"/>
      <w:r w:rsidR="00C460A8">
        <w:rPr>
          <w:rFonts w:ascii="Arial" w:hAnsi="Arial" w:cs="Arial"/>
        </w:rPr>
        <w:t>lobbyisme</w:t>
      </w:r>
      <w:proofErr w:type="spellEnd"/>
      <w:r w:rsidR="00C460A8">
        <w:rPr>
          <w:rFonts w:ascii="Arial" w:hAnsi="Arial" w:cs="Arial"/>
        </w:rPr>
        <w:t xml:space="preserve"> ne contribuera pas à cet objectif et pourrait même nuire au droit du public de savoir.</w:t>
      </w:r>
    </w:p>
    <w:p w14:paraId="16CA9837" w14:textId="77777777" w:rsidR="00304DFF" w:rsidRDefault="00304DFF" w:rsidP="008F6D01">
      <w:pPr>
        <w:pStyle w:val="Titre2"/>
      </w:pPr>
      <w:bookmarkStart w:id="22" w:name="_Toc442961249"/>
      <w:r>
        <w:t>Caractère public de nos actions</w:t>
      </w:r>
      <w:bookmarkEnd w:id="22"/>
    </w:p>
    <w:p w14:paraId="6C9B413E" w14:textId="2EC09008" w:rsidR="001D049C" w:rsidRDefault="00304DFF" w:rsidP="001D049C">
      <w:pPr>
        <w:autoSpaceDE w:val="0"/>
        <w:autoSpaceDN w:val="0"/>
        <w:adjustRightInd w:val="0"/>
        <w:spacing w:line="276" w:lineRule="auto"/>
        <w:rPr>
          <w:rFonts w:ascii="Arial" w:hAnsi="Arial" w:cs="Arial"/>
        </w:rPr>
      </w:pPr>
      <w:r>
        <w:rPr>
          <w:rFonts w:ascii="Arial" w:hAnsi="Arial" w:cs="Arial"/>
        </w:rPr>
        <w:t>L</w:t>
      </w:r>
      <w:r w:rsidR="001D049C" w:rsidRPr="001D049C">
        <w:rPr>
          <w:rFonts w:ascii="Arial" w:hAnsi="Arial" w:cs="Arial"/>
        </w:rPr>
        <w:t xml:space="preserve">e caractère revendicateur et militant des organismes d’action communautaire autonome et des coalitions dont elles font partie </w:t>
      </w:r>
      <w:r w:rsidRPr="001D049C">
        <w:rPr>
          <w:rFonts w:ascii="Arial" w:hAnsi="Arial" w:cs="Arial"/>
        </w:rPr>
        <w:t>rend</w:t>
      </w:r>
      <w:r w:rsidR="001D049C" w:rsidRPr="001D049C">
        <w:rPr>
          <w:rFonts w:ascii="Arial" w:hAnsi="Arial" w:cs="Arial"/>
        </w:rPr>
        <w:t xml:space="preserve"> leurs activités bien visibles</w:t>
      </w:r>
      <w:r w:rsidR="00437725">
        <w:rPr>
          <w:rFonts w:ascii="Arial" w:hAnsi="Arial" w:cs="Arial"/>
        </w:rPr>
        <w:t>,</w:t>
      </w:r>
      <w:r w:rsidR="001D049C" w:rsidRPr="001D049C">
        <w:rPr>
          <w:rFonts w:ascii="Arial" w:hAnsi="Arial" w:cs="Arial"/>
        </w:rPr>
        <w:t xml:space="preserve"> </w:t>
      </w:r>
      <w:r w:rsidR="00437725">
        <w:rPr>
          <w:rFonts w:ascii="Arial" w:hAnsi="Arial" w:cs="Arial"/>
        </w:rPr>
        <w:t>tant pour</w:t>
      </w:r>
      <w:r w:rsidR="001D049C" w:rsidRPr="001D049C">
        <w:rPr>
          <w:rFonts w:ascii="Arial" w:hAnsi="Arial" w:cs="Arial"/>
        </w:rPr>
        <w:t xml:space="preserve"> la population </w:t>
      </w:r>
      <w:r w:rsidR="00437725">
        <w:rPr>
          <w:rFonts w:ascii="Arial" w:hAnsi="Arial" w:cs="Arial"/>
        </w:rPr>
        <w:t>que pour</w:t>
      </w:r>
      <w:r w:rsidR="001D049C" w:rsidRPr="001D049C">
        <w:rPr>
          <w:rFonts w:ascii="Arial" w:hAnsi="Arial" w:cs="Arial"/>
        </w:rPr>
        <w:t xml:space="preserve"> les titulaires de charges publiques. </w:t>
      </w:r>
      <w:r>
        <w:rPr>
          <w:rFonts w:ascii="Arial" w:hAnsi="Arial" w:cs="Arial"/>
        </w:rPr>
        <w:t xml:space="preserve">Il en va de même pour les activités des groupes communautaires et autres OSBL dont la mission est d’offrir des services à la population. </w:t>
      </w:r>
      <w:r w:rsidR="00CB7233">
        <w:rPr>
          <w:rFonts w:ascii="Arial" w:hAnsi="Arial" w:cs="Arial"/>
        </w:rPr>
        <w:t xml:space="preserve">Chaque année, à l’instar de la plupart des OSBL, la COPHAN produit un rapport d’activités détaillé ainsi que des états financiers vérifiés par une firme comptable. Ces documents sont disponibles au public sur demande et par le biais de notre </w:t>
      </w:r>
      <w:hyperlink r:id="rId24" w:history="1">
        <w:r w:rsidR="00CB7233" w:rsidRPr="00CB7233">
          <w:rPr>
            <w:rStyle w:val="Lienhypertexte"/>
            <w:rFonts w:ascii="Arial" w:hAnsi="Arial" w:cs="Arial"/>
          </w:rPr>
          <w:t>site web</w:t>
        </w:r>
      </w:hyperlink>
      <w:r w:rsidR="00CB7233">
        <w:rPr>
          <w:rFonts w:ascii="Arial" w:hAnsi="Arial" w:cs="Arial"/>
        </w:rPr>
        <w:t xml:space="preserve">. De plus, les OSBL qui reçoivent du financement gouvernemental, comme la COPHAN, doivent déjà rendre des comptes à d’autres instances (PSOC, SACAIS, etc.) par rapport à leurs activités. </w:t>
      </w:r>
      <w:r w:rsidR="001D049C" w:rsidRPr="001D049C">
        <w:rPr>
          <w:rFonts w:ascii="Arial" w:hAnsi="Arial" w:cs="Arial"/>
        </w:rPr>
        <w:t xml:space="preserve">L’objectif de transparence de la Loi ne peut donc pas être invoqué pour justifier l’assujettissement et l’inscription de leurs activités d’influence. </w:t>
      </w:r>
    </w:p>
    <w:p w14:paraId="1B22DCA4" w14:textId="5D29D0D4" w:rsidR="008F6D01" w:rsidRDefault="008F6D01" w:rsidP="008F6D01">
      <w:pPr>
        <w:pStyle w:val="Titre2"/>
      </w:pPr>
      <w:bookmarkStart w:id="23" w:name="_Toc442961250"/>
      <w:r>
        <w:lastRenderedPageBreak/>
        <w:t xml:space="preserve">Besoin non démontré et possibles effets </w:t>
      </w:r>
      <w:r w:rsidR="00CB7233">
        <w:t>néfastes</w:t>
      </w:r>
      <w:bookmarkEnd w:id="23"/>
    </w:p>
    <w:p w14:paraId="23772F76" w14:textId="054F99F1" w:rsidR="008F6D01" w:rsidRDefault="008F6D01" w:rsidP="001D049C">
      <w:pPr>
        <w:autoSpaceDE w:val="0"/>
        <w:autoSpaceDN w:val="0"/>
        <w:adjustRightInd w:val="0"/>
        <w:spacing w:line="276" w:lineRule="auto"/>
        <w:rPr>
          <w:rFonts w:ascii="Arial" w:hAnsi="Arial" w:cs="Arial"/>
        </w:rPr>
      </w:pPr>
      <w:r>
        <w:rPr>
          <w:rFonts w:ascii="Arial" w:hAnsi="Arial" w:cs="Arial"/>
        </w:rPr>
        <w:t>Le besoin de réguler l</w:t>
      </w:r>
      <w:r w:rsidR="001D049C" w:rsidRPr="001D049C">
        <w:rPr>
          <w:rFonts w:ascii="Arial" w:hAnsi="Arial" w:cs="Arial"/>
        </w:rPr>
        <w:t xml:space="preserve">es activités </w:t>
      </w:r>
      <w:r>
        <w:rPr>
          <w:rFonts w:ascii="Arial" w:hAnsi="Arial" w:cs="Arial"/>
        </w:rPr>
        <w:t xml:space="preserve">des OSBL </w:t>
      </w:r>
      <w:r w:rsidR="0065675A">
        <w:rPr>
          <w:rFonts w:ascii="Arial" w:hAnsi="Arial" w:cs="Arial"/>
        </w:rPr>
        <w:t>par le biais</w:t>
      </w:r>
      <w:r w:rsidR="001D049C" w:rsidRPr="001D049C">
        <w:rPr>
          <w:rFonts w:ascii="Arial" w:hAnsi="Arial" w:cs="Arial"/>
        </w:rPr>
        <w:t xml:space="preserve"> </w:t>
      </w:r>
      <w:r w:rsidR="0065675A">
        <w:rPr>
          <w:rFonts w:ascii="Arial" w:hAnsi="Arial" w:cs="Arial"/>
        </w:rPr>
        <w:t>du</w:t>
      </w:r>
      <w:r w:rsidR="001D049C" w:rsidRPr="001D049C">
        <w:rPr>
          <w:rFonts w:ascii="Arial" w:hAnsi="Arial" w:cs="Arial"/>
        </w:rPr>
        <w:t xml:space="preserve"> Registre des lobbyistes n’est aucunement démontré. En effet, les pratiques des OSBL et leur transparence n’ont été remises en cause par aucun scandale ou évènement négatif marquant. </w:t>
      </w:r>
      <w:r w:rsidR="00437725">
        <w:rPr>
          <w:rFonts w:ascii="Arial" w:hAnsi="Arial" w:cs="Arial"/>
        </w:rPr>
        <w:t>Au contraire, ces derniers</w:t>
      </w:r>
      <w:r w:rsidR="001D049C" w:rsidRPr="001D049C">
        <w:rPr>
          <w:rFonts w:ascii="Arial" w:hAnsi="Arial" w:cs="Arial"/>
        </w:rPr>
        <w:t xml:space="preserve"> jouissent généralement d’un excellent niveau de confiance au sein de la population. Cette confiance serait amoindrie si la population percevait les OSBL comme des lobbyistes; la population croirait à tort que les OSBL défendent des intérêts lucratifs pour eux-mêmes plutôt que de travailler pour la popu</w:t>
      </w:r>
      <w:r w:rsidR="00304DFF">
        <w:rPr>
          <w:rFonts w:ascii="Arial" w:hAnsi="Arial" w:cs="Arial"/>
        </w:rPr>
        <w:t xml:space="preserve">lation qui les met sur pied. </w:t>
      </w:r>
      <w:r w:rsidR="001D049C" w:rsidRPr="001D049C">
        <w:rPr>
          <w:rFonts w:ascii="Arial" w:hAnsi="Arial" w:cs="Arial"/>
        </w:rPr>
        <w:t>Plus encore,</w:t>
      </w:r>
      <w:r>
        <w:rPr>
          <w:rFonts w:ascii="Arial" w:hAnsi="Arial" w:cs="Arial"/>
        </w:rPr>
        <w:t xml:space="preserve"> de l’avis de la COPHAN,</w:t>
      </w:r>
      <w:r w:rsidR="001D049C" w:rsidRPr="001D049C">
        <w:rPr>
          <w:rFonts w:ascii="Arial" w:hAnsi="Arial" w:cs="Arial"/>
        </w:rPr>
        <w:t xml:space="preserve"> le fait d’inscrire toutes ces interventions au registre aura pour effet de « noyer le poisson ». En effet, le registre s</w:t>
      </w:r>
      <w:r w:rsidR="00CB7233">
        <w:rPr>
          <w:rFonts w:ascii="Arial" w:hAnsi="Arial" w:cs="Arial"/>
        </w:rPr>
        <w:t>’en retrouvera</w:t>
      </w:r>
      <w:r w:rsidR="001D049C" w:rsidRPr="001D049C">
        <w:rPr>
          <w:rFonts w:ascii="Arial" w:hAnsi="Arial" w:cs="Arial"/>
        </w:rPr>
        <w:t xml:space="preserve"> tellement ino</w:t>
      </w:r>
      <w:r w:rsidR="00CB7233">
        <w:rPr>
          <w:rFonts w:ascii="Arial" w:hAnsi="Arial" w:cs="Arial"/>
        </w:rPr>
        <w:t>ndé que son efficacité en sera</w:t>
      </w:r>
      <w:r w:rsidR="001D049C" w:rsidRPr="001D049C">
        <w:rPr>
          <w:rFonts w:ascii="Arial" w:hAnsi="Arial" w:cs="Arial"/>
        </w:rPr>
        <w:t xml:space="preserve"> grandement diluée. Est-ce véritablement là protéger le droit du public de savoir?</w:t>
      </w:r>
    </w:p>
    <w:p w14:paraId="2E6477F8" w14:textId="77777777" w:rsidR="008F6D01" w:rsidRPr="001D049C" w:rsidRDefault="008F6D01" w:rsidP="008F6D01">
      <w:pPr>
        <w:pStyle w:val="Titre2"/>
      </w:pPr>
      <w:bookmarkStart w:id="24" w:name="_Toc442961251"/>
      <w:r>
        <w:t>Questionnement au sujet de certaines exclusions</w:t>
      </w:r>
      <w:bookmarkEnd w:id="24"/>
    </w:p>
    <w:p w14:paraId="5F5B1E1D" w14:textId="576AAFE2" w:rsidR="006F61B3" w:rsidRDefault="00C460A8" w:rsidP="00235C50">
      <w:pPr>
        <w:spacing w:line="276" w:lineRule="auto"/>
        <w:rPr>
          <w:rFonts w:ascii="Arial" w:hAnsi="Arial" w:cs="Arial"/>
        </w:rPr>
      </w:pPr>
      <w:r>
        <w:rPr>
          <w:rFonts w:ascii="Arial" w:hAnsi="Arial" w:cs="Arial"/>
        </w:rPr>
        <w:t>La section</w:t>
      </w:r>
      <w:r w:rsidR="0065675A">
        <w:rPr>
          <w:rFonts w:ascii="Arial" w:hAnsi="Arial" w:cs="Arial"/>
        </w:rPr>
        <w:t> </w:t>
      </w:r>
      <w:r>
        <w:rPr>
          <w:rFonts w:ascii="Arial" w:hAnsi="Arial" w:cs="Arial"/>
        </w:rPr>
        <w:t>III du chapitre</w:t>
      </w:r>
      <w:r w:rsidR="0065675A">
        <w:rPr>
          <w:rFonts w:ascii="Arial" w:hAnsi="Arial" w:cs="Arial"/>
        </w:rPr>
        <w:t> </w:t>
      </w:r>
      <w:r>
        <w:rPr>
          <w:rFonts w:ascii="Arial" w:hAnsi="Arial" w:cs="Arial"/>
        </w:rPr>
        <w:t>III du projet de loi prévoit de</w:t>
      </w:r>
      <w:r w:rsidR="00193C06">
        <w:rPr>
          <w:rFonts w:ascii="Arial" w:hAnsi="Arial" w:cs="Arial"/>
        </w:rPr>
        <w:t>s exc</w:t>
      </w:r>
      <w:r w:rsidR="0065675A">
        <w:rPr>
          <w:rFonts w:ascii="Arial" w:hAnsi="Arial" w:cs="Arial"/>
        </w:rPr>
        <w:t>l</w:t>
      </w:r>
      <w:r w:rsidR="00193C06">
        <w:rPr>
          <w:rFonts w:ascii="Arial" w:hAnsi="Arial" w:cs="Arial"/>
        </w:rPr>
        <w:t>usions aux personnes considérées comme titulaires de charges publiques, notamment</w:t>
      </w:r>
      <w:r w:rsidR="00CB7233">
        <w:rPr>
          <w:rFonts w:ascii="Arial" w:hAnsi="Arial" w:cs="Arial"/>
        </w:rPr>
        <w:t xml:space="preserve"> celles </w:t>
      </w:r>
      <w:r w:rsidR="00193C06">
        <w:rPr>
          <w:rFonts w:ascii="Arial" w:hAnsi="Arial" w:cs="Arial"/>
        </w:rPr>
        <w:t xml:space="preserve">travaillant dans le réseau de la santé et dans le réseau de l’éducation. Ces personnes n’étant pas considérées comme titulaires de charges publiques, les activités de </w:t>
      </w:r>
      <w:proofErr w:type="spellStart"/>
      <w:r w:rsidR="00193C06">
        <w:rPr>
          <w:rFonts w:ascii="Arial" w:hAnsi="Arial" w:cs="Arial"/>
        </w:rPr>
        <w:t>lobbyisme</w:t>
      </w:r>
      <w:proofErr w:type="spellEnd"/>
      <w:r w:rsidR="00193C06">
        <w:rPr>
          <w:rFonts w:ascii="Arial" w:hAnsi="Arial" w:cs="Arial"/>
        </w:rPr>
        <w:t xml:space="preserve"> menées auprès d’elles n’auront pas à être déclarées, ni par lesdits lobbyistes d’organisme ni par les lobbyistes d’entreprises ou lobbyistes-conseil</w:t>
      </w:r>
      <w:r w:rsidR="0065675A">
        <w:rPr>
          <w:rFonts w:ascii="Arial" w:hAnsi="Arial" w:cs="Arial"/>
        </w:rPr>
        <w:t>s</w:t>
      </w:r>
      <w:r w:rsidR="00193C06">
        <w:rPr>
          <w:rFonts w:ascii="Arial" w:hAnsi="Arial" w:cs="Arial"/>
        </w:rPr>
        <w:t>. La COPHAN se questionne par rapport à cette exclusion, considérant que les réseaux de la santé et de l’éducation constituent les principaux postes budgétaires du gouvernement du Québec. Les marchés qu’ils représentent pour les véritables lobbyistes sont plus que substantiels, notamment dans le domaine pharmaceutique</w:t>
      </w:r>
      <w:r w:rsidR="00437725">
        <w:rPr>
          <w:rFonts w:ascii="Arial" w:hAnsi="Arial" w:cs="Arial"/>
        </w:rPr>
        <w:t xml:space="preserve"> et des aides techniques</w:t>
      </w:r>
      <w:r w:rsidR="00193C06">
        <w:rPr>
          <w:rFonts w:ascii="Arial" w:hAnsi="Arial" w:cs="Arial"/>
        </w:rPr>
        <w:t>. À mo</w:t>
      </w:r>
      <w:r w:rsidR="00437725">
        <w:rPr>
          <w:rFonts w:ascii="Arial" w:hAnsi="Arial" w:cs="Arial"/>
        </w:rPr>
        <w:t>ins que notre compréhension d</w:t>
      </w:r>
      <w:r w:rsidR="00193C06">
        <w:rPr>
          <w:rFonts w:ascii="Arial" w:hAnsi="Arial" w:cs="Arial"/>
        </w:rPr>
        <w:t xml:space="preserve">es exclusions amenées par le PL56 soit erronée, une telle baisse de surveillance dans ces domaines fait craindre une augmentation des coûts des réseaux de la santé et de l’éducation et donc, des impacts néfastes sur la qualité des services pour les personnes que nous représentons. </w:t>
      </w:r>
    </w:p>
    <w:p w14:paraId="459F2124" w14:textId="77777777" w:rsidR="001D049C" w:rsidRPr="00144C00" w:rsidRDefault="001D049C" w:rsidP="00235C50">
      <w:pPr>
        <w:spacing w:line="276" w:lineRule="auto"/>
        <w:rPr>
          <w:rFonts w:ascii="Arial" w:hAnsi="Arial" w:cs="Arial"/>
        </w:rPr>
      </w:pPr>
    </w:p>
    <w:p w14:paraId="2C2227EB" w14:textId="77777777" w:rsidR="00CB7233" w:rsidRDefault="00CB7233">
      <w:pPr>
        <w:rPr>
          <w:rFonts w:ascii="Arial" w:eastAsiaTheme="majorEastAsia" w:hAnsi="Arial" w:cstheme="majorBidi"/>
          <w:b/>
          <w:bCs/>
          <w:sz w:val="28"/>
          <w:szCs w:val="28"/>
        </w:rPr>
      </w:pPr>
      <w:r>
        <w:br w:type="page"/>
      </w:r>
    </w:p>
    <w:p w14:paraId="04C73D6B" w14:textId="2860FEF8" w:rsidR="006F61B3" w:rsidRPr="009A3134" w:rsidRDefault="006F61B3" w:rsidP="009A3134">
      <w:pPr>
        <w:pStyle w:val="Titre1"/>
      </w:pPr>
      <w:bookmarkStart w:id="25" w:name="_Toc442961252"/>
      <w:r w:rsidRPr="009A3134">
        <w:lastRenderedPageBreak/>
        <w:t>Conclusion</w:t>
      </w:r>
      <w:bookmarkEnd w:id="25"/>
      <w:r w:rsidR="009A3134" w:rsidRPr="009A3134">
        <w:t xml:space="preserve"> </w:t>
      </w:r>
    </w:p>
    <w:p w14:paraId="6A8BF574" w14:textId="6FD84601" w:rsidR="009A3134" w:rsidRDefault="00CB7233" w:rsidP="00235C50">
      <w:pPr>
        <w:spacing w:line="276" w:lineRule="auto"/>
        <w:rPr>
          <w:rFonts w:ascii="Arial" w:hAnsi="Arial" w:cs="Arial"/>
        </w:rPr>
      </w:pPr>
      <w:r w:rsidRPr="00CB7233">
        <w:rPr>
          <w:rFonts w:ascii="Arial" w:hAnsi="Arial" w:cs="Arial"/>
        </w:rPr>
        <w:t xml:space="preserve"> </w:t>
      </w:r>
    </w:p>
    <w:p w14:paraId="16545D34" w14:textId="1499201D" w:rsidR="009A3134" w:rsidRDefault="00746598" w:rsidP="00235C50">
      <w:pPr>
        <w:spacing w:line="276" w:lineRule="auto"/>
        <w:rPr>
          <w:rFonts w:ascii="Arial" w:hAnsi="Arial" w:cs="Arial"/>
        </w:rPr>
      </w:pPr>
      <w:r>
        <w:rPr>
          <w:rFonts w:ascii="Arial" w:hAnsi="Arial" w:cs="Arial"/>
        </w:rPr>
        <w:t xml:space="preserve">La COPHAN ainsi que les regroupements et associations qui la composent interpellent chaque jour des titulaires de charges publiques afin de les sensibiliser aux droits des personnes ayant des limitations fonctionnelles. </w:t>
      </w:r>
      <w:r w:rsidR="009F4B0A">
        <w:rPr>
          <w:rFonts w:ascii="Arial" w:hAnsi="Arial" w:cs="Arial"/>
        </w:rPr>
        <w:t xml:space="preserve">Il s’agit là de la raison d’être de nos organismes en défense collective des droits. Sans notre action et celles des autres OSBL, de nombreuses lois et politiques porteuses de changement social n’auraient pas vu le jour, dont la </w:t>
      </w:r>
      <w:hyperlink r:id="rId25" w:history="1">
        <w:r w:rsidR="009F4B0A" w:rsidRPr="009F4B0A">
          <w:rPr>
            <w:rStyle w:val="Lienhypertexte"/>
            <w:rFonts w:ascii="Arial" w:hAnsi="Arial" w:cs="Arial"/>
          </w:rPr>
          <w:t>Loi assurant l’exercice des droits des personnes handicapées en vue de leur intégration scolaire, professionnelle et sociale</w:t>
        </w:r>
      </w:hyperlink>
      <w:r w:rsidR="009F4B0A">
        <w:rPr>
          <w:rStyle w:val="Appelnotedebasdep"/>
          <w:rFonts w:ascii="Arial" w:hAnsi="Arial"/>
        </w:rPr>
        <w:footnoteReference w:id="3"/>
      </w:r>
      <w:r w:rsidR="009F4B0A">
        <w:rPr>
          <w:rFonts w:ascii="Arial" w:hAnsi="Arial" w:cs="Arial"/>
        </w:rPr>
        <w:t xml:space="preserve"> et la </w:t>
      </w:r>
      <w:hyperlink r:id="rId26" w:history="1">
        <w:r w:rsidR="009F4B0A" w:rsidRPr="009F4B0A">
          <w:rPr>
            <w:rStyle w:val="Lienhypertexte"/>
            <w:rFonts w:ascii="Arial" w:hAnsi="Arial" w:cs="Arial"/>
          </w:rPr>
          <w:t>Politique À part entière</w:t>
        </w:r>
      </w:hyperlink>
      <w:r w:rsidR="009F4B0A">
        <w:rPr>
          <w:rStyle w:val="Appelnotedebasdep"/>
          <w:rFonts w:ascii="Arial" w:hAnsi="Arial"/>
        </w:rPr>
        <w:footnoteReference w:id="4"/>
      </w:r>
      <w:r w:rsidR="009F4B0A">
        <w:rPr>
          <w:rFonts w:ascii="Arial" w:hAnsi="Arial" w:cs="Arial"/>
        </w:rPr>
        <w:t xml:space="preserve">.   </w:t>
      </w:r>
      <w:r>
        <w:rPr>
          <w:rFonts w:ascii="Arial" w:hAnsi="Arial" w:cs="Arial"/>
        </w:rPr>
        <w:t xml:space="preserve"> </w:t>
      </w:r>
    </w:p>
    <w:p w14:paraId="56EC3973" w14:textId="77777777" w:rsidR="00DA2CB9" w:rsidRDefault="00DA2CB9" w:rsidP="00235C50">
      <w:pPr>
        <w:spacing w:line="276" w:lineRule="auto"/>
        <w:rPr>
          <w:rFonts w:ascii="Arial" w:hAnsi="Arial" w:cs="Arial"/>
        </w:rPr>
      </w:pPr>
    </w:p>
    <w:p w14:paraId="7E2C355B" w14:textId="5C89BD21" w:rsidR="00EA7EDB" w:rsidRDefault="00DA2CB9" w:rsidP="00235C50">
      <w:pPr>
        <w:spacing w:line="276" w:lineRule="auto"/>
        <w:rPr>
          <w:rFonts w:ascii="Arial" w:hAnsi="Arial" w:cs="Arial"/>
        </w:rPr>
      </w:pPr>
      <w:r>
        <w:rPr>
          <w:rFonts w:ascii="Arial" w:hAnsi="Arial" w:cs="Arial"/>
        </w:rPr>
        <w:t xml:space="preserve">Le PL56 témoigne </w:t>
      </w:r>
      <w:proofErr w:type="gramStart"/>
      <w:r>
        <w:rPr>
          <w:rFonts w:ascii="Arial" w:hAnsi="Arial" w:cs="Arial"/>
        </w:rPr>
        <w:t>d’une</w:t>
      </w:r>
      <w:proofErr w:type="gramEnd"/>
      <w:r>
        <w:rPr>
          <w:rFonts w:ascii="Arial" w:hAnsi="Arial" w:cs="Arial"/>
        </w:rPr>
        <w:t xml:space="preserve"> bien mauvaise compréhension de la nature même de nos activités. Nos interventions auprès des titulaires de charges publiques ne sont pas des activités de </w:t>
      </w:r>
      <w:proofErr w:type="spellStart"/>
      <w:r>
        <w:rPr>
          <w:rFonts w:ascii="Arial" w:hAnsi="Arial" w:cs="Arial"/>
        </w:rPr>
        <w:t>lobbyisme</w:t>
      </w:r>
      <w:proofErr w:type="spellEnd"/>
      <w:r>
        <w:rPr>
          <w:rFonts w:ascii="Arial" w:hAnsi="Arial" w:cs="Arial"/>
        </w:rPr>
        <w:t>; elles relèvent</w:t>
      </w:r>
      <w:r w:rsidR="00EA7EDB">
        <w:rPr>
          <w:rFonts w:ascii="Arial" w:hAnsi="Arial" w:cs="Arial"/>
        </w:rPr>
        <w:t xml:space="preserve"> plutôt</w:t>
      </w:r>
      <w:r>
        <w:rPr>
          <w:rFonts w:ascii="Arial" w:hAnsi="Arial" w:cs="Arial"/>
        </w:rPr>
        <w:t xml:space="preserve"> de l’ordre</w:t>
      </w:r>
      <w:r w:rsidR="00EA7EDB">
        <w:rPr>
          <w:rFonts w:ascii="Arial" w:hAnsi="Arial" w:cs="Arial"/>
        </w:rPr>
        <w:t xml:space="preserve"> du sain </w:t>
      </w:r>
      <w:r>
        <w:rPr>
          <w:rFonts w:ascii="Arial" w:hAnsi="Arial" w:cs="Arial"/>
        </w:rPr>
        <w:t>exercice de droits fondamentaux, dont la liberté d’association et la liberté d’expression</w:t>
      </w:r>
      <w:r w:rsidR="00EA7EDB">
        <w:rPr>
          <w:rFonts w:ascii="Arial" w:hAnsi="Arial" w:cs="Arial"/>
        </w:rPr>
        <w:t>, ainsi que de la participation citoyenne nécessaire à une vie démocratique dynamique</w:t>
      </w:r>
      <w:r>
        <w:rPr>
          <w:rFonts w:ascii="Arial" w:hAnsi="Arial" w:cs="Arial"/>
        </w:rPr>
        <w:t xml:space="preserve">. </w:t>
      </w:r>
      <w:r w:rsidR="00EA7EDB">
        <w:rPr>
          <w:rFonts w:ascii="Arial" w:hAnsi="Arial" w:cs="Arial"/>
        </w:rPr>
        <w:t xml:space="preserve">Pour toutes les raisons mentionnées dans cet avis, l’adoption du PL56 serait un frein inacceptable à l’exercice des droits civils et politiques de milliers de citoyens. </w:t>
      </w:r>
    </w:p>
    <w:p w14:paraId="23FE106C" w14:textId="77777777" w:rsidR="00EA7EDB" w:rsidRDefault="00EA7EDB" w:rsidP="00235C50">
      <w:pPr>
        <w:spacing w:line="276" w:lineRule="auto"/>
        <w:rPr>
          <w:rFonts w:ascii="Arial" w:hAnsi="Arial" w:cs="Arial"/>
        </w:rPr>
      </w:pPr>
    </w:p>
    <w:p w14:paraId="02A22B9D" w14:textId="03AC455F" w:rsidR="00EA7EDB" w:rsidRDefault="00EA7EDB" w:rsidP="00235C50">
      <w:pPr>
        <w:spacing w:line="276" w:lineRule="auto"/>
        <w:rPr>
          <w:rFonts w:ascii="Arial" w:hAnsi="Arial" w:cs="Arial"/>
        </w:rPr>
      </w:pPr>
      <w:r>
        <w:rPr>
          <w:rFonts w:ascii="Arial" w:hAnsi="Arial" w:cs="Arial"/>
        </w:rPr>
        <w:t xml:space="preserve">La COPHAN ne peut être qu’en accord avec l’objectif de transparence visé par la Loi, mais elle est d’avis que l’assujettissement de tous les OSBL à la Loi sur le </w:t>
      </w:r>
      <w:proofErr w:type="spellStart"/>
      <w:r>
        <w:rPr>
          <w:rFonts w:ascii="Arial" w:hAnsi="Arial" w:cs="Arial"/>
        </w:rPr>
        <w:t>lobbyisme</w:t>
      </w:r>
      <w:proofErr w:type="spellEnd"/>
      <w:r>
        <w:rPr>
          <w:rFonts w:ascii="Arial" w:hAnsi="Arial" w:cs="Arial"/>
        </w:rPr>
        <w:t xml:space="preserve"> ne contribuera pas de façon significative à la réalisation de cet objectif et pourrait même avoir l’effet contraire. D’autres dispositions du PL56, notamment en ce qui concerne les exclusions dans les réseaux de la santé et de l’éducation, représentent à notre avis une menace au droit du public de savoir.</w:t>
      </w:r>
    </w:p>
    <w:p w14:paraId="64C8B3AF" w14:textId="77777777" w:rsidR="00EA7EDB" w:rsidRDefault="00EA7EDB" w:rsidP="00235C50">
      <w:pPr>
        <w:spacing w:line="276" w:lineRule="auto"/>
        <w:rPr>
          <w:rFonts w:ascii="Arial" w:hAnsi="Arial" w:cs="Arial"/>
        </w:rPr>
      </w:pPr>
    </w:p>
    <w:p w14:paraId="089E9D1F" w14:textId="194EEB79" w:rsidR="00DA2CB9" w:rsidRDefault="00DA2CB9" w:rsidP="00235C50">
      <w:pPr>
        <w:spacing w:line="276" w:lineRule="auto"/>
        <w:rPr>
          <w:rFonts w:ascii="Arial" w:hAnsi="Arial" w:cs="Arial"/>
          <w:b/>
        </w:rPr>
      </w:pPr>
      <w:r>
        <w:rPr>
          <w:rFonts w:ascii="Arial" w:hAnsi="Arial" w:cs="Arial"/>
        </w:rPr>
        <w:t xml:space="preserve">Assujettir l’ensemble des OSBL québécois à la Loi sur le </w:t>
      </w:r>
      <w:proofErr w:type="spellStart"/>
      <w:r>
        <w:rPr>
          <w:rFonts w:ascii="Arial" w:hAnsi="Arial" w:cs="Arial"/>
        </w:rPr>
        <w:t>lobbyisme</w:t>
      </w:r>
      <w:proofErr w:type="spellEnd"/>
      <w:r>
        <w:rPr>
          <w:rFonts w:ascii="Arial" w:hAnsi="Arial" w:cs="Arial"/>
        </w:rPr>
        <w:t xml:space="preserve"> aurait des </w:t>
      </w:r>
      <w:r w:rsidR="00EA7EDB">
        <w:rPr>
          <w:rFonts w:ascii="Arial" w:hAnsi="Arial" w:cs="Arial"/>
        </w:rPr>
        <w:t>impacts</w:t>
      </w:r>
      <w:r>
        <w:rPr>
          <w:rFonts w:ascii="Arial" w:hAnsi="Arial" w:cs="Arial"/>
        </w:rPr>
        <w:t xml:space="preserve"> désastreux sur le milieu communautaire et, par ricochet, sur le bien-être de la population. </w:t>
      </w:r>
      <w:r w:rsidR="00EA7EDB">
        <w:rPr>
          <w:rFonts w:ascii="Arial" w:hAnsi="Arial" w:cs="Arial"/>
        </w:rPr>
        <w:t>C’est pourquoi la COPHAN n’émet qu’une seule recommandation dans le cadre du présent exercice de consultation :</w:t>
      </w:r>
    </w:p>
    <w:p w14:paraId="3D88433F" w14:textId="77777777" w:rsidR="009A3134" w:rsidRDefault="009A3134" w:rsidP="00235C50">
      <w:pPr>
        <w:spacing w:line="276" w:lineRule="auto"/>
        <w:rPr>
          <w:rFonts w:ascii="Arial" w:hAnsi="Arial" w:cs="Arial"/>
          <w:b/>
        </w:rPr>
      </w:pPr>
    </w:p>
    <w:p w14:paraId="26863BB2" w14:textId="40982EA9" w:rsidR="009A3134" w:rsidRPr="00EA7EDB" w:rsidRDefault="009A3134" w:rsidP="00EA7EDB">
      <w:pPr>
        <w:pStyle w:val="Paragraphedeliste"/>
        <w:numPr>
          <w:ilvl w:val="0"/>
          <w:numId w:val="6"/>
        </w:numPr>
        <w:spacing w:line="276" w:lineRule="auto"/>
        <w:rPr>
          <w:rFonts w:ascii="Arial" w:hAnsi="Arial" w:cs="Arial"/>
          <w:b/>
        </w:rPr>
      </w:pPr>
      <w:r w:rsidRPr="00EA7EDB">
        <w:rPr>
          <w:rFonts w:ascii="Arial" w:hAnsi="Arial" w:cs="Arial"/>
          <w:b/>
        </w:rPr>
        <w:t xml:space="preserve">Que le projet de loi 56 : Loi sur la transparence en matière de </w:t>
      </w:r>
      <w:proofErr w:type="spellStart"/>
      <w:r w:rsidRPr="00EA7EDB">
        <w:rPr>
          <w:rFonts w:ascii="Arial" w:hAnsi="Arial" w:cs="Arial"/>
          <w:b/>
        </w:rPr>
        <w:t>lobbyisme</w:t>
      </w:r>
      <w:proofErr w:type="spellEnd"/>
      <w:r w:rsidRPr="00EA7EDB">
        <w:rPr>
          <w:rFonts w:ascii="Arial" w:hAnsi="Arial" w:cs="Arial"/>
          <w:b/>
        </w:rPr>
        <w:t xml:space="preserve"> soit rejeté, de même que toute autre tentative d’assujettir l’ensemble des OSBL québécois à la Loi sur le </w:t>
      </w:r>
      <w:proofErr w:type="spellStart"/>
      <w:r w:rsidRPr="00EA7EDB">
        <w:rPr>
          <w:rFonts w:ascii="Arial" w:hAnsi="Arial" w:cs="Arial"/>
          <w:b/>
        </w:rPr>
        <w:t>lobbyisme</w:t>
      </w:r>
      <w:proofErr w:type="spellEnd"/>
      <w:r w:rsidRPr="00EA7EDB">
        <w:rPr>
          <w:rFonts w:ascii="Arial" w:hAnsi="Arial" w:cs="Arial"/>
          <w:b/>
        </w:rPr>
        <w:t>.</w:t>
      </w:r>
    </w:p>
    <w:p w14:paraId="3ADAAF2D" w14:textId="77777777" w:rsidR="00886FDF" w:rsidRDefault="00886FDF" w:rsidP="00235C50">
      <w:pPr>
        <w:spacing w:line="276" w:lineRule="auto"/>
      </w:pPr>
    </w:p>
    <w:sectPr w:rsidR="00886FDF" w:rsidSect="00E43F59">
      <w:type w:val="continuous"/>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67EC0" w14:textId="77777777" w:rsidR="00C95D7F" w:rsidRDefault="00C95D7F" w:rsidP="00E43F59">
      <w:r>
        <w:separator/>
      </w:r>
    </w:p>
  </w:endnote>
  <w:endnote w:type="continuationSeparator" w:id="0">
    <w:p w14:paraId="1A21DC07" w14:textId="77777777" w:rsidR="00C95D7F" w:rsidRDefault="00C95D7F" w:rsidP="00E4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5FA7" w14:textId="77777777" w:rsidR="00E90FD0" w:rsidRDefault="00E90FD0" w:rsidP="00E43F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3F4B62" w14:textId="77777777" w:rsidR="00E90FD0" w:rsidRDefault="00E90FD0" w:rsidP="00E43F59">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383BAD8B" w14:textId="77777777" w:rsidR="00E90FD0" w:rsidRDefault="00E90FD0" w:rsidP="00E43F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C184" w14:textId="77777777" w:rsidR="00E12639" w:rsidRDefault="00E1263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6D33" w14:textId="77777777" w:rsidR="00E12639" w:rsidRDefault="00E1263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647C" w14:textId="77777777" w:rsidR="00E90FD0" w:rsidRDefault="00E90FD0">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EA11" w14:textId="77777777" w:rsidR="00E90FD0" w:rsidRDefault="00E90FD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1216" w14:textId="77777777" w:rsidR="00E90FD0" w:rsidRDefault="00E90FD0" w:rsidP="00E43F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0C02">
      <w:rPr>
        <w:rStyle w:val="Numrodepage"/>
        <w:noProof/>
      </w:rPr>
      <w:t>7</w:t>
    </w:r>
    <w:r>
      <w:rPr>
        <w:rStyle w:val="Numrodepage"/>
      </w:rPr>
      <w:fldChar w:fldCharType="end"/>
    </w:r>
  </w:p>
  <w:p w14:paraId="20BAB707" w14:textId="77777777" w:rsidR="00E90FD0" w:rsidRDefault="00E90FD0" w:rsidP="00E43F5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E0DE" w14:textId="77777777" w:rsidR="00C95D7F" w:rsidRDefault="00C95D7F" w:rsidP="00E43F59">
      <w:r>
        <w:separator/>
      </w:r>
    </w:p>
  </w:footnote>
  <w:footnote w:type="continuationSeparator" w:id="0">
    <w:p w14:paraId="1846F8CB" w14:textId="77777777" w:rsidR="00C95D7F" w:rsidRDefault="00C95D7F" w:rsidP="00E43F59">
      <w:r>
        <w:continuationSeparator/>
      </w:r>
    </w:p>
  </w:footnote>
  <w:footnote w:id="1">
    <w:p w14:paraId="400CAF84" w14:textId="6E32812A" w:rsidR="00E75783" w:rsidRDefault="00E75783">
      <w:pPr>
        <w:pStyle w:val="Notedebasdepage"/>
      </w:pPr>
      <w:r>
        <w:rPr>
          <w:rStyle w:val="Appelnotedebasdep"/>
        </w:rPr>
        <w:footnoteRef/>
      </w:r>
      <w:r>
        <w:t xml:space="preserve"> </w:t>
      </w:r>
      <w:r w:rsidRPr="00E75783">
        <w:rPr>
          <w:rFonts w:ascii="Arial" w:eastAsiaTheme="majorEastAsia" w:hAnsi="Arial" w:cs="Arial"/>
          <w:bCs/>
          <w:color w:val="000000" w:themeColor="text1"/>
        </w:rPr>
        <w:t xml:space="preserve">Loi sur la transparence et l’éthique en matière de </w:t>
      </w:r>
      <w:proofErr w:type="spellStart"/>
      <w:r w:rsidRPr="00E75783">
        <w:rPr>
          <w:rFonts w:ascii="Arial" w:eastAsiaTheme="majorEastAsia" w:hAnsi="Arial" w:cs="Arial"/>
          <w:bCs/>
          <w:color w:val="000000" w:themeColor="text1"/>
        </w:rPr>
        <w:t>lobbyisme</w:t>
      </w:r>
      <w:proofErr w:type="spellEnd"/>
      <w:r w:rsidRPr="00E75783">
        <w:rPr>
          <w:rFonts w:ascii="Arial" w:eastAsiaTheme="majorEastAsia" w:hAnsi="Arial" w:cs="Arial"/>
          <w:bCs/>
          <w:color w:val="000000" w:themeColor="text1"/>
        </w:rPr>
        <w:t xml:space="preserve"> </w:t>
      </w:r>
      <w:r>
        <w:rPr>
          <w:rFonts w:ascii="Arial" w:eastAsiaTheme="majorEastAsia" w:hAnsi="Arial" w:cs="Arial"/>
          <w:bCs/>
          <w:color w:val="000000" w:themeColor="text1"/>
        </w:rPr>
        <w:t>(</w:t>
      </w:r>
      <w:r w:rsidRPr="00E75783">
        <w:rPr>
          <w:rFonts w:ascii="Arial" w:hAnsi="Arial" w:cs="Arial"/>
          <w:color w:val="000000"/>
        </w:rPr>
        <w:t>chapitre T-11.011</w:t>
      </w:r>
      <w:r>
        <w:rPr>
          <w:rFonts w:ascii="Arial" w:hAnsi="Arial" w:cs="Arial"/>
          <w:color w:val="000000"/>
        </w:rPr>
        <w:t>)</w:t>
      </w:r>
    </w:p>
  </w:footnote>
  <w:footnote w:id="2">
    <w:p w14:paraId="66A4901D" w14:textId="29F0EFDB" w:rsidR="00E90FD0" w:rsidRDefault="00E90FD0" w:rsidP="00E43F59">
      <w:pPr>
        <w:pStyle w:val="Notedebasdepage"/>
      </w:pPr>
      <w:r>
        <w:rPr>
          <w:rStyle w:val="Appelnotedebasdep"/>
        </w:rPr>
        <w:footnoteRef/>
      </w:r>
      <w:r>
        <w:t xml:space="preserve"> </w:t>
      </w:r>
      <w:r w:rsidR="00E75783">
        <w:t xml:space="preserve">Gouvernement du Québec </w:t>
      </w:r>
      <w:r w:rsidR="006B0E60">
        <w:t xml:space="preserve">– Ministère de la Justice (2007). </w:t>
      </w:r>
      <w:r w:rsidR="00E75783">
        <w:t xml:space="preserve">Rapport sur la mise en œuvre de la Loi sur la transparence et l’éthique en matière de </w:t>
      </w:r>
      <w:proofErr w:type="spellStart"/>
      <w:r w:rsidR="00E75783">
        <w:t>lobbyisme</w:t>
      </w:r>
      <w:proofErr w:type="spellEnd"/>
      <w:r w:rsidR="00E75783">
        <w:t xml:space="preserve"> et du Code de déontologie des lobbyistes</w:t>
      </w:r>
      <w:r w:rsidR="006B0E60">
        <w:t xml:space="preserve">, p.15.        </w:t>
      </w:r>
      <w:r w:rsidR="00E75783">
        <w:t xml:space="preserve"> [En ligne] </w:t>
      </w:r>
      <w:hyperlink r:id="rId1" w:history="1">
        <w:r w:rsidR="00E75783" w:rsidRPr="00A93034">
          <w:rPr>
            <w:rStyle w:val="Lienhypertexte"/>
          </w:rPr>
          <w:t>http://www.justice.gouv.qc.ca/francais/publications/rapports/pdf/rapp-lobby.pdf</w:t>
        </w:r>
      </w:hyperlink>
      <w:r w:rsidR="00E75783">
        <w:t xml:space="preserve"> </w:t>
      </w:r>
    </w:p>
  </w:footnote>
  <w:footnote w:id="3">
    <w:p w14:paraId="6C78FD9E" w14:textId="344508AD" w:rsidR="009F4B0A" w:rsidRDefault="009F4B0A">
      <w:pPr>
        <w:pStyle w:val="Notedebasdepage"/>
      </w:pPr>
      <w:r>
        <w:rPr>
          <w:rStyle w:val="Appelnotedebasdep"/>
        </w:rPr>
        <w:footnoteRef/>
      </w:r>
      <w:r>
        <w:t xml:space="preserve"> </w:t>
      </w:r>
      <w:hyperlink r:id="rId2" w:history="1">
        <w:r w:rsidRPr="009F4B0A">
          <w:rPr>
            <w:rStyle w:val="Lienhypertexte"/>
            <w:rFonts w:ascii="Arial" w:hAnsi="Arial" w:cs="Arial"/>
            <w:color w:val="auto"/>
            <w:u w:val="none"/>
          </w:rPr>
          <w:t>Loi assurant l’exercice des droits des personnes handicapées en vue de leur intégration scolaire, professionnelle et sociale</w:t>
        </w:r>
      </w:hyperlink>
      <w:r w:rsidRPr="009F4B0A">
        <w:rPr>
          <w:rFonts w:ascii="Arial" w:hAnsi="Arial" w:cs="Arial"/>
        </w:rPr>
        <w:t xml:space="preserve"> (chapitre</w:t>
      </w:r>
      <w:r w:rsidR="0065675A">
        <w:rPr>
          <w:rFonts w:ascii="Arial" w:hAnsi="Arial" w:cs="Arial"/>
        </w:rPr>
        <w:t> </w:t>
      </w:r>
      <w:r w:rsidRPr="009F4B0A">
        <w:rPr>
          <w:rFonts w:ascii="Arial" w:hAnsi="Arial" w:cs="Arial"/>
        </w:rPr>
        <w:t>E-20.1)</w:t>
      </w:r>
      <w:r>
        <w:rPr>
          <w:rFonts w:ascii="Arial" w:hAnsi="Arial" w:cs="Arial"/>
        </w:rPr>
        <w:t>.</w:t>
      </w:r>
    </w:p>
  </w:footnote>
  <w:footnote w:id="4">
    <w:p w14:paraId="5171A9FD" w14:textId="32EA658B" w:rsidR="009F4B0A" w:rsidRDefault="009F4B0A" w:rsidP="00DA2CB9">
      <w:pPr>
        <w:pStyle w:val="Notedebasd"/>
      </w:pPr>
      <w:r>
        <w:rPr>
          <w:rStyle w:val="Appelnotedebasdep"/>
        </w:rPr>
        <w:footnoteRef/>
      </w:r>
      <w:r>
        <w:t xml:space="preserve"> </w:t>
      </w:r>
      <w:r w:rsidR="00DA2CB9">
        <w:t>Office des personnes handicapées du Québec, Gouvernement du Québec (2009). À part entière : pour un véritable exercice du droit à l’égalité. Politique gouvernementale pour accroître la participation sociale des personnes handicapées. Drummondville, Québec, 67</w:t>
      </w:r>
      <w:r w:rsidR="0065675A">
        <w:t> </w:t>
      </w:r>
      <w:r w:rsidR="00DA2CB9">
        <w: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D093" w14:textId="77777777" w:rsidR="00E12639" w:rsidRDefault="00E126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EC27" w14:textId="77777777" w:rsidR="00E12639" w:rsidRDefault="00E1263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AF3E" w14:textId="77777777" w:rsidR="00E12639" w:rsidRDefault="00E1263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DBD9" w14:textId="77777777" w:rsidR="00E90FD0" w:rsidRDefault="00E90FD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F3D4" w14:textId="77777777" w:rsidR="00E90FD0" w:rsidRDefault="00E90FD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F30D" w14:textId="77777777" w:rsidR="00E90FD0" w:rsidRDefault="00E90F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D43"/>
    <w:multiLevelType w:val="hybridMultilevel"/>
    <w:tmpl w:val="A03CBD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C886143"/>
    <w:multiLevelType w:val="hybridMultilevel"/>
    <w:tmpl w:val="99782662"/>
    <w:lvl w:ilvl="0" w:tplc="36C6B4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20479"/>
    <w:multiLevelType w:val="hybridMultilevel"/>
    <w:tmpl w:val="53205994"/>
    <w:lvl w:ilvl="0" w:tplc="5608D9A0">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B896965"/>
    <w:multiLevelType w:val="hybridMultilevel"/>
    <w:tmpl w:val="1EA03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5030043"/>
    <w:multiLevelType w:val="hybridMultilevel"/>
    <w:tmpl w:val="8A844E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ED94B86"/>
    <w:multiLevelType w:val="hybridMultilevel"/>
    <w:tmpl w:val="A38232F6"/>
    <w:lvl w:ilvl="0" w:tplc="9E2CAA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DF"/>
    <w:rsid w:val="000B2BC0"/>
    <w:rsid w:val="00144C00"/>
    <w:rsid w:val="00193C06"/>
    <w:rsid w:val="001D049C"/>
    <w:rsid w:val="00235C50"/>
    <w:rsid w:val="00291267"/>
    <w:rsid w:val="00304DFF"/>
    <w:rsid w:val="00410C02"/>
    <w:rsid w:val="00437725"/>
    <w:rsid w:val="005F6AB7"/>
    <w:rsid w:val="0065675A"/>
    <w:rsid w:val="006B0E60"/>
    <w:rsid w:val="006E03EC"/>
    <w:rsid w:val="006E60C2"/>
    <w:rsid w:val="006F61B3"/>
    <w:rsid w:val="00746598"/>
    <w:rsid w:val="00886FDF"/>
    <w:rsid w:val="008F6D01"/>
    <w:rsid w:val="009A3134"/>
    <w:rsid w:val="009A6A76"/>
    <w:rsid w:val="009F4B0A"/>
    <w:rsid w:val="00B451F3"/>
    <w:rsid w:val="00C460A8"/>
    <w:rsid w:val="00C95D7F"/>
    <w:rsid w:val="00CB7233"/>
    <w:rsid w:val="00DA2CB9"/>
    <w:rsid w:val="00E12639"/>
    <w:rsid w:val="00E43F59"/>
    <w:rsid w:val="00E75783"/>
    <w:rsid w:val="00E90FD0"/>
    <w:rsid w:val="00EA7EDB"/>
    <w:rsid w:val="00F67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2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1">
    <w:name w:val="heading 1"/>
    <w:basedOn w:val="Normal"/>
    <w:next w:val="Normal"/>
    <w:link w:val="Titre1Car"/>
    <w:uiPriority w:val="99"/>
    <w:qFormat/>
    <w:rsid w:val="00304DFF"/>
    <w:pPr>
      <w:keepNext/>
      <w:keepLines/>
      <w:spacing w:before="480" w:line="276" w:lineRule="auto"/>
      <w:outlineLvl w:val="0"/>
    </w:pPr>
    <w:rPr>
      <w:rFonts w:ascii="Arial" w:eastAsiaTheme="majorEastAsia" w:hAnsi="Arial" w:cstheme="majorBidi"/>
      <w:b/>
      <w:bCs/>
      <w:sz w:val="28"/>
      <w:szCs w:val="28"/>
    </w:rPr>
  </w:style>
  <w:style w:type="paragraph" w:styleId="Titre2">
    <w:name w:val="heading 2"/>
    <w:basedOn w:val="Normal"/>
    <w:next w:val="Normal"/>
    <w:link w:val="Titre2Car"/>
    <w:uiPriority w:val="99"/>
    <w:unhideWhenUsed/>
    <w:qFormat/>
    <w:rsid w:val="00F67061"/>
    <w:pPr>
      <w:keepNext/>
      <w:keepLines/>
      <w:spacing w:before="200" w:line="276" w:lineRule="auto"/>
      <w:ind w:left="708"/>
      <w:outlineLvl w:val="1"/>
    </w:pPr>
    <w:rPr>
      <w:rFonts w:ascii="Arial" w:eastAsiaTheme="majorEastAsia" w:hAnsi="Arial"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6FDF"/>
    <w:pPr>
      <w:ind w:left="720"/>
      <w:contextualSpacing/>
    </w:pPr>
  </w:style>
  <w:style w:type="character" w:customStyle="1" w:styleId="Titre1Car">
    <w:name w:val="Titre 1 Car"/>
    <w:basedOn w:val="Policepardfaut"/>
    <w:link w:val="Titre1"/>
    <w:uiPriority w:val="99"/>
    <w:rsid w:val="00304DFF"/>
    <w:rPr>
      <w:rFonts w:ascii="Arial" w:eastAsiaTheme="majorEastAsia" w:hAnsi="Arial" w:cstheme="majorBidi"/>
      <w:b/>
      <w:bCs/>
      <w:sz w:val="28"/>
      <w:szCs w:val="28"/>
      <w:lang w:val="fr-CA"/>
    </w:rPr>
  </w:style>
  <w:style w:type="character" w:customStyle="1" w:styleId="Titre2Car">
    <w:name w:val="Titre 2 Car"/>
    <w:basedOn w:val="Policepardfaut"/>
    <w:link w:val="Titre2"/>
    <w:uiPriority w:val="99"/>
    <w:rsid w:val="00F67061"/>
    <w:rPr>
      <w:rFonts w:ascii="Arial" w:eastAsiaTheme="majorEastAsia" w:hAnsi="Arial" w:cstheme="majorBidi"/>
      <w:b/>
      <w:bCs/>
      <w:color w:val="000000" w:themeColor="text1"/>
      <w:szCs w:val="26"/>
      <w:lang w:val="fr-CA"/>
    </w:rPr>
  </w:style>
  <w:style w:type="paragraph" w:styleId="TM2">
    <w:name w:val="toc 2"/>
    <w:basedOn w:val="Normal"/>
    <w:next w:val="Normal"/>
    <w:autoRedefine/>
    <w:uiPriority w:val="39"/>
    <w:rsid w:val="00F67061"/>
    <w:pPr>
      <w:ind w:left="240"/>
    </w:pPr>
    <w:rPr>
      <w:b/>
      <w:sz w:val="22"/>
      <w:szCs w:val="22"/>
    </w:rPr>
  </w:style>
  <w:style w:type="paragraph" w:styleId="TM1">
    <w:name w:val="toc 1"/>
    <w:basedOn w:val="Normal"/>
    <w:next w:val="Normal"/>
    <w:autoRedefine/>
    <w:uiPriority w:val="39"/>
    <w:rsid w:val="00F67061"/>
    <w:pPr>
      <w:spacing w:before="120"/>
    </w:pPr>
    <w:rPr>
      <w:b/>
    </w:rPr>
  </w:style>
  <w:style w:type="character" w:styleId="Lienhypertexte">
    <w:name w:val="Hyperlink"/>
    <w:basedOn w:val="Policepardfaut"/>
    <w:uiPriority w:val="99"/>
    <w:unhideWhenUsed/>
    <w:rsid w:val="00F67061"/>
    <w:rPr>
      <w:color w:val="0000FF" w:themeColor="hyperlink"/>
      <w:u w:val="single"/>
    </w:rPr>
  </w:style>
  <w:style w:type="paragraph" w:styleId="En-tte">
    <w:name w:val="header"/>
    <w:basedOn w:val="Normal"/>
    <w:link w:val="En-tteCar"/>
    <w:uiPriority w:val="99"/>
    <w:unhideWhenUsed/>
    <w:rsid w:val="00F67061"/>
    <w:pPr>
      <w:tabs>
        <w:tab w:val="center" w:pos="4320"/>
        <w:tab w:val="right" w:pos="8640"/>
      </w:tabs>
    </w:pPr>
    <w:rPr>
      <w:rFonts w:ascii="Arial" w:eastAsiaTheme="minorHAnsi" w:hAnsi="Arial" w:cs="Arial"/>
      <w:color w:val="000000"/>
    </w:rPr>
  </w:style>
  <w:style w:type="character" w:customStyle="1" w:styleId="En-tteCar">
    <w:name w:val="En-tête Car"/>
    <w:basedOn w:val="Policepardfaut"/>
    <w:link w:val="En-tte"/>
    <w:uiPriority w:val="99"/>
    <w:rsid w:val="00F67061"/>
    <w:rPr>
      <w:rFonts w:ascii="Arial" w:eastAsiaTheme="minorHAnsi" w:hAnsi="Arial" w:cs="Arial"/>
      <w:color w:val="000000"/>
      <w:lang w:val="fr-CA"/>
    </w:rPr>
  </w:style>
  <w:style w:type="paragraph" w:styleId="Pieddepage">
    <w:name w:val="footer"/>
    <w:basedOn w:val="Normal"/>
    <w:link w:val="PieddepageCar"/>
    <w:uiPriority w:val="99"/>
    <w:unhideWhenUsed/>
    <w:rsid w:val="00F67061"/>
    <w:pPr>
      <w:tabs>
        <w:tab w:val="center" w:pos="4320"/>
        <w:tab w:val="right" w:pos="8640"/>
      </w:tabs>
    </w:pPr>
    <w:rPr>
      <w:rFonts w:ascii="Arial" w:eastAsiaTheme="minorHAnsi" w:hAnsi="Arial" w:cs="Arial"/>
      <w:color w:val="000000"/>
    </w:rPr>
  </w:style>
  <w:style w:type="character" w:customStyle="1" w:styleId="PieddepageCar">
    <w:name w:val="Pied de page Car"/>
    <w:basedOn w:val="Policepardfaut"/>
    <w:link w:val="Pieddepage"/>
    <w:uiPriority w:val="99"/>
    <w:rsid w:val="00F67061"/>
    <w:rPr>
      <w:rFonts w:ascii="Arial" w:eastAsiaTheme="minorHAnsi" w:hAnsi="Arial" w:cs="Arial"/>
      <w:color w:val="000000"/>
      <w:lang w:val="fr-CA"/>
    </w:rPr>
  </w:style>
  <w:style w:type="paragraph" w:styleId="En-ttedetabledesmatires">
    <w:name w:val="TOC Heading"/>
    <w:basedOn w:val="Titre1"/>
    <w:next w:val="Normal"/>
    <w:uiPriority w:val="39"/>
    <w:unhideWhenUsed/>
    <w:qFormat/>
    <w:rsid w:val="00F67061"/>
    <w:pPr>
      <w:outlineLvl w:val="9"/>
    </w:pPr>
    <w:rPr>
      <w:rFonts w:asciiTheme="majorHAnsi" w:hAnsiTheme="majorHAnsi"/>
      <w:color w:val="365F91" w:themeColor="accent1" w:themeShade="BF"/>
      <w:lang w:val="en-US"/>
    </w:rPr>
  </w:style>
  <w:style w:type="paragraph" w:styleId="Textedebulles">
    <w:name w:val="Balloon Text"/>
    <w:basedOn w:val="Normal"/>
    <w:link w:val="TextedebullesCar"/>
    <w:uiPriority w:val="99"/>
    <w:semiHidden/>
    <w:unhideWhenUsed/>
    <w:rsid w:val="00F67061"/>
    <w:rPr>
      <w:rFonts w:ascii="Lucida Grande" w:hAnsi="Lucida Grande"/>
      <w:sz w:val="18"/>
      <w:szCs w:val="18"/>
    </w:rPr>
  </w:style>
  <w:style w:type="character" w:customStyle="1" w:styleId="TextedebullesCar">
    <w:name w:val="Texte de bulles Car"/>
    <w:basedOn w:val="Policepardfaut"/>
    <w:link w:val="Textedebulles"/>
    <w:uiPriority w:val="99"/>
    <w:semiHidden/>
    <w:rsid w:val="00F67061"/>
    <w:rPr>
      <w:rFonts w:ascii="Lucida Grande" w:hAnsi="Lucida Grande"/>
      <w:sz w:val="18"/>
      <w:szCs w:val="18"/>
      <w:lang w:val="fr-CA"/>
    </w:rPr>
  </w:style>
  <w:style w:type="paragraph" w:styleId="TM3">
    <w:name w:val="toc 3"/>
    <w:basedOn w:val="Normal"/>
    <w:next w:val="Normal"/>
    <w:autoRedefine/>
    <w:uiPriority w:val="39"/>
    <w:unhideWhenUsed/>
    <w:rsid w:val="009A3134"/>
    <w:pPr>
      <w:ind w:left="480"/>
    </w:pPr>
    <w:rPr>
      <w:sz w:val="22"/>
      <w:szCs w:val="22"/>
    </w:rPr>
  </w:style>
  <w:style w:type="paragraph" w:styleId="TM4">
    <w:name w:val="toc 4"/>
    <w:basedOn w:val="Normal"/>
    <w:next w:val="Normal"/>
    <w:autoRedefine/>
    <w:uiPriority w:val="39"/>
    <w:semiHidden/>
    <w:unhideWhenUsed/>
    <w:rsid w:val="009A3134"/>
    <w:pPr>
      <w:ind w:left="720"/>
    </w:pPr>
    <w:rPr>
      <w:sz w:val="20"/>
      <w:szCs w:val="20"/>
    </w:rPr>
  </w:style>
  <w:style w:type="paragraph" w:styleId="TM5">
    <w:name w:val="toc 5"/>
    <w:basedOn w:val="Normal"/>
    <w:next w:val="Normal"/>
    <w:autoRedefine/>
    <w:uiPriority w:val="39"/>
    <w:semiHidden/>
    <w:unhideWhenUsed/>
    <w:rsid w:val="009A3134"/>
    <w:pPr>
      <w:ind w:left="960"/>
    </w:pPr>
    <w:rPr>
      <w:sz w:val="20"/>
      <w:szCs w:val="20"/>
    </w:rPr>
  </w:style>
  <w:style w:type="paragraph" w:styleId="TM6">
    <w:name w:val="toc 6"/>
    <w:basedOn w:val="Normal"/>
    <w:next w:val="Normal"/>
    <w:autoRedefine/>
    <w:uiPriority w:val="39"/>
    <w:semiHidden/>
    <w:unhideWhenUsed/>
    <w:rsid w:val="009A3134"/>
    <w:pPr>
      <w:ind w:left="1200"/>
    </w:pPr>
    <w:rPr>
      <w:sz w:val="20"/>
      <w:szCs w:val="20"/>
    </w:rPr>
  </w:style>
  <w:style w:type="paragraph" w:styleId="TM7">
    <w:name w:val="toc 7"/>
    <w:basedOn w:val="Normal"/>
    <w:next w:val="Normal"/>
    <w:autoRedefine/>
    <w:uiPriority w:val="39"/>
    <w:semiHidden/>
    <w:unhideWhenUsed/>
    <w:rsid w:val="009A3134"/>
    <w:pPr>
      <w:ind w:left="1440"/>
    </w:pPr>
    <w:rPr>
      <w:sz w:val="20"/>
      <w:szCs w:val="20"/>
    </w:rPr>
  </w:style>
  <w:style w:type="paragraph" w:styleId="TM8">
    <w:name w:val="toc 8"/>
    <w:basedOn w:val="Normal"/>
    <w:next w:val="Normal"/>
    <w:autoRedefine/>
    <w:uiPriority w:val="39"/>
    <w:semiHidden/>
    <w:unhideWhenUsed/>
    <w:rsid w:val="009A3134"/>
    <w:pPr>
      <w:ind w:left="1680"/>
    </w:pPr>
    <w:rPr>
      <w:sz w:val="20"/>
      <w:szCs w:val="20"/>
    </w:rPr>
  </w:style>
  <w:style w:type="paragraph" w:styleId="TM9">
    <w:name w:val="toc 9"/>
    <w:basedOn w:val="Normal"/>
    <w:next w:val="Normal"/>
    <w:autoRedefine/>
    <w:uiPriority w:val="39"/>
    <w:semiHidden/>
    <w:unhideWhenUsed/>
    <w:rsid w:val="009A3134"/>
    <w:pPr>
      <w:ind w:left="1920"/>
    </w:pPr>
    <w:rPr>
      <w:sz w:val="20"/>
      <w:szCs w:val="20"/>
    </w:rPr>
  </w:style>
  <w:style w:type="character" w:styleId="Lienhypertextesuivivisit">
    <w:name w:val="FollowedHyperlink"/>
    <w:basedOn w:val="Policepardfaut"/>
    <w:uiPriority w:val="99"/>
    <w:semiHidden/>
    <w:unhideWhenUsed/>
    <w:rsid w:val="009A3134"/>
    <w:rPr>
      <w:color w:val="800080" w:themeColor="followedHyperlink"/>
      <w:u w:val="single"/>
    </w:rPr>
  </w:style>
  <w:style w:type="character" w:styleId="Numrodepage">
    <w:name w:val="page number"/>
    <w:basedOn w:val="Policepardfaut"/>
    <w:uiPriority w:val="99"/>
    <w:semiHidden/>
    <w:unhideWhenUsed/>
    <w:rsid w:val="00E43F59"/>
  </w:style>
  <w:style w:type="paragraph" w:styleId="Notedebasdepage">
    <w:name w:val="footnote text"/>
    <w:basedOn w:val="Normal"/>
    <w:link w:val="NotedebasdepageCar"/>
    <w:uiPriority w:val="99"/>
    <w:semiHidden/>
    <w:rsid w:val="00E43F59"/>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43F59"/>
    <w:rPr>
      <w:rFonts w:ascii="Calibri" w:eastAsia="Calibri" w:hAnsi="Calibri" w:cs="Times New Roman"/>
      <w:sz w:val="20"/>
      <w:szCs w:val="20"/>
      <w:lang w:val="fr-CA"/>
    </w:rPr>
  </w:style>
  <w:style w:type="character" w:styleId="Appelnotedebasdep">
    <w:name w:val="footnote reference"/>
    <w:uiPriority w:val="99"/>
    <w:semiHidden/>
    <w:rsid w:val="00E43F59"/>
    <w:rPr>
      <w:rFonts w:cs="Times New Roman"/>
      <w:vertAlign w:val="superscript"/>
    </w:rPr>
  </w:style>
  <w:style w:type="paragraph" w:customStyle="1" w:styleId="Notedebasd">
    <w:name w:val="Note de bas d"/>
    <w:basedOn w:val="Normal"/>
    <w:uiPriority w:val="99"/>
    <w:semiHidden/>
    <w:rsid w:val="00DA2CB9"/>
    <w:rPr>
      <w:rFonts w:ascii="Arial" w:eastAsia="Calibri"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1">
    <w:name w:val="heading 1"/>
    <w:basedOn w:val="Normal"/>
    <w:next w:val="Normal"/>
    <w:link w:val="Titre1Car"/>
    <w:uiPriority w:val="99"/>
    <w:qFormat/>
    <w:rsid w:val="00304DFF"/>
    <w:pPr>
      <w:keepNext/>
      <w:keepLines/>
      <w:spacing w:before="480" w:line="276" w:lineRule="auto"/>
      <w:outlineLvl w:val="0"/>
    </w:pPr>
    <w:rPr>
      <w:rFonts w:ascii="Arial" w:eastAsiaTheme="majorEastAsia" w:hAnsi="Arial" w:cstheme="majorBidi"/>
      <w:b/>
      <w:bCs/>
      <w:sz w:val="28"/>
      <w:szCs w:val="28"/>
    </w:rPr>
  </w:style>
  <w:style w:type="paragraph" w:styleId="Titre2">
    <w:name w:val="heading 2"/>
    <w:basedOn w:val="Normal"/>
    <w:next w:val="Normal"/>
    <w:link w:val="Titre2Car"/>
    <w:uiPriority w:val="99"/>
    <w:unhideWhenUsed/>
    <w:qFormat/>
    <w:rsid w:val="00F67061"/>
    <w:pPr>
      <w:keepNext/>
      <w:keepLines/>
      <w:spacing w:before="200" w:line="276" w:lineRule="auto"/>
      <w:ind w:left="708"/>
      <w:outlineLvl w:val="1"/>
    </w:pPr>
    <w:rPr>
      <w:rFonts w:ascii="Arial" w:eastAsiaTheme="majorEastAsia" w:hAnsi="Arial"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6FDF"/>
    <w:pPr>
      <w:ind w:left="720"/>
      <w:contextualSpacing/>
    </w:pPr>
  </w:style>
  <w:style w:type="character" w:customStyle="1" w:styleId="Titre1Car">
    <w:name w:val="Titre 1 Car"/>
    <w:basedOn w:val="Policepardfaut"/>
    <w:link w:val="Titre1"/>
    <w:uiPriority w:val="99"/>
    <w:rsid w:val="00304DFF"/>
    <w:rPr>
      <w:rFonts w:ascii="Arial" w:eastAsiaTheme="majorEastAsia" w:hAnsi="Arial" w:cstheme="majorBidi"/>
      <w:b/>
      <w:bCs/>
      <w:sz w:val="28"/>
      <w:szCs w:val="28"/>
      <w:lang w:val="fr-CA"/>
    </w:rPr>
  </w:style>
  <w:style w:type="character" w:customStyle="1" w:styleId="Titre2Car">
    <w:name w:val="Titre 2 Car"/>
    <w:basedOn w:val="Policepardfaut"/>
    <w:link w:val="Titre2"/>
    <w:uiPriority w:val="99"/>
    <w:rsid w:val="00F67061"/>
    <w:rPr>
      <w:rFonts w:ascii="Arial" w:eastAsiaTheme="majorEastAsia" w:hAnsi="Arial" w:cstheme="majorBidi"/>
      <w:b/>
      <w:bCs/>
      <w:color w:val="000000" w:themeColor="text1"/>
      <w:szCs w:val="26"/>
      <w:lang w:val="fr-CA"/>
    </w:rPr>
  </w:style>
  <w:style w:type="paragraph" w:styleId="TM2">
    <w:name w:val="toc 2"/>
    <w:basedOn w:val="Normal"/>
    <w:next w:val="Normal"/>
    <w:autoRedefine/>
    <w:uiPriority w:val="39"/>
    <w:rsid w:val="00F67061"/>
    <w:pPr>
      <w:ind w:left="240"/>
    </w:pPr>
    <w:rPr>
      <w:b/>
      <w:sz w:val="22"/>
      <w:szCs w:val="22"/>
    </w:rPr>
  </w:style>
  <w:style w:type="paragraph" w:styleId="TM1">
    <w:name w:val="toc 1"/>
    <w:basedOn w:val="Normal"/>
    <w:next w:val="Normal"/>
    <w:autoRedefine/>
    <w:uiPriority w:val="39"/>
    <w:rsid w:val="00F67061"/>
    <w:pPr>
      <w:spacing w:before="120"/>
    </w:pPr>
    <w:rPr>
      <w:b/>
    </w:rPr>
  </w:style>
  <w:style w:type="character" w:styleId="Lienhypertexte">
    <w:name w:val="Hyperlink"/>
    <w:basedOn w:val="Policepardfaut"/>
    <w:uiPriority w:val="99"/>
    <w:unhideWhenUsed/>
    <w:rsid w:val="00F67061"/>
    <w:rPr>
      <w:color w:val="0000FF" w:themeColor="hyperlink"/>
      <w:u w:val="single"/>
    </w:rPr>
  </w:style>
  <w:style w:type="paragraph" w:styleId="En-tte">
    <w:name w:val="header"/>
    <w:basedOn w:val="Normal"/>
    <w:link w:val="En-tteCar"/>
    <w:uiPriority w:val="99"/>
    <w:unhideWhenUsed/>
    <w:rsid w:val="00F67061"/>
    <w:pPr>
      <w:tabs>
        <w:tab w:val="center" w:pos="4320"/>
        <w:tab w:val="right" w:pos="8640"/>
      </w:tabs>
    </w:pPr>
    <w:rPr>
      <w:rFonts w:ascii="Arial" w:eastAsiaTheme="minorHAnsi" w:hAnsi="Arial" w:cs="Arial"/>
      <w:color w:val="000000"/>
    </w:rPr>
  </w:style>
  <w:style w:type="character" w:customStyle="1" w:styleId="En-tteCar">
    <w:name w:val="En-tête Car"/>
    <w:basedOn w:val="Policepardfaut"/>
    <w:link w:val="En-tte"/>
    <w:uiPriority w:val="99"/>
    <w:rsid w:val="00F67061"/>
    <w:rPr>
      <w:rFonts w:ascii="Arial" w:eastAsiaTheme="minorHAnsi" w:hAnsi="Arial" w:cs="Arial"/>
      <w:color w:val="000000"/>
      <w:lang w:val="fr-CA"/>
    </w:rPr>
  </w:style>
  <w:style w:type="paragraph" w:styleId="Pieddepage">
    <w:name w:val="footer"/>
    <w:basedOn w:val="Normal"/>
    <w:link w:val="PieddepageCar"/>
    <w:uiPriority w:val="99"/>
    <w:unhideWhenUsed/>
    <w:rsid w:val="00F67061"/>
    <w:pPr>
      <w:tabs>
        <w:tab w:val="center" w:pos="4320"/>
        <w:tab w:val="right" w:pos="8640"/>
      </w:tabs>
    </w:pPr>
    <w:rPr>
      <w:rFonts w:ascii="Arial" w:eastAsiaTheme="minorHAnsi" w:hAnsi="Arial" w:cs="Arial"/>
      <w:color w:val="000000"/>
    </w:rPr>
  </w:style>
  <w:style w:type="character" w:customStyle="1" w:styleId="PieddepageCar">
    <w:name w:val="Pied de page Car"/>
    <w:basedOn w:val="Policepardfaut"/>
    <w:link w:val="Pieddepage"/>
    <w:uiPriority w:val="99"/>
    <w:rsid w:val="00F67061"/>
    <w:rPr>
      <w:rFonts w:ascii="Arial" w:eastAsiaTheme="minorHAnsi" w:hAnsi="Arial" w:cs="Arial"/>
      <w:color w:val="000000"/>
      <w:lang w:val="fr-CA"/>
    </w:rPr>
  </w:style>
  <w:style w:type="paragraph" w:styleId="En-ttedetabledesmatires">
    <w:name w:val="TOC Heading"/>
    <w:basedOn w:val="Titre1"/>
    <w:next w:val="Normal"/>
    <w:uiPriority w:val="39"/>
    <w:unhideWhenUsed/>
    <w:qFormat/>
    <w:rsid w:val="00F67061"/>
    <w:pPr>
      <w:outlineLvl w:val="9"/>
    </w:pPr>
    <w:rPr>
      <w:rFonts w:asciiTheme="majorHAnsi" w:hAnsiTheme="majorHAnsi"/>
      <w:color w:val="365F91" w:themeColor="accent1" w:themeShade="BF"/>
      <w:lang w:val="en-US"/>
    </w:rPr>
  </w:style>
  <w:style w:type="paragraph" w:styleId="Textedebulles">
    <w:name w:val="Balloon Text"/>
    <w:basedOn w:val="Normal"/>
    <w:link w:val="TextedebullesCar"/>
    <w:uiPriority w:val="99"/>
    <w:semiHidden/>
    <w:unhideWhenUsed/>
    <w:rsid w:val="00F67061"/>
    <w:rPr>
      <w:rFonts w:ascii="Lucida Grande" w:hAnsi="Lucida Grande"/>
      <w:sz w:val="18"/>
      <w:szCs w:val="18"/>
    </w:rPr>
  </w:style>
  <w:style w:type="character" w:customStyle="1" w:styleId="TextedebullesCar">
    <w:name w:val="Texte de bulles Car"/>
    <w:basedOn w:val="Policepardfaut"/>
    <w:link w:val="Textedebulles"/>
    <w:uiPriority w:val="99"/>
    <w:semiHidden/>
    <w:rsid w:val="00F67061"/>
    <w:rPr>
      <w:rFonts w:ascii="Lucida Grande" w:hAnsi="Lucida Grande"/>
      <w:sz w:val="18"/>
      <w:szCs w:val="18"/>
      <w:lang w:val="fr-CA"/>
    </w:rPr>
  </w:style>
  <w:style w:type="paragraph" w:styleId="TM3">
    <w:name w:val="toc 3"/>
    <w:basedOn w:val="Normal"/>
    <w:next w:val="Normal"/>
    <w:autoRedefine/>
    <w:uiPriority w:val="39"/>
    <w:unhideWhenUsed/>
    <w:rsid w:val="009A3134"/>
    <w:pPr>
      <w:ind w:left="480"/>
    </w:pPr>
    <w:rPr>
      <w:sz w:val="22"/>
      <w:szCs w:val="22"/>
    </w:rPr>
  </w:style>
  <w:style w:type="paragraph" w:styleId="TM4">
    <w:name w:val="toc 4"/>
    <w:basedOn w:val="Normal"/>
    <w:next w:val="Normal"/>
    <w:autoRedefine/>
    <w:uiPriority w:val="39"/>
    <w:semiHidden/>
    <w:unhideWhenUsed/>
    <w:rsid w:val="009A3134"/>
    <w:pPr>
      <w:ind w:left="720"/>
    </w:pPr>
    <w:rPr>
      <w:sz w:val="20"/>
      <w:szCs w:val="20"/>
    </w:rPr>
  </w:style>
  <w:style w:type="paragraph" w:styleId="TM5">
    <w:name w:val="toc 5"/>
    <w:basedOn w:val="Normal"/>
    <w:next w:val="Normal"/>
    <w:autoRedefine/>
    <w:uiPriority w:val="39"/>
    <w:semiHidden/>
    <w:unhideWhenUsed/>
    <w:rsid w:val="009A3134"/>
    <w:pPr>
      <w:ind w:left="960"/>
    </w:pPr>
    <w:rPr>
      <w:sz w:val="20"/>
      <w:szCs w:val="20"/>
    </w:rPr>
  </w:style>
  <w:style w:type="paragraph" w:styleId="TM6">
    <w:name w:val="toc 6"/>
    <w:basedOn w:val="Normal"/>
    <w:next w:val="Normal"/>
    <w:autoRedefine/>
    <w:uiPriority w:val="39"/>
    <w:semiHidden/>
    <w:unhideWhenUsed/>
    <w:rsid w:val="009A3134"/>
    <w:pPr>
      <w:ind w:left="1200"/>
    </w:pPr>
    <w:rPr>
      <w:sz w:val="20"/>
      <w:szCs w:val="20"/>
    </w:rPr>
  </w:style>
  <w:style w:type="paragraph" w:styleId="TM7">
    <w:name w:val="toc 7"/>
    <w:basedOn w:val="Normal"/>
    <w:next w:val="Normal"/>
    <w:autoRedefine/>
    <w:uiPriority w:val="39"/>
    <w:semiHidden/>
    <w:unhideWhenUsed/>
    <w:rsid w:val="009A3134"/>
    <w:pPr>
      <w:ind w:left="1440"/>
    </w:pPr>
    <w:rPr>
      <w:sz w:val="20"/>
      <w:szCs w:val="20"/>
    </w:rPr>
  </w:style>
  <w:style w:type="paragraph" w:styleId="TM8">
    <w:name w:val="toc 8"/>
    <w:basedOn w:val="Normal"/>
    <w:next w:val="Normal"/>
    <w:autoRedefine/>
    <w:uiPriority w:val="39"/>
    <w:semiHidden/>
    <w:unhideWhenUsed/>
    <w:rsid w:val="009A3134"/>
    <w:pPr>
      <w:ind w:left="1680"/>
    </w:pPr>
    <w:rPr>
      <w:sz w:val="20"/>
      <w:szCs w:val="20"/>
    </w:rPr>
  </w:style>
  <w:style w:type="paragraph" w:styleId="TM9">
    <w:name w:val="toc 9"/>
    <w:basedOn w:val="Normal"/>
    <w:next w:val="Normal"/>
    <w:autoRedefine/>
    <w:uiPriority w:val="39"/>
    <w:semiHidden/>
    <w:unhideWhenUsed/>
    <w:rsid w:val="009A3134"/>
    <w:pPr>
      <w:ind w:left="1920"/>
    </w:pPr>
    <w:rPr>
      <w:sz w:val="20"/>
      <w:szCs w:val="20"/>
    </w:rPr>
  </w:style>
  <w:style w:type="character" w:styleId="Lienhypertextesuivivisit">
    <w:name w:val="FollowedHyperlink"/>
    <w:basedOn w:val="Policepardfaut"/>
    <w:uiPriority w:val="99"/>
    <w:semiHidden/>
    <w:unhideWhenUsed/>
    <w:rsid w:val="009A3134"/>
    <w:rPr>
      <w:color w:val="800080" w:themeColor="followedHyperlink"/>
      <w:u w:val="single"/>
    </w:rPr>
  </w:style>
  <w:style w:type="character" w:styleId="Numrodepage">
    <w:name w:val="page number"/>
    <w:basedOn w:val="Policepardfaut"/>
    <w:uiPriority w:val="99"/>
    <w:semiHidden/>
    <w:unhideWhenUsed/>
    <w:rsid w:val="00E43F59"/>
  </w:style>
  <w:style w:type="paragraph" w:styleId="Notedebasdepage">
    <w:name w:val="footnote text"/>
    <w:basedOn w:val="Normal"/>
    <w:link w:val="NotedebasdepageCar"/>
    <w:uiPriority w:val="99"/>
    <w:semiHidden/>
    <w:rsid w:val="00E43F59"/>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43F59"/>
    <w:rPr>
      <w:rFonts w:ascii="Calibri" w:eastAsia="Calibri" w:hAnsi="Calibri" w:cs="Times New Roman"/>
      <w:sz w:val="20"/>
      <w:szCs w:val="20"/>
      <w:lang w:val="fr-CA"/>
    </w:rPr>
  </w:style>
  <w:style w:type="character" w:styleId="Appelnotedebasdep">
    <w:name w:val="footnote reference"/>
    <w:uiPriority w:val="99"/>
    <w:semiHidden/>
    <w:rsid w:val="00E43F59"/>
    <w:rPr>
      <w:rFonts w:cs="Times New Roman"/>
      <w:vertAlign w:val="superscript"/>
    </w:rPr>
  </w:style>
  <w:style w:type="paragraph" w:customStyle="1" w:styleId="Notedebasd">
    <w:name w:val="Note de bas d"/>
    <w:basedOn w:val="Normal"/>
    <w:uiPriority w:val="99"/>
    <w:semiHidden/>
    <w:rsid w:val="00DA2CB9"/>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ophq.gouv.qc.ca/fileadmin/documents/Politique_a_part_entiere_Acc.pdf"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2.publicationsduquebec.gouv.qc.ca/dynamicSearch/telecharge.php?type=2&amp;file=/E_20_1/E20_1.htm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cophan.org/documentation/plan-daction-et-rapports-dactivite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justice.gouv.qc.ca/francais/publications/rapports/pdf/rapp-lobby.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ophan.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2.publicationsduquebec.gouv.qc.ca/dynamicSearch/telecharge.php?type=2&amp;file=/E_20_1/E20_1.html" TargetMode="External"/><Relationship Id="rId1" Type="http://schemas.openxmlformats.org/officeDocument/2006/relationships/hyperlink" Target="http://www.justice.gouv.qc.ca/francais/publications/rapports/pdf/rapp-lobb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2A96-4B10-43CC-944A-692C9A51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2870</Words>
  <Characters>15786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Trudel</dc:creator>
  <cp:lastModifiedBy>Audrey-Anne Trudel</cp:lastModifiedBy>
  <cp:revision>4</cp:revision>
  <cp:lastPrinted>2016-02-11T18:38:00Z</cp:lastPrinted>
  <dcterms:created xsi:type="dcterms:W3CDTF">2016-02-11T18:38:00Z</dcterms:created>
  <dcterms:modified xsi:type="dcterms:W3CDTF">2016-02-11T18:39:00Z</dcterms:modified>
</cp:coreProperties>
</file>