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F77" w:rsidRDefault="005D3650" w:rsidP="00FC4330">
      <w:pPr>
        <w:rPr>
          <w:b/>
          <w:sz w:val="24"/>
          <w:szCs w:val="24"/>
        </w:rPr>
      </w:pPr>
      <w:r>
        <w:rPr>
          <w:b/>
          <w:sz w:val="24"/>
          <w:szCs w:val="24"/>
        </w:rPr>
        <w:t xml:space="preserve"> </w:t>
      </w:r>
      <w:r>
        <w:rPr>
          <w:noProof/>
        </w:rPr>
        <w:drawing>
          <wp:inline distT="114300" distB="114300" distL="114300" distR="114300">
            <wp:extent cx="4772025" cy="12287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772025" cy="1228725"/>
                    </a:xfrm>
                    <a:prstGeom prst="rect">
                      <a:avLst/>
                    </a:prstGeom>
                    <a:ln/>
                  </pic:spPr>
                </pic:pic>
              </a:graphicData>
            </a:graphic>
          </wp:inline>
        </w:drawing>
      </w:r>
    </w:p>
    <w:p w:rsidR="004A0F77" w:rsidRDefault="005D3650" w:rsidP="00FC4330">
      <w:pPr>
        <w:rPr>
          <w:b/>
          <w:sz w:val="24"/>
          <w:szCs w:val="24"/>
        </w:rPr>
      </w:pPr>
      <w:r>
        <w:rPr>
          <w:b/>
          <w:sz w:val="24"/>
          <w:szCs w:val="24"/>
        </w:rPr>
        <w:t xml:space="preserve"> </w:t>
      </w:r>
    </w:p>
    <w:p w:rsidR="004A0F77" w:rsidRDefault="005D3650" w:rsidP="00FC4330">
      <w:pPr>
        <w:rPr>
          <w:b/>
          <w:sz w:val="24"/>
          <w:szCs w:val="24"/>
        </w:rPr>
      </w:pPr>
      <w:r>
        <w:rPr>
          <w:b/>
          <w:sz w:val="24"/>
          <w:szCs w:val="24"/>
        </w:rPr>
        <w:t xml:space="preserve"> </w:t>
      </w:r>
    </w:p>
    <w:p w:rsidR="004A0F77" w:rsidRDefault="005D3650" w:rsidP="00FC4330">
      <w:pPr>
        <w:rPr>
          <w:b/>
          <w:sz w:val="24"/>
          <w:szCs w:val="24"/>
        </w:rPr>
      </w:pPr>
      <w:r>
        <w:rPr>
          <w:b/>
          <w:sz w:val="24"/>
          <w:szCs w:val="24"/>
        </w:rPr>
        <w:t xml:space="preserve"> </w:t>
      </w:r>
    </w:p>
    <w:p w:rsidR="004A0F77" w:rsidRDefault="005D3650" w:rsidP="00FC4330">
      <w:pPr>
        <w:rPr>
          <w:b/>
          <w:sz w:val="24"/>
          <w:szCs w:val="24"/>
        </w:rPr>
      </w:pPr>
      <w:r>
        <w:rPr>
          <w:b/>
          <w:sz w:val="24"/>
          <w:szCs w:val="24"/>
        </w:rPr>
        <w:t xml:space="preserve"> </w:t>
      </w:r>
    </w:p>
    <w:p w:rsidR="004A0F77" w:rsidRDefault="005D3650" w:rsidP="00FC4330">
      <w:pPr>
        <w:rPr>
          <w:b/>
          <w:sz w:val="24"/>
          <w:szCs w:val="24"/>
        </w:rPr>
      </w:pPr>
      <w:r>
        <w:rPr>
          <w:b/>
          <w:sz w:val="24"/>
          <w:szCs w:val="24"/>
        </w:rPr>
        <w:t xml:space="preserve"> </w:t>
      </w:r>
    </w:p>
    <w:p w:rsidR="002C6302" w:rsidRDefault="002C6302" w:rsidP="00FC4330">
      <w:pPr>
        <w:rPr>
          <w:b/>
          <w:sz w:val="24"/>
          <w:szCs w:val="24"/>
        </w:rPr>
      </w:pPr>
    </w:p>
    <w:p w:rsidR="002C6302" w:rsidRDefault="002C6302" w:rsidP="00FC4330">
      <w:pPr>
        <w:rPr>
          <w:b/>
          <w:sz w:val="24"/>
          <w:szCs w:val="24"/>
        </w:rPr>
      </w:pPr>
    </w:p>
    <w:p w:rsidR="002C6302" w:rsidRDefault="002C6302" w:rsidP="00FC4330">
      <w:pPr>
        <w:rPr>
          <w:b/>
          <w:sz w:val="24"/>
          <w:szCs w:val="24"/>
        </w:rPr>
      </w:pPr>
    </w:p>
    <w:p w:rsidR="002C6302" w:rsidRDefault="002C6302" w:rsidP="00FC4330">
      <w:pPr>
        <w:rPr>
          <w:b/>
          <w:sz w:val="24"/>
          <w:szCs w:val="24"/>
        </w:rPr>
      </w:pPr>
    </w:p>
    <w:p w:rsidR="002C6302" w:rsidRDefault="002C6302" w:rsidP="00FC4330">
      <w:pPr>
        <w:rPr>
          <w:b/>
          <w:sz w:val="24"/>
          <w:szCs w:val="24"/>
        </w:rPr>
      </w:pPr>
    </w:p>
    <w:p w:rsidR="002C6302" w:rsidRDefault="002C6302" w:rsidP="00FC4330">
      <w:pPr>
        <w:rPr>
          <w:b/>
          <w:sz w:val="24"/>
          <w:szCs w:val="24"/>
        </w:rPr>
      </w:pPr>
    </w:p>
    <w:p w:rsidR="002C6302" w:rsidRDefault="002C6302" w:rsidP="00FC4330">
      <w:pPr>
        <w:rPr>
          <w:b/>
          <w:sz w:val="24"/>
          <w:szCs w:val="24"/>
        </w:rPr>
      </w:pPr>
    </w:p>
    <w:p w:rsidR="004A0F77" w:rsidRDefault="005D3650" w:rsidP="00FC4330">
      <w:pPr>
        <w:rPr>
          <w:b/>
          <w:sz w:val="36"/>
          <w:szCs w:val="36"/>
        </w:rPr>
      </w:pPr>
      <w:r>
        <w:rPr>
          <w:b/>
          <w:sz w:val="36"/>
          <w:szCs w:val="36"/>
        </w:rPr>
        <w:t>Mémoire sur la Loi en matière d’accessibilité – Qu’est-ce qu’un Canada accessible pour vous?</w:t>
      </w:r>
    </w:p>
    <w:p w:rsidR="004A0F77" w:rsidRDefault="005D3650" w:rsidP="00FC4330">
      <w:pPr>
        <w:rPr>
          <w:sz w:val="32"/>
          <w:szCs w:val="32"/>
        </w:rPr>
      </w:pPr>
      <w:r>
        <w:rPr>
          <w:sz w:val="32"/>
          <w:szCs w:val="32"/>
        </w:rPr>
        <w:t>Remis par la Confédération des organismes de personnes handicapées du Québec (COPHAN) au Bureau de la condition des personnes handicapées</w:t>
      </w:r>
    </w:p>
    <w:p w:rsidR="004A0F77" w:rsidRDefault="005D3650" w:rsidP="00FC4330">
      <w:pPr>
        <w:rPr>
          <w:sz w:val="24"/>
          <w:szCs w:val="24"/>
        </w:rPr>
      </w:pPr>
      <w:r>
        <w:rPr>
          <w:sz w:val="24"/>
          <w:szCs w:val="24"/>
        </w:rPr>
        <w:t xml:space="preserve"> </w:t>
      </w:r>
    </w:p>
    <w:p w:rsidR="004A0F77" w:rsidRDefault="005D3650" w:rsidP="00FC4330">
      <w:pPr>
        <w:rPr>
          <w:sz w:val="24"/>
          <w:szCs w:val="24"/>
        </w:rPr>
      </w:pPr>
      <w:r>
        <w:rPr>
          <w:sz w:val="24"/>
          <w:szCs w:val="24"/>
        </w:rPr>
        <w:t xml:space="preserve"> </w:t>
      </w:r>
    </w:p>
    <w:p w:rsidR="004A0F77" w:rsidRDefault="005D3650" w:rsidP="00FC4330">
      <w:pPr>
        <w:rPr>
          <w:sz w:val="24"/>
          <w:szCs w:val="24"/>
        </w:rPr>
      </w:pPr>
      <w:r>
        <w:rPr>
          <w:sz w:val="24"/>
          <w:szCs w:val="24"/>
        </w:rPr>
        <w:t xml:space="preserve"> </w:t>
      </w:r>
    </w:p>
    <w:p w:rsidR="004A0F77" w:rsidRDefault="005D3650" w:rsidP="00FC4330">
      <w:pPr>
        <w:rPr>
          <w:sz w:val="24"/>
          <w:szCs w:val="24"/>
        </w:rPr>
      </w:pPr>
      <w:r>
        <w:rPr>
          <w:sz w:val="24"/>
          <w:szCs w:val="24"/>
        </w:rPr>
        <w:t xml:space="preserve"> </w:t>
      </w:r>
    </w:p>
    <w:p w:rsidR="004A0F77" w:rsidRDefault="005D3650" w:rsidP="00FC4330">
      <w:pPr>
        <w:rPr>
          <w:sz w:val="24"/>
          <w:szCs w:val="24"/>
        </w:rPr>
      </w:pPr>
      <w:r>
        <w:rPr>
          <w:sz w:val="24"/>
          <w:szCs w:val="24"/>
        </w:rPr>
        <w:t xml:space="preserve"> </w:t>
      </w:r>
    </w:p>
    <w:p w:rsidR="002C6302" w:rsidRDefault="002C6302" w:rsidP="00FC4330">
      <w:pPr>
        <w:rPr>
          <w:sz w:val="24"/>
          <w:szCs w:val="24"/>
        </w:rPr>
      </w:pPr>
    </w:p>
    <w:p w:rsidR="002C6302" w:rsidRDefault="002C6302" w:rsidP="00FC4330">
      <w:pPr>
        <w:rPr>
          <w:sz w:val="24"/>
          <w:szCs w:val="24"/>
        </w:rPr>
      </w:pPr>
    </w:p>
    <w:p w:rsidR="002C6302" w:rsidRDefault="002C6302" w:rsidP="00FC4330">
      <w:pPr>
        <w:rPr>
          <w:sz w:val="24"/>
          <w:szCs w:val="24"/>
        </w:rPr>
      </w:pPr>
    </w:p>
    <w:p w:rsidR="004A0F77" w:rsidRDefault="005D3650" w:rsidP="00FC4330">
      <w:pPr>
        <w:rPr>
          <w:sz w:val="24"/>
          <w:szCs w:val="24"/>
        </w:rPr>
      </w:pPr>
      <w:r>
        <w:rPr>
          <w:sz w:val="24"/>
          <w:szCs w:val="24"/>
        </w:rPr>
        <w:t xml:space="preserve"> </w:t>
      </w:r>
    </w:p>
    <w:p w:rsidR="004A0F77" w:rsidRDefault="005D3650" w:rsidP="00FC4330">
      <w:pPr>
        <w:rPr>
          <w:sz w:val="24"/>
          <w:szCs w:val="24"/>
        </w:rPr>
      </w:pPr>
      <w:r>
        <w:rPr>
          <w:sz w:val="24"/>
          <w:szCs w:val="24"/>
        </w:rPr>
        <w:t xml:space="preserve"> </w:t>
      </w:r>
    </w:p>
    <w:p w:rsidR="002C6302" w:rsidRDefault="002C6302" w:rsidP="00FC4330">
      <w:pPr>
        <w:rPr>
          <w:sz w:val="24"/>
          <w:szCs w:val="24"/>
        </w:rPr>
      </w:pPr>
    </w:p>
    <w:p w:rsidR="002C6302" w:rsidRDefault="002C6302" w:rsidP="00FC4330">
      <w:pPr>
        <w:rPr>
          <w:sz w:val="24"/>
          <w:szCs w:val="24"/>
        </w:rPr>
      </w:pPr>
    </w:p>
    <w:p w:rsidR="002C6302" w:rsidRDefault="002C6302" w:rsidP="00FC4330">
      <w:pPr>
        <w:rPr>
          <w:sz w:val="24"/>
          <w:szCs w:val="24"/>
        </w:rPr>
      </w:pPr>
    </w:p>
    <w:p w:rsidR="002C6302" w:rsidRDefault="002C6302" w:rsidP="00FC4330">
      <w:pPr>
        <w:rPr>
          <w:sz w:val="24"/>
          <w:szCs w:val="24"/>
        </w:rPr>
      </w:pPr>
    </w:p>
    <w:p w:rsidR="004A0F77" w:rsidRDefault="00022DE5" w:rsidP="00FC4330">
      <w:pPr>
        <w:rPr>
          <w:b/>
          <w:sz w:val="36"/>
          <w:szCs w:val="36"/>
        </w:rPr>
      </w:pPr>
      <w:r>
        <w:rPr>
          <w:b/>
          <w:sz w:val="36"/>
          <w:szCs w:val="36"/>
        </w:rPr>
        <w:t>Ju</w:t>
      </w:r>
      <w:r w:rsidR="00780795">
        <w:rPr>
          <w:b/>
          <w:sz w:val="36"/>
          <w:szCs w:val="36"/>
        </w:rPr>
        <w:t>i</w:t>
      </w:r>
      <w:r w:rsidR="00C25B05">
        <w:rPr>
          <w:b/>
          <w:sz w:val="36"/>
          <w:szCs w:val="36"/>
        </w:rPr>
        <w:t>llet</w:t>
      </w:r>
      <w:r w:rsidR="00780795">
        <w:rPr>
          <w:b/>
          <w:sz w:val="36"/>
          <w:szCs w:val="36"/>
        </w:rPr>
        <w:t xml:space="preserve"> </w:t>
      </w:r>
      <w:r w:rsidR="005D3650">
        <w:rPr>
          <w:b/>
          <w:sz w:val="36"/>
          <w:szCs w:val="36"/>
        </w:rPr>
        <w:t>2017</w:t>
      </w:r>
    </w:p>
    <w:p w:rsidR="004A0F77" w:rsidRDefault="005D3650" w:rsidP="00FC4330">
      <w:pPr>
        <w:rPr>
          <w:sz w:val="24"/>
          <w:szCs w:val="24"/>
        </w:rPr>
      </w:pPr>
      <w:r>
        <w:rPr>
          <w:sz w:val="24"/>
          <w:szCs w:val="24"/>
        </w:rPr>
        <w:t xml:space="preserve"> </w:t>
      </w:r>
    </w:p>
    <w:p w:rsidR="004A0F77" w:rsidRDefault="005D3650" w:rsidP="00FC4330">
      <w:pPr>
        <w:rPr>
          <w:sz w:val="24"/>
          <w:szCs w:val="24"/>
        </w:rPr>
      </w:pPr>
      <w:r>
        <w:rPr>
          <w:sz w:val="24"/>
          <w:szCs w:val="24"/>
        </w:rPr>
        <w:t xml:space="preserve"> </w:t>
      </w:r>
    </w:p>
    <w:p w:rsidR="004A0F77" w:rsidRDefault="005D3650" w:rsidP="00FC4330">
      <w:pPr>
        <w:rPr>
          <w:sz w:val="24"/>
          <w:szCs w:val="24"/>
        </w:rPr>
      </w:pPr>
      <w:r>
        <w:rPr>
          <w:sz w:val="24"/>
          <w:szCs w:val="24"/>
        </w:rPr>
        <w:t xml:space="preserve"> </w:t>
      </w:r>
    </w:p>
    <w:p w:rsidR="004A0F77" w:rsidRDefault="005D3650" w:rsidP="00FC4330">
      <w:pPr>
        <w:rPr>
          <w:b/>
          <w:sz w:val="24"/>
          <w:szCs w:val="24"/>
        </w:rPr>
      </w:pPr>
      <w:r>
        <w:rPr>
          <w:b/>
          <w:sz w:val="24"/>
          <w:szCs w:val="24"/>
        </w:rPr>
        <w:lastRenderedPageBreak/>
        <w:t>Rédaction</w:t>
      </w:r>
    </w:p>
    <w:p w:rsidR="004A0F77" w:rsidRDefault="005D3650" w:rsidP="00FC4330">
      <w:pPr>
        <w:rPr>
          <w:sz w:val="24"/>
          <w:szCs w:val="24"/>
        </w:rPr>
      </w:pPr>
      <w:r>
        <w:rPr>
          <w:sz w:val="24"/>
          <w:szCs w:val="24"/>
        </w:rPr>
        <w:t>Laurent Trépanier Capistran</w:t>
      </w:r>
      <w:r w:rsidR="000B08E8">
        <w:rPr>
          <w:sz w:val="24"/>
          <w:szCs w:val="24"/>
        </w:rPr>
        <w:t xml:space="preserve">, </w:t>
      </w:r>
    </w:p>
    <w:p w:rsidR="000B08E8" w:rsidRDefault="000B08E8" w:rsidP="00FC4330">
      <w:pPr>
        <w:rPr>
          <w:sz w:val="24"/>
          <w:szCs w:val="24"/>
        </w:rPr>
      </w:pPr>
      <w:r>
        <w:rPr>
          <w:sz w:val="24"/>
          <w:szCs w:val="24"/>
        </w:rPr>
        <w:t>Pour le compte de la COPHAN</w:t>
      </w:r>
    </w:p>
    <w:p w:rsidR="004A0F77" w:rsidRDefault="004A0F77" w:rsidP="00FC4330">
      <w:pPr>
        <w:rPr>
          <w:sz w:val="24"/>
          <w:szCs w:val="24"/>
        </w:rPr>
      </w:pPr>
    </w:p>
    <w:p w:rsidR="004A0F77" w:rsidRDefault="005D3650" w:rsidP="00FC4330">
      <w:pPr>
        <w:rPr>
          <w:sz w:val="24"/>
          <w:szCs w:val="24"/>
        </w:rPr>
      </w:pPr>
      <w:r>
        <w:rPr>
          <w:sz w:val="24"/>
          <w:szCs w:val="24"/>
        </w:rPr>
        <w:t>Audrey-Anne Trudel</w:t>
      </w:r>
    </w:p>
    <w:p w:rsidR="004A0F77" w:rsidRDefault="005D3650" w:rsidP="00FC4330">
      <w:pPr>
        <w:rPr>
          <w:sz w:val="24"/>
          <w:szCs w:val="24"/>
        </w:rPr>
      </w:pPr>
      <w:r>
        <w:rPr>
          <w:sz w:val="24"/>
          <w:szCs w:val="24"/>
        </w:rPr>
        <w:t>Responsable de dossiers, COPHAN</w:t>
      </w:r>
    </w:p>
    <w:p w:rsidR="004A0F77" w:rsidRDefault="005D3650" w:rsidP="00FC4330">
      <w:pPr>
        <w:rPr>
          <w:sz w:val="24"/>
          <w:szCs w:val="24"/>
        </w:rPr>
      </w:pPr>
      <w:r>
        <w:rPr>
          <w:sz w:val="24"/>
          <w:szCs w:val="24"/>
        </w:rPr>
        <w:t xml:space="preserve"> </w:t>
      </w:r>
    </w:p>
    <w:p w:rsidR="004A0F77" w:rsidRDefault="005D3650" w:rsidP="00FC4330">
      <w:pPr>
        <w:rPr>
          <w:b/>
          <w:sz w:val="24"/>
          <w:szCs w:val="24"/>
        </w:rPr>
      </w:pPr>
      <w:r>
        <w:rPr>
          <w:b/>
          <w:sz w:val="24"/>
          <w:szCs w:val="24"/>
        </w:rPr>
        <w:t xml:space="preserve">Sous la supervision de </w:t>
      </w:r>
    </w:p>
    <w:p w:rsidR="004A0F77" w:rsidRDefault="005D3650" w:rsidP="00FC4330">
      <w:pPr>
        <w:rPr>
          <w:sz w:val="24"/>
          <w:szCs w:val="24"/>
        </w:rPr>
      </w:pPr>
      <w:r>
        <w:rPr>
          <w:sz w:val="24"/>
          <w:szCs w:val="24"/>
        </w:rPr>
        <w:t>Véronique Vézina</w:t>
      </w:r>
    </w:p>
    <w:p w:rsidR="004A0F77" w:rsidRDefault="005D3650" w:rsidP="00FC4330">
      <w:pPr>
        <w:rPr>
          <w:sz w:val="24"/>
          <w:szCs w:val="24"/>
        </w:rPr>
      </w:pPr>
      <w:r>
        <w:rPr>
          <w:sz w:val="24"/>
          <w:szCs w:val="24"/>
        </w:rPr>
        <w:t xml:space="preserve">Présidente, COPHAN </w:t>
      </w:r>
    </w:p>
    <w:p w:rsidR="004A0F77" w:rsidRDefault="004A0F77" w:rsidP="00FC4330">
      <w:pPr>
        <w:rPr>
          <w:sz w:val="24"/>
          <w:szCs w:val="24"/>
        </w:rPr>
      </w:pPr>
    </w:p>
    <w:p w:rsidR="004A0F77" w:rsidRDefault="005D3650" w:rsidP="00FC4330">
      <w:pPr>
        <w:rPr>
          <w:b/>
          <w:sz w:val="24"/>
          <w:szCs w:val="24"/>
        </w:rPr>
      </w:pPr>
      <w:r>
        <w:rPr>
          <w:b/>
          <w:sz w:val="24"/>
          <w:szCs w:val="24"/>
        </w:rPr>
        <w:t>Avec la collaboration de</w:t>
      </w:r>
    </w:p>
    <w:p w:rsidR="004A0F77" w:rsidRDefault="005D3650" w:rsidP="00FC4330">
      <w:pPr>
        <w:rPr>
          <w:sz w:val="24"/>
          <w:szCs w:val="24"/>
        </w:rPr>
      </w:pPr>
      <w:r>
        <w:rPr>
          <w:sz w:val="24"/>
          <w:szCs w:val="24"/>
        </w:rPr>
        <w:t>Association d’information en logements et immeubles adaptés (AILIA)</w:t>
      </w:r>
    </w:p>
    <w:p w:rsidR="004A0F77" w:rsidRDefault="005D3650" w:rsidP="00FC4330">
      <w:pPr>
        <w:rPr>
          <w:sz w:val="24"/>
          <w:szCs w:val="24"/>
        </w:rPr>
      </w:pPr>
      <w:r>
        <w:rPr>
          <w:sz w:val="24"/>
          <w:szCs w:val="24"/>
        </w:rPr>
        <w:t xml:space="preserve">Association du Syndrome </w:t>
      </w:r>
      <w:proofErr w:type="gramStart"/>
      <w:r>
        <w:rPr>
          <w:sz w:val="24"/>
          <w:szCs w:val="24"/>
        </w:rPr>
        <w:t>de Usher</w:t>
      </w:r>
      <w:proofErr w:type="gramEnd"/>
      <w:r>
        <w:rPr>
          <w:sz w:val="24"/>
          <w:szCs w:val="24"/>
        </w:rPr>
        <w:t xml:space="preserve"> du Québec (ASUQ)</w:t>
      </w:r>
    </w:p>
    <w:p w:rsidR="004A0F77" w:rsidRDefault="005D3650" w:rsidP="00FC4330">
      <w:pPr>
        <w:rPr>
          <w:sz w:val="24"/>
          <w:szCs w:val="24"/>
        </w:rPr>
      </w:pPr>
      <w:r>
        <w:rPr>
          <w:sz w:val="24"/>
          <w:szCs w:val="24"/>
        </w:rPr>
        <w:t>Association multiethnique pour l’intégration des personnes handicapées (AMEIPH)</w:t>
      </w:r>
    </w:p>
    <w:p w:rsidR="004A0F77" w:rsidRDefault="005D3650" w:rsidP="00FC4330">
      <w:pPr>
        <w:rPr>
          <w:sz w:val="24"/>
          <w:szCs w:val="24"/>
        </w:rPr>
      </w:pPr>
      <w:r>
        <w:rPr>
          <w:sz w:val="24"/>
          <w:szCs w:val="24"/>
        </w:rPr>
        <w:t>Association québécoise des personnes de petite taille (AQPPT)</w:t>
      </w:r>
    </w:p>
    <w:p w:rsidR="004A0F77" w:rsidRDefault="005D3650" w:rsidP="00FC4330">
      <w:pPr>
        <w:rPr>
          <w:sz w:val="24"/>
          <w:szCs w:val="24"/>
        </w:rPr>
      </w:pPr>
      <w:r>
        <w:rPr>
          <w:sz w:val="24"/>
          <w:szCs w:val="24"/>
        </w:rPr>
        <w:t>Association québécoise pour le loisir des personnes handicapées (AQLPH)</w:t>
      </w:r>
    </w:p>
    <w:p w:rsidR="004A0F77" w:rsidRDefault="005D3650" w:rsidP="00FC4330">
      <w:pPr>
        <w:rPr>
          <w:sz w:val="24"/>
          <w:szCs w:val="24"/>
        </w:rPr>
      </w:pPr>
      <w:r>
        <w:rPr>
          <w:sz w:val="24"/>
          <w:szCs w:val="24"/>
        </w:rPr>
        <w:t>Centre communautaire Radisson</w:t>
      </w:r>
    </w:p>
    <w:p w:rsidR="004A0F77" w:rsidRDefault="005D3650" w:rsidP="00FC4330">
      <w:pPr>
        <w:rPr>
          <w:sz w:val="24"/>
          <w:szCs w:val="24"/>
        </w:rPr>
      </w:pPr>
      <w:r>
        <w:rPr>
          <w:sz w:val="24"/>
          <w:szCs w:val="24"/>
        </w:rPr>
        <w:t>Ex Aequo</w:t>
      </w:r>
    </w:p>
    <w:p w:rsidR="004A0F77" w:rsidRDefault="005D3650" w:rsidP="00FC4330">
      <w:pPr>
        <w:rPr>
          <w:sz w:val="24"/>
          <w:szCs w:val="24"/>
        </w:rPr>
      </w:pPr>
      <w:r>
        <w:rPr>
          <w:sz w:val="24"/>
          <w:szCs w:val="24"/>
        </w:rPr>
        <w:t>Kéroul</w:t>
      </w:r>
    </w:p>
    <w:p w:rsidR="004A0F77" w:rsidRDefault="005D3650" w:rsidP="00FC4330">
      <w:pPr>
        <w:rPr>
          <w:sz w:val="24"/>
          <w:szCs w:val="24"/>
        </w:rPr>
      </w:pPr>
      <w:r>
        <w:rPr>
          <w:sz w:val="24"/>
          <w:szCs w:val="24"/>
        </w:rPr>
        <w:t>Regroupement des associations de personnes handicapées de l’Outaouais (RAPHO)</w:t>
      </w:r>
    </w:p>
    <w:p w:rsidR="004A0F77" w:rsidRDefault="005D3650" w:rsidP="00FC4330">
      <w:pPr>
        <w:rPr>
          <w:sz w:val="24"/>
          <w:szCs w:val="24"/>
        </w:rPr>
      </w:pPr>
      <w:r>
        <w:rPr>
          <w:sz w:val="24"/>
          <w:szCs w:val="24"/>
        </w:rPr>
        <w:t>Regroupement des associations de personnes handicapées région Chaudière-Appalaches (RAPHRCA)</w:t>
      </w:r>
    </w:p>
    <w:p w:rsidR="004A0F77" w:rsidRDefault="005D3650" w:rsidP="00FC4330">
      <w:pPr>
        <w:rPr>
          <w:sz w:val="24"/>
          <w:szCs w:val="24"/>
        </w:rPr>
      </w:pPr>
      <w:r>
        <w:rPr>
          <w:sz w:val="24"/>
          <w:szCs w:val="24"/>
        </w:rPr>
        <w:t>Regroupement des aveugles et amblyopes du Québec (RAAQ)</w:t>
      </w:r>
    </w:p>
    <w:p w:rsidR="004A0F77" w:rsidRDefault="005D3650" w:rsidP="00FC4330">
      <w:pPr>
        <w:rPr>
          <w:sz w:val="24"/>
          <w:szCs w:val="24"/>
        </w:rPr>
      </w:pPr>
      <w:r>
        <w:rPr>
          <w:sz w:val="24"/>
          <w:szCs w:val="24"/>
        </w:rPr>
        <w:t>Regroupement des orga</w:t>
      </w:r>
      <w:r w:rsidR="001F49DE">
        <w:rPr>
          <w:sz w:val="24"/>
          <w:szCs w:val="24"/>
        </w:rPr>
        <w:t>nismes de personnes handicapées</w:t>
      </w:r>
      <w:r>
        <w:rPr>
          <w:sz w:val="24"/>
          <w:szCs w:val="24"/>
        </w:rPr>
        <w:t xml:space="preserve"> de la région 03 (ROP03)</w:t>
      </w:r>
    </w:p>
    <w:p w:rsidR="004A0F77" w:rsidRDefault="005D3650" w:rsidP="00FC4330">
      <w:pPr>
        <w:rPr>
          <w:sz w:val="24"/>
          <w:szCs w:val="24"/>
        </w:rPr>
      </w:pPr>
      <w:r>
        <w:rPr>
          <w:sz w:val="24"/>
          <w:szCs w:val="24"/>
        </w:rPr>
        <w:t>Regroupement des organismes de promotion du Montréal métropolitain (ROPMM)</w:t>
      </w:r>
    </w:p>
    <w:p w:rsidR="004A0F77" w:rsidRDefault="005D3650" w:rsidP="00FC4330">
      <w:pPr>
        <w:rPr>
          <w:sz w:val="24"/>
          <w:szCs w:val="24"/>
          <w:highlight w:val="white"/>
        </w:rPr>
      </w:pPr>
      <w:r>
        <w:rPr>
          <w:sz w:val="24"/>
          <w:szCs w:val="24"/>
          <w:highlight w:val="white"/>
        </w:rPr>
        <w:t>Réseau québécois pour l’inclusion sociale des personnes sourdes (REQIS)</w:t>
      </w:r>
    </w:p>
    <w:p w:rsidR="004A0F77" w:rsidRDefault="005D3650" w:rsidP="00FC4330">
      <w:pPr>
        <w:rPr>
          <w:sz w:val="24"/>
          <w:szCs w:val="24"/>
        </w:rPr>
      </w:pPr>
      <w:r>
        <w:rPr>
          <w:sz w:val="24"/>
          <w:szCs w:val="24"/>
        </w:rPr>
        <w:t>Société canadienne de la sclérose en plaques — Division Québec (SCSP)</w:t>
      </w:r>
    </w:p>
    <w:p w:rsidR="004A0F77" w:rsidRDefault="005D3650" w:rsidP="00FC4330">
      <w:pPr>
        <w:rPr>
          <w:sz w:val="24"/>
          <w:szCs w:val="24"/>
        </w:rPr>
      </w:pPr>
      <w:r>
        <w:rPr>
          <w:sz w:val="24"/>
          <w:szCs w:val="24"/>
        </w:rPr>
        <w:t>Société Logique</w:t>
      </w:r>
    </w:p>
    <w:p w:rsidR="004A0F77" w:rsidRDefault="004A0F77" w:rsidP="00FC4330">
      <w:pPr>
        <w:rPr>
          <w:sz w:val="24"/>
          <w:szCs w:val="24"/>
        </w:rPr>
      </w:pPr>
    </w:p>
    <w:p w:rsidR="004A0F77" w:rsidRDefault="005D3650" w:rsidP="00FC4330">
      <w:pPr>
        <w:rPr>
          <w:b/>
          <w:sz w:val="24"/>
          <w:szCs w:val="24"/>
        </w:rPr>
      </w:pPr>
      <w:r>
        <w:rPr>
          <w:b/>
          <w:sz w:val="24"/>
          <w:szCs w:val="24"/>
        </w:rPr>
        <w:t>Date de transmission</w:t>
      </w:r>
    </w:p>
    <w:p w:rsidR="004A0F77" w:rsidRDefault="00C25B05" w:rsidP="00FC4330">
      <w:pPr>
        <w:rPr>
          <w:sz w:val="24"/>
          <w:szCs w:val="24"/>
        </w:rPr>
      </w:pPr>
      <w:r>
        <w:rPr>
          <w:sz w:val="24"/>
          <w:szCs w:val="24"/>
        </w:rPr>
        <w:t>Le 11</w:t>
      </w:r>
      <w:r w:rsidR="00F15932">
        <w:rPr>
          <w:sz w:val="24"/>
          <w:szCs w:val="24"/>
        </w:rPr>
        <w:t xml:space="preserve"> juillet 2017</w:t>
      </w:r>
    </w:p>
    <w:p w:rsidR="004A0F77" w:rsidRDefault="004A0F77" w:rsidP="00FC4330">
      <w:pPr>
        <w:rPr>
          <w:sz w:val="24"/>
          <w:szCs w:val="24"/>
        </w:rPr>
      </w:pPr>
    </w:p>
    <w:p w:rsidR="00FC4330" w:rsidRDefault="00FC4330">
      <w:pPr>
        <w:rPr>
          <w:sz w:val="24"/>
          <w:szCs w:val="24"/>
        </w:rPr>
      </w:pPr>
      <w:r>
        <w:rPr>
          <w:sz w:val="24"/>
          <w:szCs w:val="24"/>
        </w:rPr>
        <w:br w:type="page"/>
      </w:r>
    </w:p>
    <w:sdt>
      <w:sdtPr>
        <w:rPr>
          <w:rFonts w:ascii="Arial" w:eastAsia="Arial" w:hAnsi="Arial" w:cs="Arial"/>
          <w:b w:val="0"/>
          <w:bCs w:val="0"/>
          <w:color w:val="000000"/>
          <w:sz w:val="22"/>
          <w:szCs w:val="22"/>
          <w:lang w:val="fr-CA" w:eastAsia="fr-CA"/>
        </w:rPr>
        <w:id w:val="636269923"/>
        <w:docPartObj>
          <w:docPartGallery w:val="Table of Contents"/>
          <w:docPartUnique/>
        </w:docPartObj>
      </w:sdtPr>
      <w:sdtContent>
        <w:p w:rsidR="002C6302" w:rsidRDefault="002C6302" w:rsidP="002C6302">
          <w:pPr>
            <w:pStyle w:val="En-ttedetabledesmatires"/>
          </w:pPr>
          <w:r>
            <w:t>Sommaire</w:t>
          </w:r>
        </w:p>
        <w:p w:rsidR="00495921" w:rsidRDefault="005D1B38">
          <w:pPr>
            <w:pStyle w:val="TM1"/>
            <w:tabs>
              <w:tab w:val="left" w:pos="440"/>
              <w:tab w:val="right" w:leader="dot" w:pos="9019"/>
            </w:tabs>
            <w:rPr>
              <w:rFonts w:asciiTheme="minorHAnsi" w:eastAsiaTheme="minorEastAsia" w:hAnsiTheme="minorHAnsi" w:cstheme="minorBidi"/>
              <w:noProof/>
              <w:color w:val="auto"/>
            </w:rPr>
          </w:pPr>
          <w:r>
            <w:rPr>
              <w:lang w:val="fr-FR"/>
            </w:rPr>
            <w:fldChar w:fldCharType="begin"/>
          </w:r>
          <w:r w:rsidR="002C6302">
            <w:rPr>
              <w:lang w:val="fr-FR"/>
            </w:rPr>
            <w:instrText xml:space="preserve"> TOC \o "1-3" \h \z \u </w:instrText>
          </w:r>
          <w:r>
            <w:rPr>
              <w:lang w:val="fr-FR"/>
            </w:rPr>
            <w:fldChar w:fldCharType="separate"/>
          </w:r>
          <w:hyperlink w:anchor="_Toc487539736" w:history="1">
            <w:r w:rsidR="00495921" w:rsidRPr="005478B2">
              <w:rPr>
                <w:rStyle w:val="Lienhypertexte"/>
                <w:noProof/>
              </w:rPr>
              <w:t>1.</w:t>
            </w:r>
            <w:r w:rsidR="00495921">
              <w:rPr>
                <w:rFonts w:asciiTheme="minorHAnsi" w:eastAsiaTheme="minorEastAsia" w:hAnsiTheme="minorHAnsi" w:cstheme="minorBidi"/>
                <w:noProof/>
                <w:color w:val="auto"/>
              </w:rPr>
              <w:tab/>
            </w:r>
            <w:r w:rsidR="00495921" w:rsidRPr="005478B2">
              <w:rPr>
                <w:rStyle w:val="Lienhypertexte"/>
                <w:noProof/>
              </w:rPr>
              <w:t>Introduction</w:t>
            </w:r>
            <w:r w:rsidR="00495921">
              <w:rPr>
                <w:noProof/>
                <w:webHidden/>
              </w:rPr>
              <w:tab/>
            </w:r>
            <w:r w:rsidR="00495921">
              <w:rPr>
                <w:noProof/>
                <w:webHidden/>
              </w:rPr>
              <w:fldChar w:fldCharType="begin"/>
            </w:r>
            <w:r w:rsidR="00495921">
              <w:rPr>
                <w:noProof/>
                <w:webHidden/>
              </w:rPr>
              <w:instrText xml:space="preserve"> PAGEREF _Toc487539736 \h </w:instrText>
            </w:r>
            <w:r w:rsidR="00495921">
              <w:rPr>
                <w:noProof/>
                <w:webHidden/>
              </w:rPr>
            </w:r>
            <w:r w:rsidR="00495921">
              <w:rPr>
                <w:noProof/>
                <w:webHidden/>
              </w:rPr>
              <w:fldChar w:fldCharType="separate"/>
            </w:r>
            <w:r w:rsidR="00495921">
              <w:rPr>
                <w:noProof/>
                <w:webHidden/>
              </w:rPr>
              <w:t>2</w:t>
            </w:r>
            <w:r w:rsidR="00495921">
              <w:rPr>
                <w:noProof/>
                <w:webHidden/>
              </w:rPr>
              <w:fldChar w:fldCharType="end"/>
            </w:r>
          </w:hyperlink>
        </w:p>
        <w:p w:rsidR="00495921" w:rsidRDefault="00495921">
          <w:pPr>
            <w:pStyle w:val="TM1"/>
            <w:tabs>
              <w:tab w:val="left" w:pos="440"/>
              <w:tab w:val="right" w:leader="dot" w:pos="9019"/>
            </w:tabs>
            <w:rPr>
              <w:rFonts w:asciiTheme="minorHAnsi" w:eastAsiaTheme="minorEastAsia" w:hAnsiTheme="minorHAnsi" w:cstheme="minorBidi"/>
              <w:noProof/>
              <w:color w:val="auto"/>
            </w:rPr>
          </w:pPr>
          <w:hyperlink w:anchor="_Toc487539737" w:history="1">
            <w:r w:rsidRPr="005478B2">
              <w:rPr>
                <w:rStyle w:val="Lienhypertexte"/>
                <w:noProof/>
              </w:rPr>
              <w:t>2.</w:t>
            </w:r>
            <w:r>
              <w:rPr>
                <w:rFonts w:asciiTheme="minorHAnsi" w:eastAsiaTheme="minorEastAsia" w:hAnsiTheme="minorHAnsi" w:cstheme="minorBidi"/>
                <w:noProof/>
                <w:color w:val="auto"/>
              </w:rPr>
              <w:tab/>
            </w:r>
            <w:r w:rsidRPr="005478B2">
              <w:rPr>
                <w:rStyle w:val="Lienhypertexte"/>
                <w:noProof/>
              </w:rPr>
              <w:t>Définitions</w:t>
            </w:r>
            <w:r>
              <w:rPr>
                <w:noProof/>
                <w:webHidden/>
              </w:rPr>
              <w:tab/>
            </w:r>
            <w:r>
              <w:rPr>
                <w:noProof/>
                <w:webHidden/>
              </w:rPr>
              <w:fldChar w:fldCharType="begin"/>
            </w:r>
            <w:r>
              <w:rPr>
                <w:noProof/>
                <w:webHidden/>
              </w:rPr>
              <w:instrText xml:space="preserve"> PAGEREF _Toc487539737 \h </w:instrText>
            </w:r>
            <w:r>
              <w:rPr>
                <w:noProof/>
                <w:webHidden/>
              </w:rPr>
            </w:r>
            <w:r>
              <w:rPr>
                <w:noProof/>
                <w:webHidden/>
              </w:rPr>
              <w:fldChar w:fldCharType="separate"/>
            </w:r>
            <w:r>
              <w:rPr>
                <w:noProof/>
                <w:webHidden/>
              </w:rPr>
              <w:t>3</w:t>
            </w:r>
            <w:r>
              <w:rPr>
                <w:noProof/>
                <w:webHidden/>
              </w:rPr>
              <w:fldChar w:fldCharType="end"/>
            </w:r>
          </w:hyperlink>
        </w:p>
        <w:p w:rsidR="00495921" w:rsidRDefault="00495921">
          <w:pPr>
            <w:pStyle w:val="TM2"/>
            <w:tabs>
              <w:tab w:val="left" w:pos="880"/>
              <w:tab w:val="right" w:leader="dot" w:pos="9019"/>
            </w:tabs>
            <w:rPr>
              <w:rFonts w:asciiTheme="minorHAnsi" w:eastAsiaTheme="minorEastAsia" w:hAnsiTheme="minorHAnsi" w:cstheme="minorBidi"/>
              <w:noProof/>
              <w:color w:val="auto"/>
            </w:rPr>
          </w:pPr>
          <w:hyperlink w:anchor="_Toc487539738" w:history="1">
            <w:r w:rsidRPr="005478B2">
              <w:rPr>
                <w:rStyle w:val="Lienhypertexte"/>
                <w:noProof/>
              </w:rPr>
              <w:t>2.1.</w:t>
            </w:r>
            <w:r>
              <w:rPr>
                <w:rFonts w:asciiTheme="minorHAnsi" w:eastAsiaTheme="minorEastAsia" w:hAnsiTheme="minorHAnsi" w:cstheme="minorBidi"/>
                <w:noProof/>
                <w:color w:val="auto"/>
              </w:rPr>
              <w:tab/>
            </w:r>
            <w:r w:rsidRPr="005478B2">
              <w:rPr>
                <w:rStyle w:val="Lienhypertexte"/>
                <w:noProof/>
              </w:rPr>
              <w:t>Personne handicapée</w:t>
            </w:r>
            <w:r>
              <w:rPr>
                <w:noProof/>
                <w:webHidden/>
              </w:rPr>
              <w:tab/>
            </w:r>
            <w:r>
              <w:rPr>
                <w:noProof/>
                <w:webHidden/>
              </w:rPr>
              <w:fldChar w:fldCharType="begin"/>
            </w:r>
            <w:r>
              <w:rPr>
                <w:noProof/>
                <w:webHidden/>
              </w:rPr>
              <w:instrText xml:space="preserve"> PAGEREF _Toc487539738 \h </w:instrText>
            </w:r>
            <w:r>
              <w:rPr>
                <w:noProof/>
                <w:webHidden/>
              </w:rPr>
            </w:r>
            <w:r>
              <w:rPr>
                <w:noProof/>
                <w:webHidden/>
              </w:rPr>
              <w:fldChar w:fldCharType="separate"/>
            </w:r>
            <w:r>
              <w:rPr>
                <w:noProof/>
                <w:webHidden/>
              </w:rPr>
              <w:t>3</w:t>
            </w:r>
            <w:r>
              <w:rPr>
                <w:noProof/>
                <w:webHidden/>
              </w:rPr>
              <w:fldChar w:fldCharType="end"/>
            </w:r>
          </w:hyperlink>
        </w:p>
        <w:p w:rsidR="00495921" w:rsidRDefault="00495921">
          <w:pPr>
            <w:pStyle w:val="TM2"/>
            <w:tabs>
              <w:tab w:val="left" w:pos="880"/>
              <w:tab w:val="right" w:leader="dot" w:pos="9019"/>
            </w:tabs>
            <w:rPr>
              <w:rFonts w:asciiTheme="minorHAnsi" w:eastAsiaTheme="minorEastAsia" w:hAnsiTheme="minorHAnsi" w:cstheme="minorBidi"/>
              <w:noProof/>
              <w:color w:val="auto"/>
            </w:rPr>
          </w:pPr>
          <w:hyperlink w:anchor="_Toc487539739" w:history="1">
            <w:r w:rsidRPr="005478B2">
              <w:rPr>
                <w:rStyle w:val="Lienhypertexte"/>
                <w:noProof/>
              </w:rPr>
              <w:t>2.2.</w:t>
            </w:r>
            <w:r>
              <w:rPr>
                <w:rFonts w:asciiTheme="minorHAnsi" w:eastAsiaTheme="minorEastAsia" w:hAnsiTheme="minorHAnsi" w:cstheme="minorBidi"/>
                <w:noProof/>
                <w:color w:val="auto"/>
              </w:rPr>
              <w:tab/>
            </w:r>
            <w:r w:rsidRPr="005478B2">
              <w:rPr>
                <w:rStyle w:val="Lienhypertexte"/>
                <w:noProof/>
              </w:rPr>
              <w:t>L’accessibilité universelle</w:t>
            </w:r>
            <w:r>
              <w:rPr>
                <w:noProof/>
                <w:webHidden/>
              </w:rPr>
              <w:tab/>
            </w:r>
            <w:r>
              <w:rPr>
                <w:noProof/>
                <w:webHidden/>
              </w:rPr>
              <w:fldChar w:fldCharType="begin"/>
            </w:r>
            <w:r>
              <w:rPr>
                <w:noProof/>
                <w:webHidden/>
              </w:rPr>
              <w:instrText xml:space="preserve"> PAGEREF _Toc487539739 \h </w:instrText>
            </w:r>
            <w:r>
              <w:rPr>
                <w:noProof/>
                <w:webHidden/>
              </w:rPr>
            </w:r>
            <w:r>
              <w:rPr>
                <w:noProof/>
                <w:webHidden/>
              </w:rPr>
              <w:fldChar w:fldCharType="separate"/>
            </w:r>
            <w:r>
              <w:rPr>
                <w:noProof/>
                <w:webHidden/>
              </w:rPr>
              <w:t>3</w:t>
            </w:r>
            <w:r>
              <w:rPr>
                <w:noProof/>
                <w:webHidden/>
              </w:rPr>
              <w:fldChar w:fldCharType="end"/>
            </w:r>
          </w:hyperlink>
        </w:p>
        <w:p w:rsidR="00495921" w:rsidRDefault="00495921">
          <w:pPr>
            <w:pStyle w:val="TM3"/>
            <w:tabs>
              <w:tab w:val="right" w:leader="dot" w:pos="9019"/>
            </w:tabs>
            <w:rPr>
              <w:rFonts w:asciiTheme="minorHAnsi" w:eastAsiaTheme="minorEastAsia" w:hAnsiTheme="minorHAnsi" w:cstheme="minorBidi"/>
              <w:noProof/>
              <w:color w:val="auto"/>
            </w:rPr>
          </w:pPr>
          <w:hyperlink w:anchor="_Toc487539740" w:history="1">
            <w:r w:rsidRPr="005478B2">
              <w:rPr>
                <w:rStyle w:val="Lienhypertexte"/>
                <w:noProof/>
              </w:rPr>
              <w:t>Aménagement</w:t>
            </w:r>
            <w:r>
              <w:rPr>
                <w:noProof/>
                <w:webHidden/>
              </w:rPr>
              <w:tab/>
            </w:r>
            <w:r>
              <w:rPr>
                <w:noProof/>
                <w:webHidden/>
              </w:rPr>
              <w:fldChar w:fldCharType="begin"/>
            </w:r>
            <w:r>
              <w:rPr>
                <w:noProof/>
                <w:webHidden/>
              </w:rPr>
              <w:instrText xml:space="preserve"> PAGEREF _Toc487539740 \h </w:instrText>
            </w:r>
            <w:r>
              <w:rPr>
                <w:noProof/>
                <w:webHidden/>
              </w:rPr>
            </w:r>
            <w:r>
              <w:rPr>
                <w:noProof/>
                <w:webHidden/>
              </w:rPr>
              <w:fldChar w:fldCharType="separate"/>
            </w:r>
            <w:r>
              <w:rPr>
                <w:noProof/>
                <w:webHidden/>
              </w:rPr>
              <w:t>4</w:t>
            </w:r>
            <w:r>
              <w:rPr>
                <w:noProof/>
                <w:webHidden/>
              </w:rPr>
              <w:fldChar w:fldCharType="end"/>
            </w:r>
          </w:hyperlink>
        </w:p>
        <w:p w:rsidR="00495921" w:rsidRDefault="00495921">
          <w:pPr>
            <w:pStyle w:val="TM3"/>
            <w:tabs>
              <w:tab w:val="right" w:leader="dot" w:pos="9019"/>
            </w:tabs>
            <w:rPr>
              <w:rFonts w:asciiTheme="minorHAnsi" w:eastAsiaTheme="minorEastAsia" w:hAnsiTheme="minorHAnsi" w:cstheme="minorBidi"/>
              <w:noProof/>
              <w:color w:val="auto"/>
            </w:rPr>
          </w:pPr>
          <w:hyperlink w:anchor="_Toc487539741" w:history="1">
            <w:r w:rsidRPr="005478B2">
              <w:rPr>
                <w:rStyle w:val="Lienhypertexte"/>
                <w:noProof/>
              </w:rPr>
              <w:t>Communication</w:t>
            </w:r>
            <w:r>
              <w:rPr>
                <w:noProof/>
                <w:webHidden/>
              </w:rPr>
              <w:tab/>
            </w:r>
            <w:r>
              <w:rPr>
                <w:noProof/>
                <w:webHidden/>
              </w:rPr>
              <w:fldChar w:fldCharType="begin"/>
            </w:r>
            <w:r>
              <w:rPr>
                <w:noProof/>
                <w:webHidden/>
              </w:rPr>
              <w:instrText xml:space="preserve"> PAGEREF _Toc487539741 \h </w:instrText>
            </w:r>
            <w:r>
              <w:rPr>
                <w:noProof/>
                <w:webHidden/>
              </w:rPr>
            </w:r>
            <w:r>
              <w:rPr>
                <w:noProof/>
                <w:webHidden/>
              </w:rPr>
              <w:fldChar w:fldCharType="separate"/>
            </w:r>
            <w:r>
              <w:rPr>
                <w:noProof/>
                <w:webHidden/>
              </w:rPr>
              <w:t>4</w:t>
            </w:r>
            <w:r>
              <w:rPr>
                <w:noProof/>
                <w:webHidden/>
              </w:rPr>
              <w:fldChar w:fldCharType="end"/>
            </w:r>
          </w:hyperlink>
        </w:p>
        <w:p w:rsidR="00495921" w:rsidRDefault="00495921">
          <w:pPr>
            <w:pStyle w:val="TM3"/>
            <w:tabs>
              <w:tab w:val="right" w:leader="dot" w:pos="9019"/>
            </w:tabs>
            <w:rPr>
              <w:rFonts w:asciiTheme="minorHAnsi" w:eastAsiaTheme="minorEastAsia" w:hAnsiTheme="minorHAnsi" w:cstheme="minorBidi"/>
              <w:noProof/>
              <w:color w:val="auto"/>
            </w:rPr>
          </w:pPr>
          <w:hyperlink w:anchor="_Toc487539742" w:history="1">
            <w:r w:rsidRPr="005478B2">
              <w:rPr>
                <w:rStyle w:val="Lienhypertexte"/>
                <w:noProof/>
              </w:rPr>
              <w:t>Programmes et services</w:t>
            </w:r>
            <w:r>
              <w:rPr>
                <w:noProof/>
                <w:webHidden/>
              </w:rPr>
              <w:tab/>
            </w:r>
            <w:r>
              <w:rPr>
                <w:noProof/>
                <w:webHidden/>
              </w:rPr>
              <w:fldChar w:fldCharType="begin"/>
            </w:r>
            <w:r>
              <w:rPr>
                <w:noProof/>
                <w:webHidden/>
              </w:rPr>
              <w:instrText xml:space="preserve"> PAGEREF _Toc487539742 \h </w:instrText>
            </w:r>
            <w:r>
              <w:rPr>
                <w:noProof/>
                <w:webHidden/>
              </w:rPr>
            </w:r>
            <w:r>
              <w:rPr>
                <w:noProof/>
                <w:webHidden/>
              </w:rPr>
              <w:fldChar w:fldCharType="separate"/>
            </w:r>
            <w:r>
              <w:rPr>
                <w:noProof/>
                <w:webHidden/>
              </w:rPr>
              <w:t>4</w:t>
            </w:r>
            <w:r>
              <w:rPr>
                <w:noProof/>
                <w:webHidden/>
              </w:rPr>
              <w:fldChar w:fldCharType="end"/>
            </w:r>
          </w:hyperlink>
        </w:p>
        <w:p w:rsidR="00495921" w:rsidRDefault="00495921">
          <w:pPr>
            <w:pStyle w:val="TM3"/>
            <w:tabs>
              <w:tab w:val="right" w:leader="dot" w:pos="9019"/>
            </w:tabs>
            <w:rPr>
              <w:rFonts w:asciiTheme="minorHAnsi" w:eastAsiaTheme="minorEastAsia" w:hAnsiTheme="minorHAnsi" w:cstheme="minorBidi"/>
              <w:noProof/>
              <w:color w:val="auto"/>
            </w:rPr>
          </w:pPr>
          <w:hyperlink w:anchor="_Toc487539743" w:history="1">
            <w:r w:rsidRPr="005478B2">
              <w:rPr>
                <w:rStyle w:val="Lienhypertexte"/>
                <w:noProof/>
              </w:rPr>
              <w:t>Sensibilisation et formation</w:t>
            </w:r>
            <w:r>
              <w:rPr>
                <w:noProof/>
                <w:webHidden/>
              </w:rPr>
              <w:tab/>
            </w:r>
            <w:r>
              <w:rPr>
                <w:noProof/>
                <w:webHidden/>
              </w:rPr>
              <w:fldChar w:fldCharType="begin"/>
            </w:r>
            <w:r>
              <w:rPr>
                <w:noProof/>
                <w:webHidden/>
              </w:rPr>
              <w:instrText xml:space="preserve"> PAGEREF _Toc487539743 \h </w:instrText>
            </w:r>
            <w:r>
              <w:rPr>
                <w:noProof/>
                <w:webHidden/>
              </w:rPr>
            </w:r>
            <w:r>
              <w:rPr>
                <w:noProof/>
                <w:webHidden/>
              </w:rPr>
              <w:fldChar w:fldCharType="separate"/>
            </w:r>
            <w:r>
              <w:rPr>
                <w:noProof/>
                <w:webHidden/>
              </w:rPr>
              <w:t>4</w:t>
            </w:r>
            <w:r>
              <w:rPr>
                <w:noProof/>
                <w:webHidden/>
              </w:rPr>
              <w:fldChar w:fldCharType="end"/>
            </w:r>
          </w:hyperlink>
        </w:p>
        <w:p w:rsidR="00495921" w:rsidRDefault="00495921">
          <w:pPr>
            <w:pStyle w:val="TM2"/>
            <w:tabs>
              <w:tab w:val="left" w:pos="880"/>
              <w:tab w:val="right" w:leader="dot" w:pos="9019"/>
            </w:tabs>
            <w:rPr>
              <w:rFonts w:asciiTheme="minorHAnsi" w:eastAsiaTheme="minorEastAsia" w:hAnsiTheme="minorHAnsi" w:cstheme="minorBidi"/>
              <w:noProof/>
              <w:color w:val="auto"/>
            </w:rPr>
          </w:pPr>
          <w:hyperlink w:anchor="_Toc487539744" w:history="1">
            <w:r w:rsidRPr="005478B2">
              <w:rPr>
                <w:rStyle w:val="Lienhypertexte"/>
                <w:noProof/>
              </w:rPr>
              <w:t>2.3.</w:t>
            </w:r>
            <w:r>
              <w:rPr>
                <w:rFonts w:asciiTheme="minorHAnsi" w:eastAsiaTheme="minorEastAsia" w:hAnsiTheme="minorHAnsi" w:cstheme="minorBidi"/>
                <w:noProof/>
                <w:color w:val="auto"/>
              </w:rPr>
              <w:tab/>
            </w:r>
            <w:r w:rsidRPr="005478B2">
              <w:rPr>
                <w:rStyle w:val="Lienhypertexte"/>
                <w:noProof/>
              </w:rPr>
              <w:t>Obligation d’accommodement et contrainte excessive</w:t>
            </w:r>
            <w:r>
              <w:rPr>
                <w:noProof/>
                <w:webHidden/>
              </w:rPr>
              <w:tab/>
            </w:r>
            <w:r>
              <w:rPr>
                <w:noProof/>
                <w:webHidden/>
              </w:rPr>
              <w:fldChar w:fldCharType="begin"/>
            </w:r>
            <w:r>
              <w:rPr>
                <w:noProof/>
                <w:webHidden/>
              </w:rPr>
              <w:instrText xml:space="preserve"> PAGEREF _Toc487539744 \h </w:instrText>
            </w:r>
            <w:r>
              <w:rPr>
                <w:noProof/>
                <w:webHidden/>
              </w:rPr>
            </w:r>
            <w:r>
              <w:rPr>
                <w:noProof/>
                <w:webHidden/>
              </w:rPr>
              <w:fldChar w:fldCharType="separate"/>
            </w:r>
            <w:r>
              <w:rPr>
                <w:noProof/>
                <w:webHidden/>
              </w:rPr>
              <w:t>5</w:t>
            </w:r>
            <w:r>
              <w:rPr>
                <w:noProof/>
                <w:webHidden/>
              </w:rPr>
              <w:fldChar w:fldCharType="end"/>
            </w:r>
          </w:hyperlink>
        </w:p>
        <w:p w:rsidR="00495921" w:rsidRDefault="00495921">
          <w:pPr>
            <w:pStyle w:val="TM1"/>
            <w:tabs>
              <w:tab w:val="left" w:pos="440"/>
              <w:tab w:val="right" w:leader="dot" w:pos="9019"/>
            </w:tabs>
            <w:rPr>
              <w:rFonts w:asciiTheme="minorHAnsi" w:eastAsiaTheme="minorEastAsia" w:hAnsiTheme="minorHAnsi" w:cstheme="minorBidi"/>
              <w:noProof/>
              <w:color w:val="auto"/>
            </w:rPr>
          </w:pPr>
          <w:hyperlink w:anchor="_Toc487539745" w:history="1">
            <w:r w:rsidRPr="005478B2">
              <w:rPr>
                <w:rStyle w:val="Lienhypertexte"/>
                <w:noProof/>
              </w:rPr>
              <w:t>3.</w:t>
            </w:r>
            <w:r>
              <w:rPr>
                <w:rFonts w:asciiTheme="minorHAnsi" w:eastAsiaTheme="minorEastAsia" w:hAnsiTheme="minorHAnsi" w:cstheme="minorBidi"/>
                <w:noProof/>
                <w:color w:val="auto"/>
              </w:rPr>
              <w:tab/>
            </w:r>
            <w:r w:rsidRPr="005478B2">
              <w:rPr>
                <w:rStyle w:val="Lienhypertexte"/>
                <w:noProof/>
              </w:rPr>
              <w:t>Objet et approche</w:t>
            </w:r>
            <w:r>
              <w:rPr>
                <w:noProof/>
                <w:webHidden/>
              </w:rPr>
              <w:tab/>
            </w:r>
            <w:r>
              <w:rPr>
                <w:noProof/>
                <w:webHidden/>
              </w:rPr>
              <w:fldChar w:fldCharType="begin"/>
            </w:r>
            <w:r>
              <w:rPr>
                <w:noProof/>
                <w:webHidden/>
              </w:rPr>
              <w:instrText xml:space="preserve"> PAGEREF _Toc487539745 \h </w:instrText>
            </w:r>
            <w:r>
              <w:rPr>
                <w:noProof/>
                <w:webHidden/>
              </w:rPr>
            </w:r>
            <w:r>
              <w:rPr>
                <w:noProof/>
                <w:webHidden/>
              </w:rPr>
              <w:fldChar w:fldCharType="separate"/>
            </w:r>
            <w:r>
              <w:rPr>
                <w:noProof/>
                <w:webHidden/>
              </w:rPr>
              <w:t>6</w:t>
            </w:r>
            <w:r>
              <w:rPr>
                <w:noProof/>
                <w:webHidden/>
              </w:rPr>
              <w:fldChar w:fldCharType="end"/>
            </w:r>
          </w:hyperlink>
        </w:p>
        <w:p w:rsidR="00495921" w:rsidRDefault="00495921">
          <w:pPr>
            <w:pStyle w:val="TM2"/>
            <w:tabs>
              <w:tab w:val="left" w:pos="880"/>
              <w:tab w:val="right" w:leader="dot" w:pos="9019"/>
            </w:tabs>
            <w:rPr>
              <w:rFonts w:asciiTheme="minorHAnsi" w:eastAsiaTheme="minorEastAsia" w:hAnsiTheme="minorHAnsi" w:cstheme="minorBidi"/>
              <w:noProof/>
              <w:color w:val="auto"/>
            </w:rPr>
          </w:pPr>
          <w:hyperlink w:anchor="_Toc487539746" w:history="1">
            <w:r w:rsidRPr="005478B2">
              <w:rPr>
                <w:rStyle w:val="Lienhypertexte"/>
                <w:noProof/>
              </w:rPr>
              <w:t>3.1.</w:t>
            </w:r>
            <w:r>
              <w:rPr>
                <w:rFonts w:asciiTheme="minorHAnsi" w:eastAsiaTheme="minorEastAsia" w:hAnsiTheme="minorHAnsi" w:cstheme="minorBidi"/>
                <w:noProof/>
                <w:color w:val="auto"/>
              </w:rPr>
              <w:tab/>
            </w:r>
            <w:r w:rsidRPr="005478B2">
              <w:rPr>
                <w:rStyle w:val="Lienhypertexte"/>
                <w:noProof/>
              </w:rPr>
              <w:t>Inclusion sociale</w:t>
            </w:r>
            <w:r>
              <w:rPr>
                <w:noProof/>
                <w:webHidden/>
              </w:rPr>
              <w:tab/>
            </w:r>
            <w:r>
              <w:rPr>
                <w:noProof/>
                <w:webHidden/>
              </w:rPr>
              <w:fldChar w:fldCharType="begin"/>
            </w:r>
            <w:r>
              <w:rPr>
                <w:noProof/>
                <w:webHidden/>
              </w:rPr>
              <w:instrText xml:space="preserve"> PAGEREF _Toc487539746 \h </w:instrText>
            </w:r>
            <w:r>
              <w:rPr>
                <w:noProof/>
                <w:webHidden/>
              </w:rPr>
            </w:r>
            <w:r>
              <w:rPr>
                <w:noProof/>
                <w:webHidden/>
              </w:rPr>
              <w:fldChar w:fldCharType="separate"/>
            </w:r>
            <w:r>
              <w:rPr>
                <w:noProof/>
                <w:webHidden/>
              </w:rPr>
              <w:t>6</w:t>
            </w:r>
            <w:r>
              <w:rPr>
                <w:noProof/>
                <w:webHidden/>
              </w:rPr>
              <w:fldChar w:fldCharType="end"/>
            </w:r>
          </w:hyperlink>
        </w:p>
        <w:p w:rsidR="00495921" w:rsidRDefault="00495921">
          <w:pPr>
            <w:pStyle w:val="TM2"/>
            <w:tabs>
              <w:tab w:val="left" w:pos="880"/>
              <w:tab w:val="right" w:leader="dot" w:pos="9019"/>
            </w:tabs>
            <w:rPr>
              <w:rFonts w:asciiTheme="minorHAnsi" w:eastAsiaTheme="minorEastAsia" w:hAnsiTheme="minorHAnsi" w:cstheme="minorBidi"/>
              <w:noProof/>
              <w:color w:val="auto"/>
            </w:rPr>
          </w:pPr>
          <w:hyperlink w:anchor="_Toc487539747" w:history="1">
            <w:r w:rsidRPr="005478B2">
              <w:rPr>
                <w:rStyle w:val="Lienhypertexte"/>
                <w:noProof/>
              </w:rPr>
              <w:t>3.2.</w:t>
            </w:r>
            <w:r>
              <w:rPr>
                <w:rFonts w:asciiTheme="minorHAnsi" w:eastAsiaTheme="minorEastAsia" w:hAnsiTheme="minorHAnsi" w:cstheme="minorBidi"/>
                <w:noProof/>
                <w:color w:val="auto"/>
              </w:rPr>
              <w:tab/>
            </w:r>
            <w:r w:rsidRPr="005478B2">
              <w:rPr>
                <w:rStyle w:val="Lienhypertexte"/>
                <w:noProof/>
              </w:rPr>
              <w:t>Approche transversale</w:t>
            </w:r>
            <w:r>
              <w:rPr>
                <w:noProof/>
                <w:webHidden/>
              </w:rPr>
              <w:tab/>
            </w:r>
            <w:r>
              <w:rPr>
                <w:noProof/>
                <w:webHidden/>
              </w:rPr>
              <w:fldChar w:fldCharType="begin"/>
            </w:r>
            <w:r>
              <w:rPr>
                <w:noProof/>
                <w:webHidden/>
              </w:rPr>
              <w:instrText xml:space="preserve"> PAGEREF _Toc487539747 \h </w:instrText>
            </w:r>
            <w:r>
              <w:rPr>
                <w:noProof/>
                <w:webHidden/>
              </w:rPr>
            </w:r>
            <w:r>
              <w:rPr>
                <w:noProof/>
                <w:webHidden/>
              </w:rPr>
              <w:fldChar w:fldCharType="separate"/>
            </w:r>
            <w:r>
              <w:rPr>
                <w:noProof/>
                <w:webHidden/>
              </w:rPr>
              <w:t>7</w:t>
            </w:r>
            <w:r>
              <w:rPr>
                <w:noProof/>
                <w:webHidden/>
              </w:rPr>
              <w:fldChar w:fldCharType="end"/>
            </w:r>
          </w:hyperlink>
        </w:p>
        <w:p w:rsidR="00495921" w:rsidRDefault="00495921">
          <w:pPr>
            <w:pStyle w:val="TM1"/>
            <w:tabs>
              <w:tab w:val="left" w:pos="440"/>
              <w:tab w:val="right" w:leader="dot" w:pos="9019"/>
            </w:tabs>
            <w:rPr>
              <w:rFonts w:asciiTheme="minorHAnsi" w:eastAsiaTheme="minorEastAsia" w:hAnsiTheme="minorHAnsi" w:cstheme="minorBidi"/>
              <w:noProof/>
              <w:color w:val="auto"/>
            </w:rPr>
          </w:pPr>
          <w:hyperlink w:anchor="_Toc487539748" w:history="1">
            <w:r w:rsidRPr="005478B2">
              <w:rPr>
                <w:rStyle w:val="Lienhypertexte"/>
                <w:noProof/>
                <w:highlight w:val="white"/>
              </w:rPr>
              <w:t>4.</w:t>
            </w:r>
            <w:r>
              <w:rPr>
                <w:rFonts w:asciiTheme="minorHAnsi" w:eastAsiaTheme="minorEastAsia" w:hAnsiTheme="minorHAnsi" w:cstheme="minorBidi"/>
                <w:noProof/>
                <w:color w:val="auto"/>
              </w:rPr>
              <w:tab/>
            </w:r>
            <w:r w:rsidRPr="005478B2">
              <w:rPr>
                <w:rStyle w:val="Lienhypertexte"/>
                <w:noProof/>
                <w:highlight w:val="white"/>
              </w:rPr>
              <w:t>Application de la Loi</w:t>
            </w:r>
            <w:r>
              <w:rPr>
                <w:noProof/>
                <w:webHidden/>
              </w:rPr>
              <w:tab/>
            </w:r>
            <w:r>
              <w:rPr>
                <w:noProof/>
                <w:webHidden/>
              </w:rPr>
              <w:fldChar w:fldCharType="begin"/>
            </w:r>
            <w:r>
              <w:rPr>
                <w:noProof/>
                <w:webHidden/>
              </w:rPr>
              <w:instrText xml:space="preserve"> PAGEREF _Toc487539748 \h </w:instrText>
            </w:r>
            <w:r>
              <w:rPr>
                <w:noProof/>
                <w:webHidden/>
              </w:rPr>
            </w:r>
            <w:r>
              <w:rPr>
                <w:noProof/>
                <w:webHidden/>
              </w:rPr>
              <w:fldChar w:fldCharType="separate"/>
            </w:r>
            <w:r>
              <w:rPr>
                <w:noProof/>
                <w:webHidden/>
              </w:rPr>
              <w:t>8</w:t>
            </w:r>
            <w:r>
              <w:rPr>
                <w:noProof/>
                <w:webHidden/>
              </w:rPr>
              <w:fldChar w:fldCharType="end"/>
            </w:r>
          </w:hyperlink>
        </w:p>
        <w:p w:rsidR="00495921" w:rsidRDefault="00495921">
          <w:pPr>
            <w:pStyle w:val="TM2"/>
            <w:tabs>
              <w:tab w:val="left" w:pos="880"/>
              <w:tab w:val="right" w:leader="dot" w:pos="9019"/>
            </w:tabs>
            <w:rPr>
              <w:rFonts w:asciiTheme="minorHAnsi" w:eastAsiaTheme="minorEastAsia" w:hAnsiTheme="minorHAnsi" w:cstheme="minorBidi"/>
              <w:noProof/>
              <w:color w:val="auto"/>
            </w:rPr>
          </w:pPr>
          <w:hyperlink w:anchor="_Toc487539749" w:history="1">
            <w:r w:rsidRPr="005478B2">
              <w:rPr>
                <w:rStyle w:val="Lienhypertexte"/>
                <w:noProof/>
              </w:rPr>
              <w:t>4.1.</w:t>
            </w:r>
            <w:r>
              <w:rPr>
                <w:rFonts w:asciiTheme="minorHAnsi" w:eastAsiaTheme="minorEastAsia" w:hAnsiTheme="minorHAnsi" w:cstheme="minorBidi"/>
                <w:noProof/>
                <w:color w:val="auto"/>
              </w:rPr>
              <w:tab/>
            </w:r>
            <w:r w:rsidRPr="005478B2">
              <w:rPr>
                <w:rStyle w:val="Lienhypertexte"/>
                <w:noProof/>
              </w:rPr>
              <w:t>Plans d’actions</w:t>
            </w:r>
            <w:r>
              <w:rPr>
                <w:noProof/>
                <w:webHidden/>
              </w:rPr>
              <w:tab/>
            </w:r>
            <w:r>
              <w:rPr>
                <w:noProof/>
                <w:webHidden/>
              </w:rPr>
              <w:fldChar w:fldCharType="begin"/>
            </w:r>
            <w:r>
              <w:rPr>
                <w:noProof/>
                <w:webHidden/>
              </w:rPr>
              <w:instrText xml:space="preserve"> PAGEREF _Toc487539749 \h </w:instrText>
            </w:r>
            <w:r>
              <w:rPr>
                <w:noProof/>
                <w:webHidden/>
              </w:rPr>
            </w:r>
            <w:r>
              <w:rPr>
                <w:noProof/>
                <w:webHidden/>
              </w:rPr>
              <w:fldChar w:fldCharType="separate"/>
            </w:r>
            <w:r>
              <w:rPr>
                <w:noProof/>
                <w:webHidden/>
              </w:rPr>
              <w:t>8</w:t>
            </w:r>
            <w:r>
              <w:rPr>
                <w:noProof/>
                <w:webHidden/>
              </w:rPr>
              <w:fldChar w:fldCharType="end"/>
            </w:r>
          </w:hyperlink>
        </w:p>
        <w:p w:rsidR="00495921" w:rsidRDefault="00495921">
          <w:pPr>
            <w:pStyle w:val="TM2"/>
            <w:tabs>
              <w:tab w:val="left" w:pos="880"/>
              <w:tab w:val="right" w:leader="dot" w:pos="9019"/>
            </w:tabs>
            <w:rPr>
              <w:rFonts w:asciiTheme="minorHAnsi" w:eastAsiaTheme="minorEastAsia" w:hAnsiTheme="minorHAnsi" w:cstheme="minorBidi"/>
              <w:noProof/>
              <w:color w:val="auto"/>
            </w:rPr>
          </w:pPr>
          <w:hyperlink w:anchor="_Toc487539750" w:history="1">
            <w:r w:rsidRPr="005478B2">
              <w:rPr>
                <w:rStyle w:val="Lienhypertexte"/>
                <w:noProof/>
              </w:rPr>
              <w:t>4.2.</w:t>
            </w:r>
            <w:r>
              <w:rPr>
                <w:rFonts w:asciiTheme="minorHAnsi" w:eastAsiaTheme="minorEastAsia" w:hAnsiTheme="minorHAnsi" w:cstheme="minorBidi"/>
                <w:noProof/>
                <w:color w:val="auto"/>
              </w:rPr>
              <w:tab/>
            </w:r>
            <w:r w:rsidRPr="005478B2">
              <w:rPr>
                <w:rStyle w:val="Lienhypertexte"/>
                <w:noProof/>
              </w:rPr>
              <w:t>Conférence FPT sur l’accessibilité</w:t>
            </w:r>
            <w:r>
              <w:rPr>
                <w:noProof/>
                <w:webHidden/>
              </w:rPr>
              <w:tab/>
            </w:r>
            <w:r>
              <w:rPr>
                <w:noProof/>
                <w:webHidden/>
              </w:rPr>
              <w:fldChar w:fldCharType="begin"/>
            </w:r>
            <w:r>
              <w:rPr>
                <w:noProof/>
                <w:webHidden/>
              </w:rPr>
              <w:instrText xml:space="preserve"> PAGEREF _Toc487539750 \h </w:instrText>
            </w:r>
            <w:r>
              <w:rPr>
                <w:noProof/>
                <w:webHidden/>
              </w:rPr>
            </w:r>
            <w:r>
              <w:rPr>
                <w:noProof/>
                <w:webHidden/>
              </w:rPr>
              <w:fldChar w:fldCharType="separate"/>
            </w:r>
            <w:r>
              <w:rPr>
                <w:noProof/>
                <w:webHidden/>
              </w:rPr>
              <w:t>9</w:t>
            </w:r>
            <w:r>
              <w:rPr>
                <w:noProof/>
                <w:webHidden/>
              </w:rPr>
              <w:fldChar w:fldCharType="end"/>
            </w:r>
          </w:hyperlink>
        </w:p>
        <w:p w:rsidR="00495921" w:rsidRDefault="00495921">
          <w:pPr>
            <w:pStyle w:val="TM2"/>
            <w:tabs>
              <w:tab w:val="left" w:pos="880"/>
              <w:tab w:val="right" w:leader="dot" w:pos="9019"/>
            </w:tabs>
            <w:rPr>
              <w:rFonts w:asciiTheme="minorHAnsi" w:eastAsiaTheme="minorEastAsia" w:hAnsiTheme="minorHAnsi" w:cstheme="minorBidi"/>
              <w:noProof/>
              <w:color w:val="auto"/>
            </w:rPr>
          </w:pPr>
          <w:hyperlink w:anchor="_Toc487539751" w:history="1">
            <w:r w:rsidRPr="005478B2">
              <w:rPr>
                <w:rStyle w:val="Lienhypertexte"/>
                <w:noProof/>
              </w:rPr>
              <w:t>4.3.</w:t>
            </w:r>
            <w:r>
              <w:rPr>
                <w:rFonts w:asciiTheme="minorHAnsi" w:eastAsiaTheme="minorEastAsia" w:hAnsiTheme="minorHAnsi" w:cstheme="minorBidi"/>
                <w:noProof/>
                <w:color w:val="auto"/>
              </w:rPr>
              <w:tab/>
            </w:r>
            <w:r w:rsidRPr="005478B2">
              <w:rPr>
                <w:rStyle w:val="Lienhypertexte"/>
                <w:noProof/>
              </w:rPr>
              <w:t>Clause d’accès-conditionnalité</w:t>
            </w:r>
            <w:r>
              <w:rPr>
                <w:noProof/>
                <w:webHidden/>
              </w:rPr>
              <w:tab/>
            </w:r>
            <w:r>
              <w:rPr>
                <w:noProof/>
                <w:webHidden/>
              </w:rPr>
              <w:fldChar w:fldCharType="begin"/>
            </w:r>
            <w:r>
              <w:rPr>
                <w:noProof/>
                <w:webHidden/>
              </w:rPr>
              <w:instrText xml:space="preserve"> PAGEREF _Toc487539751 \h </w:instrText>
            </w:r>
            <w:r>
              <w:rPr>
                <w:noProof/>
                <w:webHidden/>
              </w:rPr>
            </w:r>
            <w:r>
              <w:rPr>
                <w:noProof/>
                <w:webHidden/>
              </w:rPr>
              <w:fldChar w:fldCharType="separate"/>
            </w:r>
            <w:r>
              <w:rPr>
                <w:noProof/>
                <w:webHidden/>
              </w:rPr>
              <w:t>9</w:t>
            </w:r>
            <w:r>
              <w:rPr>
                <w:noProof/>
                <w:webHidden/>
              </w:rPr>
              <w:fldChar w:fldCharType="end"/>
            </w:r>
          </w:hyperlink>
        </w:p>
        <w:p w:rsidR="00495921" w:rsidRDefault="00495921">
          <w:pPr>
            <w:pStyle w:val="TM1"/>
            <w:tabs>
              <w:tab w:val="left" w:pos="440"/>
              <w:tab w:val="right" w:leader="dot" w:pos="9019"/>
            </w:tabs>
            <w:rPr>
              <w:rFonts w:asciiTheme="minorHAnsi" w:eastAsiaTheme="minorEastAsia" w:hAnsiTheme="minorHAnsi" w:cstheme="minorBidi"/>
              <w:noProof/>
              <w:color w:val="auto"/>
            </w:rPr>
          </w:pPr>
          <w:hyperlink w:anchor="_Toc487539752" w:history="1">
            <w:r w:rsidRPr="005478B2">
              <w:rPr>
                <w:rStyle w:val="Lienhypertexte"/>
                <w:noProof/>
              </w:rPr>
              <w:t>5.</w:t>
            </w:r>
            <w:r>
              <w:rPr>
                <w:rFonts w:asciiTheme="minorHAnsi" w:eastAsiaTheme="minorEastAsia" w:hAnsiTheme="minorHAnsi" w:cstheme="minorBidi"/>
                <w:noProof/>
                <w:color w:val="auto"/>
              </w:rPr>
              <w:tab/>
            </w:r>
            <w:r w:rsidRPr="005478B2">
              <w:rPr>
                <w:rStyle w:val="Lienhypertexte"/>
                <w:noProof/>
              </w:rPr>
              <w:t>Mécanismes de surveillance, plaintes et sanctions</w:t>
            </w:r>
            <w:r>
              <w:rPr>
                <w:noProof/>
                <w:webHidden/>
              </w:rPr>
              <w:tab/>
            </w:r>
            <w:r>
              <w:rPr>
                <w:noProof/>
                <w:webHidden/>
              </w:rPr>
              <w:fldChar w:fldCharType="begin"/>
            </w:r>
            <w:r>
              <w:rPr>
                <w:noProof/>
                <w:webHidden/>
              </w:rPr>
              <w:instrText xml:space="preserve"> PAGEREF _Toc487539752 \h </w:instrText>
            </w:r>
            <w:r>
              <w:rPr>
                <w:noProof/>
                <w:webHidden/>
              </w:rPr>
            </w:r>
            <w:r>
              <w:rPr>
                <w:noProof/>
                <w:webHidden/>
              </w:rPr>
              <w:fldChar w:fldCharType="separate"/>
            </w:r>
            <w:r>
              <w:rPr>
                <w:noProof/>
                <w:webHidden/>
              </w:rPr>
              <w:t>10</w:t>
            </w:r>
            <w:r>
              <w:rPr>
                <w:noProof/>
                <w:webHidden/>
              </w:rPr>
              <w:fldChar w:fldCharType="end"/>
            </w:r>
          </w:hyperlink>
        </w:p>
        <w:p w:rsidR="00495921" w:rsidRDefault="00495921">
          <w:pPr>
            <w:pStyle w:val="TM2"/>
            <w:tabs>
              <w:tab w:val="left" w:pos="880"/>
              <w:tab w:val="right" w:leader="dot" w:pos="9019"/>
            </w:tabs>
            <w:rPr>
              <w:rFonts w:asciiTheme="minorHAnsi" w:eastAsiaTheme="minorEastAsia" w:hAnsiTheme="minorHAnsi" w:cstheme="minorBidi"/>
              <w:noProof/>
              <w:color w:val="auto"/>
            </w:rPr>
          </w:pPr>
          <w:hyperlink w:anchor="_Toc487539753" w:history="1">
            <w:r w:rsidRPr="005478B2">
              <w:rPr>
                <w:rStyle w:val="Lienhypertexte"/>
                <w:noProof/>
              </w:rPr>
              <w:t>5.1.</w:t>
            </w:r>
            <w:r>
              <w:rPr>
                <w:rFonts w:asciiTheme="minorHAnsi" w:eastAsiaTheme="minorEastAsia" w:hAnsiTheme="minorHAnsi" w:cstheme="minorBidi"/>
                <w:noProof/>
                <w:color w:val="auto"/>
              </w:rPr>
              <w:tab/>
            </w:r>
            <w:r w:rsidRPr="005478B2">
              <w:rPr>
                <w:rStyle w:val="Lienhypertexte"/>
                <w:noProof/>
              </w:rPr>
              <w:t>Commissaire à l’accessibilité et à l’inclusion</w:t>
            </w:r>
            <w:r>
              <w:rPr>
                <w:noProof/>
                <w:webHidden/>
              </w:rPr>
              <w:tab/>
            </w:r>
            <w:r>
              <w:rPr>
                <w:noProof/>
                <w:webHidden/>
              </w:rPr>
              <w:fldChar w:fldCharType="begin"/>
            </w:r>
            <w:r>
              <w:rPr>
                <w:noProof/>
                <w:webHidden/>
              </w:rPr>
              <w:instrText xml:space="preserve"> PAGEREF _Toc487539753 \h </w:instrText>
            </w:r>
            <w:r>
              <w:rPr>
                <w:noProof/>
                <w:webHidden/>
              </w:rPr>
            </w:r>
            <w:r>
              <w:rPr>
                <w:noProof/>
                <w:webHidden/>
              </w:rPr>
              <w:fldChar w:fldCharType="separate"/>
            </w:r>
            <w:r>
              <w:rPr>
                <w:noProof/>
                <w:webHidden/>
              </w:rPr>
              <w:t>10</w:t>
            </w:r>
            <w:r>
              <w:rPr>
                <w:noProof/>
                <w:webHidden/>
              </w:rPr>
              <w:fldChar w:fldCharType="end"/>
            </w:r>
          </w:hyperlink>
        </w:p>
        <w:p w:rsidR="00495921" w:rsidRDefault="00495921">
          <w:pPr>
            <w:pStyle w:val="TM2"/>
            <w:tabs>
              <w:tab w:val="left" w:pos="880"/>
              <w:tab w:val="right" w:leader="dot" w:pos="9019"/>
            </w:tabs>
            <w:rPr>
              <w:rFonts w:asciiTheme="minorHAnsi" w:eastAsiaTheme="minorEastAsia" w:hAnsiTheme="minorHAnsi" w:cstheme="minorBidi"/>
              <w:noProof/>
              <w:color w:val="auto"/>
            </w:rPr>
          </w:pPr>
          <w:hyperlink w:anchor="_Toc487539754" w:history="1">
            <w:r w:rsidRPr="005478B2">
              <w:rPr>
                <w:rStyle w:val="Lienhypertexte"/>
                <w:noProof/>
              </w:rPr>
              <w:t>5.2.</w:t>
            </w:r>
            <w:r>
              <w:rPr>
                <w:rFonts w:asciiTheme="minorHAnsi" w:eastAsiaTheme="minorEastAsia" w:hAnsiTheme="minorHAnsi" w:cstheme="minorBidi"/>
                <w:noProof/>
                <w:color w:val="auto"/>
              </w:rPr>
              <w:tab/>
            </w:r>
            <w:r w:rsidRPr="005478B2">
              <w:rPr>
                <w:rStyle w:val="Lienhypertexte"/>
                <w:noProof/>
              </w:rPr>
              <w:t>Commission canadienne des droits de la personne</w:t>
            </w:r>
            <w:r>
              <w:rPr>
                <w:noProof/>
                <w:webHidden/>
              </w:rPr>
              <w:tab/>
            </w:r>
            <w:r>
              <w:rPr>
                <w:noProof/>
                <w:webHidden/>
              </w:rPr>
              <w:fldChar w:fldCharType="begin"/>
            </w:r>
            <w:r>
              <w:rPr>
                <w:noProof/>
                <w:webHidden/>
              </w:rPr>
              <w:instrText xml:space="preserve"> PAGEREF _Toc487539754 \h </w:instrText>
            </w:r>
            <w:r>
              <w:rPr>
                <w:noProof/>
                <w:webHidden/>
              </w:rPr>
            </w:r>
            <w:r>
              <w:rPr>
                <w:noProof/>
                <w:webHidden/>
              </w:rPr>
              <w:fldChar w:fldCharType="separate"/>
            </w:r>
            <w:r>
              <w:rPr>
                <w:noProof/>
                <w:webHidden/>
              </w:rPr>
              <w:t>11</w:t>
            </w:r>
            <w:r>
              <w:rPr>
                <w:noProof/>
                <w:webHidden/>
              </w:rPr>
              <w:fldChar w:fldCharType="end"/>
            </w:r>
          </w:hyperlink>
        </w:p>
        <w:p w:rsidR="00495921" w:rsidRDefault="00495921">
          <w:pPr>
            <w:pStyle w:val="TM1"/>
            <w:tabs>
              <w:tab w:val="left" w:pos="440"/>
              <w:tab w:val="right" w:leader="dot" w:pos="9019"/>
            </w:tabs>
            <w:rPr>
              <w:rFonts w:asciiTheme="minorHAnsi" w:eastAsiaTheme="minorEastAsia" w:hAnsiTheme="minorHAnsi" w:cstheme="minorBidi"/>
              <w:noProof/>
              <w:color w:val="auto"/>
            </w:rPr>
          </w:pPr>
          <w:hyperlink w:anchor="_Toc487539755" w:history="1">
            <w:r w:rsidRPr="005478B2">
              <w:rPr>
                <w:rStyle w:val="Lienhypertexte"/>
                <w:noProof/>
              </w:rPr>
              <w:t>6.</w:t>
            </w:r>
            <w:r>
              <w:rPr>
                <w:rFonts w:asciiTheme="minorHAnsi" w:eastAsiaTheme="minorEastAsia" w:hAnsiTheme="minorHAnsi" w:cstheme="minorBidi"/>
                <w:noProof/>
                <w:color w:val="auto"/>
              </w:rPr>
              <w:tab/>
            </w:r>
            <w:r w:rsidRPr="005478B2">
              <w:rPr>
                <w:rStyle w:val="Lienhypertexte"/>
                <w:noProof/>
              </w:rPr>
              <w:t>Suivi et évaluation de la Loi</w:t>
            </w:r>
            <w:r>
              <w:rPr>
                <w:noProof/>
                <w:webHidden/>
              </w:rPr>
              <w:tab/>
            </w:r>
            <w:r>
              <w:rPr>
                <w:noProof/>
                <w:webHidden/>
              </w:rPr>
              <w:fldChar w:fldCharType="begin"/>
            </w:r>
            <w:r>
              <w:rPr>
                <w:noProof/>
                <w:webHidden/>
              </w:rPr>
              <w:instrText xml:space="preserve"> PAGEREF _Toc487539755 \h </w:instrText>
            </w:r>
            <w:r>
              <w:rPr>
                <w:noProof/>
                <w:webHidden/>
              </w:rPr>
            </w:r>
            <w:r>
              <w:rPr>
                <w:noProof/>
                <w:webHidden/>
              </w:rPr>
              <w:fldChar w:fldCharType="separate"/>
            </w:r>
            <w:r>
              <w:rPr>
                <w:noProof/>
                <w:webHidden/>
              </w:rPr>
              <w:t>12</w:t>
            </w:r>
            <w:r>
              <w:rPr>
                <w:noProof/>
                <w:webHidden/>
              </w:rPr>
              <w:fldChar w:fldCharType="end"/>
            </w:r>
          </w:hyperlink>
        </w:p>
        <w:p w:rsidR="00495921" w:rsidRDefault="00495921">
          <w:pPr>
            <w:pStyle w:val="TM2"/>
            <w:tabs>
              <w:tab w:val="left" w:pos="880"/>
              <w:tab w:val="right" w:leader="dot" w:pos="9019"/>
            </w:tabs>
            <w:rPr>
              <w:rFonts w:asciiTheme="minorHAnsi" w:eastAsiaTheme="minorEastAsia" w:hAnsiTheme="minorHAnsi" w:cstheme="minorBidi"/>
              <w:noProof/>
              <w:color w:val="auto"/>
            </w:rPr>
          </w:pPr>
          <w:hyperlink w:anchor="_Toc487539756" w:history="1">
            <w:r w:rsidRPr="005478B2">
              <w:rPr>
                <w:rStyle w:val="Lienhypertexte"/>
                <w:noProof/>
                <w:highlight w:val="white"/>
              </w:rPr>
              <w:t>6.1.</w:t>
            </w:r>
            <w:r>
              <w:rPr>
                <w:rFonts w:asciiTheme="minorHAnsi" w:eastAsiaTheme="minorEastAsia" w:hAnsiTheme="minorHAnsi" w:cstheme="minorBidi"/>
                <w:noProof/>
                <w:color w:val="auto"/>
              </w:rPr>
              <w:tab/>
            </w:r>
            <w:r w:rsidRPr="005478B2">
              <w:rPr>
                <w:rStyle w:val="Lienhypertexte"/>
                <w:noProof/>
                <w:highlight w:val="white"/>
              </w:rPr>
              <w:t>Évaluation indépendante</w:t>
            </w:r>
            <w:r>
              <w:rPr>
                <w:noProof/>
                <w:webHidden/>
              </w:rPr>
              <w:tab/>
            </w:r>
            <w:r>
              <w:rPr>
                <w:noProof/>
                <w:webHidden/>
              </w:rPr>
              <w:fldChar w:fldCharType="begin"/>
            </w:r>
            <w:r>
              <w:rPr>
                <w:noProof/>
                <w:webHidden/>
              </w:rPr>
              <w:instrText xml:space="preserve"> PAGEREF _Toc487539756 \h </w:instrText>
            </w:r>
            <w:r>
              <w:rPr>
                <w:noProof/>
                <w:webHidden/>
              </w:rPr>
            </w:r>
            <w:r>
              <w:rPr>
                <w:noProof/>
                <w:webHidden/>
              </w:rPr>
              <w:fldChar w:fldCharType="separate"/>
            </w:r>
            <w:r>
              <w:rPr>
                <w:noProof/>
                <w:webHidden/>
              </w:rPr>
              <w:t>12</w:t>
            </w:r>
            <w:r>
              <w:rPr>
                <w:noProof/>
                <w:webHidden/>
              </w:rPr>
              <w:fldChar w:fldCharType="end"/>
            </w:r>
          </w:hyperlink>
        </w:p>
        <w:p w:rsidR="00495921" w:rsidRDefault="00495921">
          <w:pPr>
            <w:pStyle w:val="TM2"/>
            <w:tabs>
              <w:tab w:val="left" w:pos="880"/>
              <w:tab w:val="right" w:leader="dot" w:pos="9019"/>
            </w:tabs>
            <w:rPr>
              <w:rFonts w:asciiTheme="minorHAnsi" w:eastAsiaTheme="minorEastAsia" w:hAnsiTheme="minorHAnsi" w:cstheme="minorBidi"/>
              <w:noProof/>
              <w:color w:val="auto"/>
            </w:rPr>
          </w:pPr>
          <w:hyperlink w:anchor="_Toc487539757" w:history="1">
            <w:r w:rsidRPr="005478B2">
              <w:rPr>
                <w:rStyle w:val="Lienhypertexte"/>
                <w:noProof/>
                <w:highlight w:val="white"/>
              </w:rPr>
              <w:t>6.2.</w:t>
            </w:r>
            <w:r>
              <w:rPr>
                <w:rFonts w:asciiTheme="minorHAnsi" w:eastAsiaTheme="minorEastAsia" w:hAnsiTheme="minorHAnsi" w:cstheme="minorBidi"/>
                <w:noProof/>
                <w:color w:val="auto"/>
              </w:rPr>
              <w:tab/>
            </w:r>
            <w:r w:rsidRPr="005478B2">
              <w:rPr>
                <w:rStyle w:val="Lienhypertexte"/>
                <w:noProof/>
                <w:highlight w:val="white"/>
              </w:rPr>
              <w:t>Données et statistiques</w:t>
            </w:r>
            <w:r>
              <w:rPr>
                <w:noProof/>
                <w:webHidden/>
              </w:rPr>
              <w:tab/>
            </w:r>
            <w:r>
              <w:rPr>
                <w:noProof/>
                <w:webHidden/>
              </w:rPr>
              <w:fldChar w:fldCharType="begin"/>
            </w:r>
            <w:r>
              <w:rPr>
                <w:noProof/>
                <w:webHidden/>
              </w:rPr>
              <w:instrText xml:space="preserve"> PAGEREF _Toc487539757 \h </w:instrText>
            </w:r>
            <w:r>
              <w:rPr>
                <w:noProof/>
                <w:webHidden/>
              </w:rPr>
            </w:r>
            <w:r>
              <w:rPr>
                <w:noProof/>
                <w:webHidden/>
              </w:rPr>
              <w:fldChar w:fldCharType="separate"/>
            </w:r>
            <w:r>
              <w:rPr>
                <w:noProof/>
                <w:webHidden/>
              </w:rPr>
              <w:t>12</w:t>
            </w:r>
            <w:r>
              <w:rPr>
                <w:noProof/>
                <w:webHidden/>
              </w:rPr>
              <w:fldChar w:fldCharType="end"/>
            </w:r>
          </w:hyperlink>
        </w:p>
        <w:p w:rsidR="00495921" w:rsidRDefault="00495921">
          <w:pPr>
            <w:pStyle w:val="TM1"/>
            <w:tabs>
              <w:tab w:val="left" w:pos="440"/>
              <w:tab w:val="right" w:leader="dot" w:pos="9019"/>
            </w:tabs>
            <w:rPr>
              <w:rFonts w:asciiTheme="minorHAnsi" w:eastAsiaTheme="minorEastAsia" w:hAnsiTheme="minorHAnsi" w:cstheme="minorBidi"/>
              <w:noProof/>
              <w:color w:val="auto"/>
            </w:rPr>
          </w:pPr>
          <w:hyperlink w:anchor="_Toc487539758" w:history="1">
            <w:r w:rsidRPr="005478B2">
              <w:rPr>
                <w:rStyle w:val="Lienhypertexte"/>
                <w:noProof/>
                <w:highlight w:val="white"/>
              </w:rPr>
              <w:t>7.</w:t>
            </w:r>
            <w:r>
              <w:rPr>
                <w:rFonts w:asciiTheme="minorHAnsi" w:eastAsiaTheme="minorEastAsia" w:hAnsiTheme="minorHAnsi" w:cstheme="minorBidi"/>
                <w:noProof/>
                <w:color w:val="auto"/>
              </w:rPr>
              <w:tab/>
            </w:r>
            <w:r w:rsidRPr="005478B2">
              <w:rPr>
                <w:rStyle w:val="Lienhypertexte"/>
                <w:noProof/>
                <w:highlight w:val="white"/>
              </w:rPr>
              <w:t>Dispositions spécifiques à certains domaines</w:t>
            </w:r>
            <w:r>
              <w:rPr>
                <w:noProof/>
                <w:webHidden/>
              </w:rPr>
              <w:tab/>
            </w:r>
            <w:r>
              <w:rPr>
                <w:noProof/>
                <w:webHidden/>
              </w:rPr>
              <w:fldChar w:fldCharType="begin"/>
            </w:r>
            <w:r>
              <w:rPr>
                <w:noProof/>
                <w:webHidden/>
              </w:rPr>
              <w:instrText xml:space="preserve"> PAGEREF _Toc487539758 \h </w:instrText>
            </w:r>
            <w:r>
              <w:rPr>
                <w:noProof/>
                <w:webHidden/>
              </w:rPr>
            </w:r>
            <w:r>
              <w:rPr>
                <w:noProof/>
                <w:webHidden/>
              </w:rPr>
              <w:fldChar w:fldCharType="separate"/>
            </w:r>
            <w:r>
              <w:rPr>
                <w:noProof/>
                <w:webHidden/>
              </w:rPr>
              <w:t>13</w:t>
            </w:r>
            <w:r>
              <w:rPr>
                <w:noProof/>
                <w:webHidden/>
              </w:rPr>
              <w:fldChar w:fldCharType="end"/>
            </w:r>
          </w:hyperlink>
        </w:p>
        <w:p w:rsidR="00495921" w:rsidRDefault="00495921">
          <w:pPr>
            <w:pStyle w:val="TM2"/>
            <w:tabs>
              <w:tab w:val="left" w:pos="880"/>
              <w:tab w:val="right" w:leader="dot" w:pos="9019"/>
            </w:tabs>
            <w:rPr>
              <w:rFonts w:asciiTheme="minorHAnsi" w:eastAsiaTheme="minorEastAsia" w:hAnsiTheme="minorHAnsi" w:cstheme="minorBidi"/>
              <w:noProof/>
              <w:color w:val="auto"/>
            </w:rPr>
          </w:pPr>
          <w:hyperlink w:anchor="_Toc487539759" w:history="1">
            <w:r w:rsidRPr="005478B2">
              <w:rPr>
                <w:rStyle w:val="Lienhypertexte"/>
                <w:noProof/>
                <w:highlight w:val="white"/>
              </w:rPr>
              <w:t>7.1.</w:t>
            </w:r>
            <w:r>
              <w:rPr>
                <w:rFonts w:asciiTheme="minorHAnsi" w:eastAsiaTheme="minorEastAsia" w:hAnsiTheme="minorHAnsi" w:cstheme="minorBidi"/>
                <w:noProof/>
                <w:color w:val="auto"/>
              </w:rPr>
              <w:tab/>
            </w:r>
            <w:r w:rsidRPr="005478B2">
              <w:rPr>
                <w:rStyle w:val="Lienhypertexte"/>
                <w:noProof/>
                <w:highlight w:val="white"/>
              </w:rPr>
              <w:t>Les droits linguistiques</w:t>
            </w:r>
            <w:r>
              <w:rPr>
                <w:noProof/>
                <w:webHidden/>
              </w:rPr>
              <w:tab/>
            </w:r>
            <w:r>
              <w:rPr>
                <w:noProof/>
                <w:webHidden/>
              </w:rPr>
              <w:fldChar w:fldCharType="begin"/>
            </w:r>
            <w:r>
              <w:rPr>
                <w:noProof/>
                <w:webHidden/>
              </w:rPr>
              <w:instrText xml:space="preserve"> PAGEREF _Toc487539759 \h </w:instrText>
            </w:r>
            <w:r>
              <w:rPr>
                <w:noProof/>
                <w:webHidden/>
              </w:rPr>
            </w:r>
            <w:r>
              <w:rPr>
                <w:noProof/>
                <w:webHidden/>
              </w:rPr>
              <w:fldChar w:fldCharType="separate"/>
            </w:r>
            <w:r>
              <w:rPr>
                <w:noProof/>
                <w:webHidden/>
              </w:rPr>
              <w:t>13</w:t>
            </w:r>
            <w:r>
              <w:rPr>
                <w:noProof/>
                <w:webHidden/>
              </w:rPr>
              <w:fldChar w:fldCharType="end"/>
            </w:r>
          </w:hyperlink>
        </w:p>
        <w:p w:rsidR="00495921" w:rsidRDefault="00495921">
          <w:pPr>
            <w:pStyle w:val="TM2"/>
            <w:tabs>
              <w:tab w:val="left" w:pos="880"/>
              <w:tab w:val="right" w:leader="dot" w:pos="9019"/>
            </w:tabs>
            <w:rPr>
              <w:rFonts w:asciiTheme="minorHAnsi" w:eastAsiaTheme="minorEastAsia" w:hAnsiTheme="minorHAnsi" w:cstheme="minorBidi"/>
              <w:noProof/>
              <w:color w:val="auto"/>
            </w:rPr>
          </w:pPr>
          <w:hyperlink w:anchor="_Toc487539760" w:history="1">
            <w:r w:rsidRPr="005478B2">
              <w:rPr>
                <w:rStyle w:val="Lienhypertexte"/>
                <w:noProof/>
              </w:rPr>
              <w:t>7.2.</w:t>
            </w:r>
            <w:r>
              <w:rPr>
                <w:rFonts w:asciiTheme="minorHAnsi" w:eastAsiaTheme="minorEastAsia" w:hAnsiTheme="minorHAnsi" w:cstheme="minorBidi"/>
                <w:noProof/>
                <w:color w:val="auto"/>
              </w:rPr>
              <w:tab/>
            </w:r>
            <w:r w:rsidRPr="005478B2">
              <w:rPr>
                <w:rStyle w:val="Lienhypertexte"/>
                <w:noProof/>
              </w:rPr>
              <w:t>L’emploi et le soutien du revenu</w:t>
            </w:r>
            <w:r>
              <w:rPr>
                <w:noProof/>
                <w:webHidden/>
              </w:rPr>
              <w:tab/>
            </w:r>
            <w:r>
              <w:rPr>
                <w:noProof/>
                <w:webHidden/>
              </w:rPr>
              <w:fldChar w:fldCharType="begin"/>
            </w:r>
            <w:r>
              <w:rPr>
                <w:noProof/>
                <w:webHidden/>
              </w:rPr>
              <w:instrText xml:space="preserve"> PAGEREF _Toc487539760 \h </w:instrText>
            </w:r>
            <w:r>
              <w:rPr>
                <w:noProof/>
                <w:webHidden/>
              </w:rPr>
            </w:r>
            <w:r>
              <w:rPr>
                <w:noProof/>
                <w:webHidden/>
              </w:rPr>
              <w:fldChar w:fldCharType="separate"/>
            </w:r>
            <w:r>
              <w:rPr>
                <w:noProof/>
                <w:webHidden/>
              </w:rPr>
              <w:t>13</w:t>
            </w:r>
            <w:r>
              <w:rPr>
                <w:noProof/>
                <w:webHidden/>
              </w:rPr>
              <w:fldChar w:fldCharType="end"/>
            </w:r>
          </w:hyperlink>
        </w:p>
        <w:p w:rsidR="00495921" w:rsidRDefault="00495921">
          <w:pPr>
            <w:pStyle w:val="TM2"/>
            <w:tabs>
              <w:tab w:val="left" w:pos="880"/>
              <w:tab w:val="right" w:leader="dot" w:pos="9019"/>
            </w:tabs>
            <w:rPr>
              <w:rFonts w:asciiTheme="minorHAnsi" w:eastAsiaTheme="minorEastAsia" w:hAnsiTheme="minorHAnsi" w:cstheme="minorBidi"/>
              <w:noProof/>
              <w:color w:val="auto"/>
            </w:rPr>
          </w:pPr>
          <w:hyperlink w:anchor="_Toc487539761" w:history="1">
            <w:r w:rsidRPr="005478B2">
              <w:rPr>
                <w:rStyle w:val="Lienhypertexte"/>
                <w:noProof/>
                <w:highlight w:val="white"/>
              </w:rPr>
              <w:t>7.3.</w:t>
            </w:r>
            <w:r>
              <w:rPr>
                <w:rFonts w:asciiTheme="minorHAnsi" w:eastAsiaTheme="minorEastAsia" w:hAnsiTheme="minorHAnsi" w:cstheme="minorBidi"/>
                <w:noProof/>
                <w:color w:val="auto"/>
              </w:rPr>
              <w:tab/>
            </w:r>
            <w:r w:rsidRPr="005478B2">
              <w:rPr>
                <w:rStyle w:val="Lienhypertexte"/>
                <w:noProof/>
                <w:highlight w:val="white"/>
              </w:rPr>
              <w:t>Transport</w:t>
            </w:r>
            <w:r>
              <w:rPr>
                <w:noProof/>
                <w:webHidden/>
              </w:rPr>
              <w:tab/>
            </w:r>
            <w:r>
              <w:rPr>
                <w:noProof/>
                <w:webHidden/>
              </w:rPr>
              <w:fldChar w:fldCharType="begin"/>
            </w:r>
            <w:r>
              <w:rPr>
                <w:noProof/>
                <w:webHidden/>
              </w:rPr>
              <w:instrText xml:space="preserve"> PAGEREF _Toc487539761 \h </w:instrText>
            </w:r>
            <w:r>
              <w:rPr>
                <w:noProof/>
                <w:webHidden/>
              </w:rPr>
            </w:r>
            <w:r>
              <w:rPr>
                <w:noProof/>
                <w:webHidden/>
              </w:rPr>
              <w:fldChar w:fldCharType="separate"/>
            </w:r>
            <w:r>
              <w:rPr>
                <w:noProof/>
                <w:webHidden/>
              </w:rPr>
              <w:t>14</w:t>
            </w:r>
            <w:r>
              <w:rPr>
                <w:noProof/>
                <w:webHidden/>
              </w:rPr>
              <w:fldChar w:fldCharType="end"/>
            </w:r>
          </w:hyperlink>
        </w:p>
        <w:p w:rsidR="00495921" w:rsidRDefault="00495921">
          <w:pPr>
            <w:pStyle w:val="TM2"/>
            <w:tabs>
              <w:tab w:val="left" w:pos="880"/>
              <w:tab w:val="right" w:leader="dot" w:pos="9019"/>
            </w:tabs>
            <w:rPr>
              <w:rFonts w:asciiTheme="minorHAnsi" w:eastAsiaTheme="minorEastAsia" w:hAnsiTheme="minorHAnsi" w:cstheme="minorBidi"/>
              <w:noProof/>
              <w:color w:val="auto"/>
            </w:rPr>
          </w:pPr>
          <w:hyperlink w:anchor="_Toc487539762" w:history="1">
            <w:r w:rsidRPr="005478B2">
              <w:rPr>
                <w:rStyle w:val="Lienhypertexte"/>
                <w:noProof/>
                <w:highlight w:val="white"/>
              </w:rPr>
              <w:t>7.4.</w:t>
            </w:r>
            <w:r>
              <w:rPr>
                <w:rFonts w:asciiTheme="minorHAnsi" w:eastAsiaTheme="minorEastAsia" w:hAnsiTheme="minorHAnsi" w:cstheme="minorBidi"/>
                <w:noProof/>
                <w:color w:val="auto"/>
              </w:rPr>
              <w:tab/>
            </w:r>
            <w:r w:rsidRPr="005478B2">
              <w:rPr>
                <w:rStyle w:val="Lienhypertexte"/>
                <w:noProof/>
                <w:highlight w:val="white"/>
              </w:rPr>
              <w:t>Environnement bâti</w:t>
            </w:r>
            <w:r>
              <w:rPr>
                <w:noProof/>
                <w:webHidden/>
              </w:rPr>
              <w:tab/>
            </w:r>
            <w:r>
              <w:rPr>
                <w:noProof/>
                <w:webHidden/>
              </w:rPr>
              <w:fldChar w:fldCharType="begin"/>
            </w:r>
            <w:r>
              <w:rPr>
                <w:noProof/>
                <w:webHidden/>
              </w:rPr>
              <w:instrText xml:space="preserve"> PAGEREF _Toc487539762 \h </w:instrText>
            </w:r>
            <w:r>
              <w:rPr>
                <w:noProof/>
                <w:webHidden/>
              </w:rPr>
            </w:r>
            <w:r>
              <w:rPr>
                <w:noProof/>
                <w:webHidden/>
              </w:rPr>
              <w:fldChar w:fldCharType="separate"/>
            </w:r>
            <w:r>
              <w:rPr>
                <w:noProof/>
                <w:webHidden/>
              </w:rPr>
              <w:t>14</w:t>
            </w:r>
            <w:r>
              <w:rPr>
                <w:noProof/>
                <w:webHidden/>
              </w:rPr>
              <w:fldChar w:fldCharType="end"/>
            </w:r>
          </w:hyperlink>
        </w:p>
        <w:p w:rsidR="00495921" w:rsidRDefault="00495921">
          <w:pPr>
            <w:pStyle w:val="TM2"/>
            <w:tabs>
              <w:tab w:val="left" w:pos="880"/>
              <w:tab w:val="right" w:leader="dot" w:pos="9019"/>
            </w:tabs>
            <w:rPr>
              <w:rFonts w:asciiTheme="minorHAnsi" w:eastAsiaTheme="minorEastAsia" w:hAnsiTheme="minorHAnsi" w:cstheme="minorBidi"/>
              <w:noProof/>
              <w:color w:val="auto"/>
            </w:rPr>
          </w:pPr>
          <w:hyperlink w:anchor="_Toc487539763" w:history="1">
            <w:r w:rsidRPr="005478B2">
              <w:rPr>
                <w:rStyle w:val="Lienhypertexte"/>
                <w:noProof/>
                <w:highlight w:val="white"/>
              </w:rPr>
              <w:t>7.5.</w:t>
            </w:r>
            <w:r>
              <w:rPr>
                <w:rFonts w:asciiTheme="minorHAnsi" w:eastAsiaTheme="minorEastAsia" w:hAnsiTheme="minorHAnsi" w:cstheme="minorBidi"/>
                <w:noProof/>
                <w:color w:val="auto"/>
              </w:rPr>
              <w:tab/>
            </w:r>
            <w:r w:rsidRPr="005478B2">
              <w:rPr>
                <w:rStyle w:val="Lienhypertexte"/>
                <w:noProof/>
                <w:highlight w:val="white"/>
              </w:rPr>
              <w:t>Culture, sports, tourisme et loisir</w:t>
            </w:r>
            <w:r>
              <w:rPr>
                <w:noProof/>
                <w:webHidden/>
              </w:rPr>
              <w:tab/>
            </w:r>
            <w:r>
              <w:rPr>
                <w:noProof/>
                <w:webHidden/>
              </w:rPr>
              <w:fldChar w:fldCharType="begin"/>
            </w:r>
            <w:r>
              <w:rPr>
                <w:noProof/>
                <w:webHidden/>
              </w:rPr>
              <w:instrText xml:space="preserve"> PAGEREF _Toc487539763 \h </w:instrText>
            </w:r>
            <w:r>
              <w:rPr>
                <w:noProof/>
                <w:webHidden/>
              </w:rPr>
            </w:r>
            <w:r>
              <w:rPr>
                <w:noProof/>
                <w:webHidden/>
              </w:rPr>
              <w:fldChar w:fldCharType="separate"/>
            </w:r>
            <w:r>
              <w:rPr>
                <w:noProof/>
                <w:webHidden/>
              </w:rPr>
              <w:t>15</w:t>
            </w:r>
            <w:r>
              <w:rPr>
                <w:noProof/>
                <w:webHidden/>
              </w:rPr>
              <w:fldChar w:fldCharType="end"/>
            </w:r>
          </w:hyperlink>
        </w:p>
        <w:p w:rsidR="00495921" w:rsidRDefault="00495921">
          <w:pPr>
            <w:pStyle w:val="TM2"/>
            <w:tabs>
              <w:tab w:val="left" w:pos="880"/>
              <w:tab w:val="right" w:leader="dot" w:pos="9019"/>
            </w:tabs>
            <w:rPr>
              <w:rFonts w:asciiTheme="minorHAnsi" w:eastAsiaTheme="minorEastAsia" w:hAnsiTheme="minorHAnsi" w:cstheme="minorBidi"/>
              <w:noProof/>
              <w:color w:val="auto"/>
            </w:rPr>
          </w:pPr>
          <w:hyperlink w:anchor="_Toc487539764" w:history="1">
            <w:r w:rsidRPr="005478B2">
              <w:rPr>
                <w:rStyle w:val="Lienhypertexte"/>
                <w:noProof/>
                <w:highlight w:val="white"/>
              </w:rPr>
              <w:t>7.6.</w:t>
            </w:r>
            <w:r>
              <w:rPr>
                <w:rFonts w:asciiTheme="minorHAnsi" w:eastAsiaTheme="minorEastAsia" w:hAnsiTheme="minorHAnsi" w:cstheme="minorBidi"/>
                <w:noProof/>
                <w:color w:val="auto"/>
              </w:rPr>
              <w:tab/>
            </w:r>
            <w:r w:rsidRPr="005478B2">
              <w:rPr>
                <w:rStyle w:val="Lienhypertexte"/>
                <w:noProof/>
                <w:highlight w:val="white"/>
              </w:rPr>
              <w:t>Technologie</w:t>
            </w:r>
            <w:r>
              <w:rPr>
                <w:noProof/>
                <w:webHidden/>
              </w:rPr>
              <w:tab/>
            </w:r>
            <w:r>
              <w:rPr>
                <w:noProof/>
                <w:webHidden/>
              </w:rPr>
              <w:fldChar w:fldCharType="begin"/>
            </w:r>
            <w:r>
              <w:rPr>
                <w:noProof/>
                <w:webHidden/>
              </w:rPr>
              <w:instrText xml:space="preserve"> PAGEREF _Toc487539764 \h </w:instrText>
            </w:r>
            <w:r>
              <w:rPr>
                <w:noProof/>
                <w:webHidden/>
              </w:rPr>
            </w:r>
            <w:r>
              <w:rPr>
                <w:noProof/>
                <w:webHidden/>
              </w:rPr>
              <w:fldChar w:fldCharType="separate"/>
            </w:r>
            <w:r>
              <w:rPr>
                <w:noProof/>
                <w:webHidden/>
              </w:rPr>
              <w:t>15</w:t>
            </w:r>
            <w:r>
              <w:rPr>
                <w:noProof/>
                <w:webHidden/>
              </w:rPr>
              <w:fldChar w:fldCharType="end"/>
            </w:r>
          </w:hyperlink>
        </w:p>
        <w:p w:rsidR="00495921" w:rsidRDefault="00495921">
          <w:pPr>
            <w:pStyle w:val="TM1"/>
            <w:tabs>
              <w:tab w:val="left" w:pos="440"/>
              <w:tab w:val="right" w:leader="dot" w:pos="9019"/>
            </w:tabs>
            <w:rPr>
              <w:rFonts w:asciiTheme="minorHAnsi" w:eastAsiaTheme="minorEastAsia" w:hAnsiTheme="minorHAnsi" w:cstheme="minorBidi"/>
              <w:noProof/>
              <w:color w:val="auto"/>
            </w:rPr>
          </w:pPr>
          <w:hyperlink w:anchor="_Toc487539765" w:history="1">
            <w:r w:rsidRPr="005478B2">
              <w:rPr>
                <w:rStyle w:val="Lienhypertexte"/>
                <w:noProof/>
              </w:rPr>
              <w:t>8.</w:t>
            </w:r>
            <w:r>
              <w:rPr>
                <w:rFonts w:asciiTheme="minorHAnsi" w:eastAsiaTheme="minorEastAsia" w:hAnsiTheme="minorHAnsi" w:cstheme="minorBidi"/>
                <w:noProof/>
                <w:color w:val="auto"/>
              </w:rPr>
              <w:tab/>
            </w:r>
            <w:r w:rsidRPr="005478B2">
              <w:rPr>
                <w:rStyle w:val="Lienhypertexte"/>
                <w:noProof/>
              </w:rPr>
              <w:t>Conclusion</w:t>
            </w:r>
            <w:r>
              <w:rPr>
                <w:noProof/>
                <w:webHidden/>
              </w:rPr>
              <w:tab/>
            </w:r>
            <w:r>
              <w:rPr>
                <w:noProof/>
                <w:webHidden/>
              </w:rPr>
              <w:fldChar w:fldCharType="begin"/>
            </w:r>
            <w:r>
              <w:rPr>
                <w:noProof/>
                <w:webHidden/>
              </w:rPr>
              <w:instrText xml:space="preserve"> PAGEREF _Toc487539765 \h </w:instrText>
            </w:r>
            <w:r>
              <w:rPr>
                <w:noProof/>
                <w:webHidden/>
              </w:rPr>
            </w:r>
            <w:r>
              <w:rPr>
                <w:noProof/>
                <w:webHidden/>
              </w:rPr>
              <w:fldChar w:fldCharType="separate"/>
            </w:r>
            <w:r>
              <w:rPr>
                <w:noProof/>
                <w:webHidden/>
              </w:rPr>
              <w:t>16</w:t>
            </w:r>
            <w:r>
              <w:rPr>
                <w:noProof/>
                <w:webHidden/>
              </w:rPr>
              <w:fldChar w:fldCharType="end"/>
            </w:r>
          </w:hyperlink>
        </w:p>
        <w:p w:rsidR="002C6302" w:rsidRDefault="005D1B38" w:rsidP="002C6302">
          <w:pPr>
            <w:rPr>
              <w:lang w:val="fr-FR"/>
            </w:rPr>
          </w:pPr>
          <w:r>
            <w:rPr>
              <w:lang w:val="fr-FR"/>
            </w:rPr>
            <w:fldChar w:fldCharType="end"/>
          </w:r>
        </w:p>
      </w:sdtContent>
    </w:sdt>
    <w:p w:rsidR="002C6302" w:rsidRDefault="002C6302" w:rsidP="00FC4330">
      <w:pPr>
        <w:rPr>
          <w:b/>
          <w:sz w:val="24"/>
          <w:szCs w:val="24"/>
        </w:rPr>
        <w:sectPr w:rsidR="002C6302" w:rsidSect="00851A67">
          <w:footerReference w:type="default" r:id="rId9"/>
          <w:pgSz w:w="11909" w:h="16834"/>
          <w:pgMar w:top="1440" w:right="1440" w:bottom="1440" w:left="1440" w:header="0" w:footer="720" w:gutter="0"/>
          <w:pgNumType w:start="1"/>
          <w:cols w:space="720"/>
        </w:sectPr>
      </w:pPr>
      <w:r>
        <w:rPr>
          <w:b/>
          <w:sz w:val="24"/>
          <w:szCs w:val="24"/>
        </w:rPr>
        <w:br w:type="page"/>
      </w:r>
    </w:p>
    <w:p w:rsidR="004A0F77" w:rsidRPr="00E5533D" w:rsidRDefault="004A0F77" w:rsidP="00FC4330">
      <w:pPr>
        <w:rPr>
          <w:b/>
          <w:sz w:val="24"/>
          <w:szCs w:val="24"/>
        </w:rPr>
      </w:pPr>
    </w:p>
    <w:p w:rsidR="004A0F77" w:rsidRPr="00E5533D" w:rsidRDefault="005D3650" w:rsidP="00FC4330">
      <w:pPr>
        <w:rPr>
          <w:b/>
          <w:sz w:val="24"/>
          <w:szCs w:val="24"/>
        </w:rPr>
      </w:pPr>
      <w:r w:rsidRPr="00E5533D">
        <w:rPr>
          <w:b/>
          <w:sz w:val="24"/>
          <w:szCs w:val="24"/>
        </w:rPr>
        <w:t xml:space="preserve"> </w:t>
      </w:r>
    </w:p>
    <w:p w:rsidR="004A0F77" w:rsidRPr="00E5533D" w:rsidRDefault="005D3650" w:rsidP="00FC4330">
      <w:pPr>
        <w:rPr>
          <w:b/>
          <w:sz w:val="24"/>
          <w:szCs w:val="24"/>
        </w:rPr>
      </w:pPr>
      <w:r w:rsidRPr="00E5533D">
        <w:rPr>
          <w:b/>
          <w:sz w:val="24"/>
          <w:szCs w:val="24"/>
        </w:rPr>
        <w:t xml:space="preserve"> </w:t>
      </w:r>
    </w:p>
    <w:p w:rsidR="004A0F77" w:rsidRPr="00E5533D" w:rsidRDefault="005D3650" w:rsidP="00FC4330">
      <w:pPr>
        <w:rPr>
          <w:b/>
          <w:sz w:val="24"/>
          <w:szCs w:val="24"/>
        </w:rPr>
      </w:pPr>
      <w:r w:rsidRPr="00E5533D">
        <w:rPr>
          <w:b/>
          <w:sz w:val="24"/>
          <w:szCs w:val="24"/>
        </w:rPr>
        <w:t xml:space="preserve"> </w:t>
      </w:r>
    </w:p>
    <w:p w:rsidR="004A0F77" w:rsidRPr="00E5533D" w:rsidRDefault="005D3650" w:rsidP="00FC4330">
      <w:pPr>
        <w:rPr>
          <w:b/>
          <w:sz w:val="24"/>
          <w:szCs w:val="24"/>
        </w:rPr>
      </w:pPr>
      <w:r w:rsidRPr="00E5533D">
        <w:rPr>
          <w:b/>
          <w:sz w:val="24"/>
          <w:szCs w:val="24"/>
        </w:rPr>
        <w:t xml:space="preserve"> </w:t>
      </w:r>
    </w:p>
    <w:p w:rsidR="004A0F77" w:rsidRPr="00E5533D" w:rsidRDefault="005D3650" w:rsidP="00FC4330">
      <w:pPr>
        <w:rPr>
          <w:b/>
          <w:sz w:val="24"/>
          <w:szCs w:val="24"/>
        </w:rPr>
      </w:pPr>
      <w:r w:rsidRPr="00E5533D">
        <w:rPr>
          <w:b/>
          <w:sz w:val="24"/>
          <w:szCs w:val="24"/>
        </w:rPr>
        <w:t xml:space="preserve"> </w:t>
      </w:r>
    </w:p>
    <w:p w:rsidR="004A0F77" w:rsidRPr="00E5533D" w:rsidRDefault="005D3650" w:rsidP="00FC4330">
      <w:pPr>
        <w:rPr>
          <w:b/>
          <w:sz w:val="24"/>
          <w:szCs w:val="24"/>
        </w:rPr>
      </w:pPr>
      <w:r w:rsidRPr="00E5533D">
        <w:rPr>
          <w:b/>
          <w:sz w:val="24"/>
          <w:szCs w:val="24"/>
        </w:rPr>
        <w:t xml:space="preserve"> </w:t>
      </w:r>
    </w:p>
    <w:p w:rsidR="00E5533D" w:rsidRPr="00E5533D" w:rsidRDefault="00E5533D" w:rsidP="00FC4330">
      <w:pPr>
        <w:rPr>
          <w:b/>
          <w:sz w:val="24"/>
          <w:szCs w:val="24"/>
        </w:rPr>
      </w:pPr>
    </w:p>
    <w:p w:rsidR="00E5533D" w:rsidRPr="00E5533D" w:rsidRDefault="00E5533D" w:rsidP="00FC4330">
      <w:pPr>
        <w:rPr>
          <w:b/>
          <w:sz w:val="24"/>
          <w:szCs w:val="24"/>
        </w:rPr>
      </w:pPr>
    </w:p>
    <w:p w:rsidR="00E5533D" w:rsidRPr="00E5533D" w:rsidRDefault="00E5533D" w:rsidP="00FC4330">
      <w:pPr>
        <w:rPr>
          <w:b/>
          <w:sz w:val="24"/>
          <w:szCs w:val="24"/>
        </w:rPr>
      </w:pPr>
    </w:p>
    <w:p w:rsidR="00E5533D" w:rsidRPr="00E5533D" w:rsidRDefault="00E5533D" w:rsidP="00FC4330">
      <w:pPr>
        <w:rPr>
          <w:b/>
          <w:sz w:val="24"/>
          <w:szCs w:val="24"/>
        </w:rPr>
      </w:pPr>
    </w:p>
    <w:p w:rsidR="00E5533D" w:rsidRPr="00E5533D" w:rsidRDefault="00E5533D" w:rsidP="00FC4330">
      <w:pPr>
        <w:rPr>
          <w:b/>
          <w:sz w:val="24"/>
          <w:szCs w:val="24"/>
        </w:rPr>
      </w:pPr>
    </w:p>
    <w:p w:rsidR="00E5533D" w:rsidRPr="00E5533D" w:rsidRDefault="00E5533D" w:rsidP="00FC4330">
      <w:pPr>
        <w:rPr>
          <w:b/>
          <w:sz w:val="24"/>
          <w:szCs w:val="24"/>
        </w:rPr>
      </w:pPr>
    </w:p>
    <w:p w:rsidR="00FC4330" w:rsidRDefault="00FC4330">
      <w:pPr>
        <w:rPr>
          <w:b/>
          <w:sz w:val="24"/>
          <w:szCs w:val="24"/>
        </w:rPr>
      </w:pPr>
      <w:r>
        <w:rPr>
          <w:b/>
          <w:sz w:val="24"/>
          <w:szCs w:val="24"/>
        </w:rPr>
        <w:br w:type="page"/>
      </w:r>
    </w:p>
    <w:p w:rsidR="00E30F1F" w:rsidRDefault="005D3650" w:rsidP="00E10FF0">
      <w:pPr>
        <w:pStyle w:val="Titre1"/>
        <w:numPr>
          <w:ilvl w:val="0"/>
          <w:numId w:val="9"/>
        </w:numPr>
      </w:pPr>
      <w:bookmarkStart w:id="0" w:name="_Toc487539736"/>
      <w:r w:rsidRPr="00E5533D">
        <w:lastRenderedPageBreak/>
        <w:t>Introduction</w:t>
      </w:r>
      <w:bookmarkEnd w:id="0"/>
    </w:p>
    <w:p w:rsidR="00161149" w:rsidRDefault="00161149" w:rsidP="003A6213">
      <w:pPr>
        <w:rPr>
          <w:b/>
          <w:sz w:val="24"/>
          <w:szCs w:val="24"/>
        </w:rPr>
      </w:pPr>
    </w:p>
    <w:p w:rsidR="003A0BE4" w:rsidRDefault="000F3A43">
      <w:pPr>
        <w:rPr>
          <w:sz w:val="24"/>
          <w:szCs w:val="24"/>
        </w:rPr>
      </w:pPr>
      <w:r>
        <w:rPr>
          <w:sz w:val="24"/>
          <w:szCs w:val="24"/>
        </w:rPr>
        <w:t>L</w:t>
      </w:r>
      <w:r w:rsidR="003A6213">
        <w:rPr>
          <w:sz w:val="24"/>
          <w:szCs w:val="24"/>
        </w:rPr>
        <w:t>a</w:t>
      </w:r>
      <w:r>
        <w:rPr>
          <w:sz w:val="24"/>
          <w:szCs w:val="24"/>
        </w:rPr>
        <w:t xml:space="preserve"> COPHAN tient avant toute chose à salu</w:t>
      </w:r>
      <w:r w:rsidR="003A0BE4">
        <w:rPr>
          <w:sz w:val="24"/>
          <w:szCs w:val="24"/>
        </w:rPr>
        <w:t>er l’initiative législative du g</w:t>
      </w:r>
      <w:r>
        <w:rPr>
          <w:sz w:val="24"/>
          <w:szCs w:val="24"/>
        </w:rPr>
        <w:t xml:space="preserve">ouvernement </w:t>
      </w:r>
      <w:r w:rsidR="003A0BE4">
        <w:rPr>
          <w:sz w:val="24"/>
          <w:szCs w:val="24"/>
        </w:rPr>
        <w:t>du Canada</w:t>
      </w:r>
      <w:r w:rsidR="00161149">
        <w:rPr>
          <w:sz w:val="24"/>
          <w:szCs w:val="24"/>
        </w:rPr>
        <w:t xml:space="preserve"> </w:t>
      </w:r>
      <w:r w:rsidR="003A0BE4">
        <w:rPr>
          <w:sz w:val="24"/>
          <w:szCs w:val="24"/>
        </w:rPr>
        <w:t xml:space="preserve">d’élaborer </w:t>
      </w:r>
      <w:r w:rsidR="00161149">
        <w:rPr>
          <w:sz w:val="24"/>
          <w:szCs w:val="24"/>
        </w:rPr>
        <w:t>une loi sur l’accessibilité</w:t>
      </w:r>
      <w:r w:rsidR="00C17E5C">
        <w:rPr>
          <w:sz w:val="24"/>
          <w:szCs w:val="24"/>
        </w:rPr>
        <w:t xml:space="preserve"> </w:t>
      </w:r>
      <w:r w:rsidR="00B20FFB">
        <w:rPr>
          <w:sz w:val="24"/>
          <w:szCs w:val="24"/>
        </w:rPr>
        <w:t>(ci-après</w:t>
      </w:r>
      <w:r w:rsidR="003A0BE4">
        <w:rPr>
          <w:sz w:val="24"/>
          <w:szCs w:val="24"/>
        </w:rPr>
        <w:t>,</w:t>
      </w:r>
      <w:r w:rsidR="00B20FFB">
        <w:rPr>
          <w:sz w:val="24"/>
          <w:szCs w:val="24"/>
        </w:rPr>
        <w:t xml:space="preserve"> la « Loi »)</w:t>
      </w:r>
      <w:r>
        <w:rPr>
          <w:sz w:val="24"/>
          <w:szCs w:val="24"/>
        </w:rPr>
        <w:t xml:space="preserve">. Une telle démarche se doit d’être entreprise afin de permettre l’inclusion sociale </w:t>
      </w:r>
      <w:r w:rsidR="00C27C72">
        <w:rPr>
          <w:sz w:val="24"/>
          <w:szCs w:val="24"/>
        </w:rPr>
        <w:t>de</w:t>
      </w:r>
      <w:r w:rsidR="003A6213">
        <w:rPr>
          <w:sz w:val="24"/>
          <w:szCs w:val="24"/>
        </w:rPr>
        <w:t>s personnes que nous représentons</w:t>
      </w:r>
      <w:r w:rsidR="00C27C72">
        <w:rPr>
          <w:sz w:val="24"/>
          <w:szCs w:val="24"/>
        </w:rPr>
        <w:t>,</w:t>
      </w:r>
      <w:r>
        <w:rPr>
          <w:sz w:val="24"/>
          <w:szCs w:val="24"/>
        </w:rPr>
        <w:t xml:space="preserve"> </w:t>
      </w:r>
      <w:r w:rsidR="003A6213">
        <w:rPr>
          <w:sz w:val="24"/>
          <w:szCs w:val="24"/>
        </w:rPr>
        <w:t xml:space="preserve">celles </w:t>
      </w:r>
      <w:r w:rsidR="00A47801">
        <w:rPr>
          <w:sz w:val="24"/>
          <w:szCs w:val="24"/>
        </w:rPr>
        <w:t>ayant des limitations fonctionnelles</w:t>
      </w:r>
      <w:r w:rsidR="00C27C72">
        <w:rPr>
          <w:sz w:val="24"/>
          <w:szCs w:val="24"/>
        </w:rPr>
        <w:t xml:space="preserve">, </w:t>
      </w:r>
      <w:r>
        <w:rPr>
          <w:sz w:val="24"/>
          <w:szCs w:val="24"/>
        </w:rPr>
        <w:t xml:space="preserve">et de </w:t>
      </w:r>
      <w:r w:rsidR="00A47801">
        <w:rPr>
          <w:sz w:val="24"/>
          <w:szCs w:val="24"/>
        </w:rPr>
        <w:t xml:space="preserve">garantir concrètement </w:t>
      </w:r>
      <w:r w:rsidR="003A6213">
        <w:rPr>
          <w:sz w:val="24"/>
          <w:szCs w:val="24"/>
        </w:rPr>
        <w:t xml:space="preserve">leurs </w:t>
      </w:r>
      <w:r w:rsidR="00C27C72">
        <w:rPr>
          <w:sz w:val="24"/>
          <w:szCs w:val="24"/>
        </w:rPr>
        <w:t xml:space="preserve">droits. </w:t>
      </w:r>
    </w:p>
    <w:p w:rsidR="003A0BE4" w:rsidRDefault="003A0BE4">
      <w:pPr>
        <w:rPr>
          <w:sz w:val="24"/>
          <w:szCs w:val="24"/>
        </w:rPr>
      </w:pPr>
    </w:p>
    <w:p w:rsidR="00041B82" w:rsidRDefault="00FC08D1">
      <w:pPr>
        <w:rPr>
          <w:sz w:val="24"/>
          <w:szCs w:val="24"/>
        </w:rPr>
      </w:pPr>
      <w:r>
        <w:rPr>
          <w:sz w:val="24"/>
          <w:szCs w:val="24"/>
        </w:rPr>
        <w:t xml:space="preserve">Suite à un important travail de consultation de nos membres, </w:t>
      </w:r>
      <w:r w:rsidR="005448F1">
        <w:rPr>
          <w:sz w:val="24"/>
          <w:szCs w:val="24"/>
        </w:rPr>
        <w:t>un constat</w:t>
      </w:r>
      <w:r w:rsidR="00A47801">
        <w:rPr>
          <w:sz w:val="24"/>
          <w:szCs w:val="24"/>
        </w:rPr>
        <w:t xml:space="preserve"> </w:t>
      </w:r>
      <w:r w:rsidR="003A0BE4">
        <w:rPr>
          <w:sz w:val="24"/>
          <w:szCs w:val="24"/>
        </w:rPr>
        <w:t>s’impose</w:t>
      </w:r>
      <w:r>
        <w:rPr>
          <w:sz w:val="24"/>
          <w:szCs w:val="24"/>
        </w:rPr>
        <w:t xml:space="preserve"> </w:t>
      </w:r>
      <w:r w:rsidR="005448F1">
        <w:rPr>
          <w:sz w:val="24"/>
          <w:szCs w:val="24"/>
        </w:rPr>
        <w:t>: le milieu</w:t>
      </w:r>
      <w:r w:rsidR="00A47801">
        <w:rPr>
          <w:sz w:val="24"/>
          <w:szCs w:val="24"/>
        </w:rPr>
        <w:t xml:space="preserve"> québécois</w:t>
      </w:r>
      <w:r w:rsidR="005448F1">
        <w:rPr>
          <w:sz w:val="24"/>
          <w:szCs w:val="24"/>
        </w:rPr>
        <w:t xml:space="preserve"> de </w:t>
      </w:r>
      <w:r w:rsidR="00B01DDD">
        <w:rPr>
          <w:sz w:val="24"/>
          <w:szCs w:val="24"/>
        </w:rPr>
        <w:t xml:space="preserve">la </w:t>
      </w:r>
      <w:r w:rsidR="005448F1">
        <w:rPr>
          <w:sz w:val="24"/>
          <w:szCs w:val="24"/>
        </w:rPr>
        <w:t xml:space="preserve">défense des droits des personnes en situation de handicap et les individus qu’il représente se sentent éloignés </w:t>
      </w:r>
      <w:r w:rsidR="00A47801">
        <w:rPr>
          <w:sz w:val="24"/>
          <w:szCs w:val="24"/>
        </w:rPr>
        <w:t>du gouvernement fédéral et trop peu concerné par les actions de ce dernier</w:t>
      </w:r>
      <w:r w:rsidR="005448F1">
        <w:rPr>
          <w:sz w:val="24"/>
          <w:szCs w:val="24"/>
        </w:rPr>
        <w:t>. La conséqu</w:t>
      </w:r>
      <w:r w:rsidR="00A47801">
        <w:rPr>
          <w:sz w:val="24"/>
          <w:szCs w:val="24"/>
        </w:rPr>
        <w:t xml:space="preserve">ence logique de ce constat est </w:t>
      </w:r>
      <w:r w:rsidR="005448F1">
        <w:rPr>
          <w:sz w:val="24"/>
          <w:szCs w:val="24"/>
        </w:rPr>
        <w:t xml:space="preserve">que, malgré l’adoption d’une loi qui reflétera, nous l’espérons, les attentes du milieu, il sera crucial qu’elle soit accompagnée d’un exercice d’éducation afin de la présenter et de l’expliquer à l’ensemble des acteurs concernés. </w:t>
      </w:r>
      <w:r w:rsidR="009927FF">
        <w:rPr>
          <w:sz w:val="24"/>
          <w:szCs w:val="24"/>
        </w:rPr>
        <w:t xml:space="preserve">Pour faire mouche, cette étape primordiale devra </w:t>
      </w:r>
      <w:r w:rsidR="00F96120">
        <w:rPr>
          <w:sz w:val="24"/>
          <w:szCs w:val="24"/>
        </w:rPr>
        <w:t xml:space="preserve">détailler suffisamment </w:t>
      </w:r>
      <w:r w:rsidR="00A47801">
        <w:rPr>
          <w:sz w:val="24"/>
          <w:szCs w:val="24"/>
        </w:rPr>
        <w:t xml:space="preserve">les impacts possibles d’une </w:t>
      </w:r>
      <w:r w:rsidR="00976BFA">
        <w:rPr>
          <w:sz w:val="24"/>
          <w:szCs w:val="24"/>
        </w:rPr>
        <w:t>l</w:t>
      </w:r>
      <w:r w:rsidR="00A47801">
        <w:rPr>
          <w:sz w:val="24"/>
          <w:szCs w:val="24"/>
        </w:rPr>
        <w:t>oi canadienne sur l’accessibilité.</w:t>
      </w:r>
      <w:r w:rsidR="00F96120">
        <w:rPr>
          <w:sz w:val="24"/>
          <w:szCs w:val="24"/>
        </w:rPr>
        <w:t xml:space="preserve"> </w:t>
      </w:r>
      <w:r w:rsidR="00A47801">
        <w:rPr>
          <w:sz w:val="24"/>
          <w:szCs w:val="24"/>
        </w:rPr>
        <w:t>L</w:t>
      </w:r>
      <w:r w:rsidR="005D37D9">
        <w:rPr>
          <w:sz w:val="24"/>
          <w:szCs w:val="24"/>
        </w:rPr>
        <w:t xml:space="preserve">es droits qu’elle permettra éventuellement d’exercer </w:t>
      </w:r>
      <w:r w:rsidR="003A0BE4">
        <w:rPr>
          <w:sz w:val="24"/>
          <w:szCs w:val="24"/>
        </w:rPr>
        <w:t xml:space="preserve">devront </w:t>
      </w:r>
      <w:r w:rsidR="005D37D9">
        <w:rPr>
          <w:sz w:val="24"/>
          <w:szCs w:val="24"/>
        </w:rPr>
        <w:t>être exposés</w:t>
      </w:r>
      <w:r w:rsidR="003A0BE4">
        <w:rPr>
          <w:sz w:val="24"/>
          <w:szCs w:val="24"/>
        </w:rPr>
        <w:t xml:space="preserve"> clairement</w:t>
      </w:r>
      <w:r w:rsidR="005D37D9">
        <w:rPr>
          <w:sz w:val="24"/>
          <w:szCs w:val="24"/>
        </w:rPr>
        <w:t xml:space="preserve"> aux communautés québécoises et canadiennes. </w:t>
      </w:r>
      <w:r w:rsidR="00F96120">
        <w:rPr>
          <w:sz w:val="24"/>
          <w:szCs w:val="24"/>
        </w:rPr>
        <w:t xml:space="preserve">Le gouvernement se doit donc de </w:t>
      </w:r>
      <w:r w:rsidR="005D37D9">
        <w:rPr>
          <w:sz w:val="24"/>
          <w:szCs w:val="24"/>
        </w:rPr>
        <w:t>supporter c</w:t>
      </w:r>
      <w:r w:rsidR="002365E0">
        <w:rPr>
          <w:sz w:val="24"/>
          <w:szCs w:val="24"/>
        </w:rPr>
        <w:t>es communautés et le milieu associatif dans</w:t>
      </w:r>
      <w:r w:rsidR="002365E0" w:rsidRPr="002365E0">
        <w:t xml:space="preserve"> </w:t>
      </w:r>
      <w:r w:rsidR="002365E0" w:rsidRPr="00A47801">
        <w:rPr>
          <w:sz w:val="24"/>
          <w:szCs w:val="24"/>
        </w:rPr>
        <w:t>l’objectif de</w:t>
      </w:r>
      <w:r w:rsidR="002365E0" w:rsidRPr="002365E0">
        <w:rPr>
          <w:sz w:val="24"/>
          <w:szCs w:val="24"/>
        </w:rPr>
        <w:t xml:space="preserve"> mener </w:t>
      </w:r>
      <w:r w:rsidR="005D37D9">
        <w:rPr>
          <w:sz w:val="24"/>
          <w:szCs w:val="24"/>
        </w:rPr>
        <w:t xml:space="preserve">à bien </w:t>
      </w:r>
      <w:r w:rsidR="002365E0" w:rsidRPr="002365E0">
        <w:rPr>
          <w:sz w:val="24"/>
          <w:szCs w:val="24"/>
        </w:rPr>
        <w:t>des projets d’éducation p</w:t>
      </w:r>
      <w:r w:rsidR="002365E0">
        <w:rPr>
          <w:sz w:val="24"/>
          <w:szCs w:val="24"/>
        </w:rPr>
        <w:t xml:space="preserve">opulaire et de conscientisation </w:t>
      </w:r>
      <w:r w:rsidR="002908C5">
        <w:rPr>
          <w:sz w:val="24"/>
          <w:szCs w:val="24"/>
        </w:rPr>
        <w:t xml:space="preserve">afin que cette </w:t>
      </w:r>
      <w:r w:rsidR="00976BFA">
        <w:rPr>
          <w:sz w:val="24"/>
          <w:szCs w:val="24"/>
        </w:rPr>
        <w:t>l</w:t>
      </w:r>
      <w:r w:rsidR="002908C5">
        <w:rPr>
          <w:sz w:val="24"/>
          <w:szCs w:val="24"/>
        </w:rPr>
        <w:t xml:space="preserve">oi puisse avoir un impact positif et consenti sur la population canadienne. </w:t>
      </w:r>
      <w:bookmarkStart w:id="1" w:name="_129becrao3h2" w:colFirst="0" w:colLast="0"/>
      <w:bookmarkEnd w:id="1"/>
    </w:p>
    <w:p w:rsidR="00041B82" w:rsidRDefault="00041B82">
      <w:pPr>
        <w:ind w:firstLine="720"/>
        <w:rPr>
          <w:sz w:val="24"/>
          <w:szCs w:val="24"/>
        </w:rPr>
      </w:pPr>
    </w:p>
    <w:p w:rsidR="00A34D61" w:rsidRDefault="00A34D61" w:rsidP="00BB57E6">
      <w:pPr>
        <w:rPr>
          <w:sz w:val="24"/>
          <w:szCs w:val="24"/>
        </w:rPr>
      </w:pPr>
      <w:r>
        <w:rPr>
          <w:sz w:val="24"/>
          <w:szCs w:val="24"/>
        </w:rPr>
        <w:t xml:space="preserve">Notons parallèlement que l’adoption d’une loi fédérale sur l’accessibilité et l’inclusion sociale est l’occasion </w:t>
      </w:r>
      <w:r w:rsidR="003A6213">
        <w:rPr>
          <w:sz w:val="24"/>
          <w:szCs w:val="24"/>
        </w:rPr>
        <w:t xml:space="preserve">d’appliquer </w:t>
      </w:r>
      <w:r>
        <w:rPr>
          <w:sz w:val="24"/>
          <w:szCs w:val="24"/>
        </w:rPr>
        <w:t xml:space="preserve">pleinement la </w:t>
      </w:r>
      <w:r>
        <w:rPr>
          <w:i/>
          <w:sz w:val="24"/>
          <w:szCs w:val="24"/>
        </w:rPr>
        <w:t>Convention relative aux droits des personnes handicapées</w:t>
      </w:r>
      <w:r w:rsidR="00BB57E6">
        <w:rPr>
          <w:sz w:val="24"/>
          <w:szCs w:val="24"/>
        </w:rPr>
        <w:t xml:space="preserve"> (CDPH), notamment quand à</w:t>
      </w:r>
      <w:r>
        <w:rPr>
          <w:sz w:val="24"/>
          <w:szCs w:val="24"/>
        </w:rPr>
        <w:t xml:space="preserve"> la conception d’outils législatifs favorisant la reconnaissance des droits des personnes ayant des limitations fonctionnelles</w:t>
      </w:r>
      <w:r>
        <w:rPr>
          <w:rStyle w:val="Appelnotedebasdep"/>
          <w:sz w:val="24"/>
          <w:szCs w:val="24"/>
        </w:rPr>
        <w:footnoteReference w:id="1"/>
      </w:r>
      <w:r w:rsidRPr="00192737">
        <w:rPr>
          <w:sz w:val="24"/>
          <w:szCs w:val="24"/>
        </w:rPr>
        <w:t>.</w:t>
      </w:r>
      <w:r>
        <w:rPr>
          <w:i/>
          <w:sz w:val="24"/>
          <w:szCs w:val="24"/>
        </w:rPr>
        <w:t xml:space="preserve"> </w:t>
      </w:r>
      <w:r>
        <w:rPr>
          <w:sz w:val="24"/>
          <w:szCs w:val="24"/>
        </w:rPr>
        <w:t xml:space="preserve">Pour respecter l’esprit de la convention que le Canada a ratifiée, il se doit de dépasser la simple protection contre la discrimination et de favoriser l’inclusion sociale des personnes en situation de handicap. </w:t>
      </w:r>
    </w:p>
    <w:p w:rsidR="00041B82" w:rsidRDefault="00041B82">
      <w:pPr>
        <w:ind w:firstLine="720"/>
        <w:rPr>
          <w:sz w:val="24"/>
          <w:szCs w:val="24"/>
        </w:rPr>
      </w:pPr>
    </w:p>
    <w:p w:rsidR="00041B82" w:rsidRDefault="005D37D9" w:rsidP="00BB57E6">
      <w:pPr>
        <w:rPr>
          <w:sz w:val="24"/>
          <w:szCs w:val="24"/>
        </w:rPr>
      </w:pPr>
      <w:r>
        <w:rPr>
          <w:sz w:val="24"/>
          <w:szCs w:val="24"/>
        </w:rPr>
        <w:t>Nous sommes convaincus que les recommandations de la COPHAN qui suivent se doivent d’être intégrées dans</w:t>
      </w:r>
      <w:r w:rsidR="00BB57E6">
        <w:rPr>
          <w:sz w:val="24"/>
          <w:szCs w:val="24"/>
        </w:rPr>
        <w:t xml:space="preserve"> la L</w:t>
      </w:r>
      <w:r>
        <w:rPr>
          <w:sz w:val="24"/>
          <w:szCs w:val="24"/>
        </w:rPr>
        <w:t xml:space="preserve">oi </w:t>
      </w:r>
      <w:r w:rsidR="00A47801">
        <w:rPr>
          <w:sz w:val="24"/>
          <w:szCs w:val="24"/>
        </w:rPr>
        <w:t>afin de</w:t>
      </w:r>
      <w:r w:rsidR="004652A6">
        <w:rPr>
          <w:sz w:val="24"/>
          <w:szCs w:val="24"/>
        </w:rPr>
        <w:t xml:space="preserve"> véritablement améliorer les conditions de vie </w:t>
      </w:r>
      <w:r w:rsidR="00BB57E6">
        <w:rPr>
          <w:sz w:val="24"/>
          <w:szCs w:val="24"/>
        </w:rPr>
        <w:t>des personnes ayant des limitations fonctionnelles</w:t>
      </w:r>
      <w:r>
        <w:rPr>
          <w:sz w:val="24"/>
          <w:szCs w:val="24"/>
        </w:rPr>
        <w:t>.</w:t>
      </w:r>
      <w:r w:rsidR="004652A6">
        <w:rPr>
          <w:sz w:val="24"/>
          <w:szCs w:val="24"/>
        </w:rPr>
        <w:t xml:space="preserve"> </w:t>
      </w:r>
    </w:p>
    <w:p w:rsidR="00041B82" w:rsidRDefault="00041B82">
      <w:pPr>
        <w:ind w:firstLine="720"/>
        <w:rPr>
          <w:sz w:val="24"/>
          <w:szCs w:val="24"/>
        </w:rPr>
      </w:pPr>
    </w:p>
    <w:p w:rsidR="00C25B05" w:rsidRDefault="00C25B05">
      <w:pPr>
        <w:rPr>
          <w:sz w:val="40"/>
          <w:szCs w:val="40"/>
        </w:rPr>
      </w:pPr>
      <w:r>
        <w:br w:type="page"/>
      </w:r>
    </w:p>
    <w:p w:rsidR="004A0F77" w:rsidRDefault="005D3650" w:rsidP="00E10FF0">
      <w:pPr>
        <w:pStyle w:val="Titre1"/>
        <w:numPr>
          <w:ilvl w:val="0"/>
          <w:numId w:val="9"/>
        </w:numPr>
      </w:pPr>
      <w:bookmarkStart w:id="2" w:name="_Toc487539737"/>
      <w:r w:rsidRPr="00E5533D">
        <w:lastRenderedPageBreak/>
        <w:t>Définitions</w:t>
      </w:r>
      <w:bookmarkEnd w:id="2"/>
    </w:p>
    <w:p w:rsidR="00616E9A" w:rsidRDefault="00616E9A" w:rsidP="003A6213">
      <w:pPr>
        <w:rPr>
          <w:b/>
          <w:sz w:val="24"/>
          <w:szCs w:val="24"/>
        </w:rPr>
      </w:pPr>
    </w:p>
    <w:p w:rsidR="00041B82" w:rsidRDefault="00A47801">
      <w:pPr>
        <w:rPr>
          <w:sz w:val="24"/>
          <w:szCs w:val="24"/>
        </w:rPr>
      </w:pPr>
      <w:r>
        <w:rPr>
          <w:sz w:val="24"/>
          <w:szCs w:val="24"/>
        </w:rPr>
        <w:t>Lors</w:t>
      </w:r>
      <w:r w:rsidR="005D3650" w:rsidRPr="00E5533D">
        <w:rPr>
          <w:sz w:val="24"/>
          <w:szCs w:val="24"/>
        </w:rPr>
        <w:t xml:space="preserve"> de la mise en place de tout nouvel outil législatif, la partie consacrée aux définitions revêt une importance particulière. Cette affirmation est d’autant plus vraie en ce qui concerne une loi canadienne sur l’accessibilité puisque certains termes devront être définis</w:t>
      </w:r>
      <w:r w:rsidR="00B01DDD">
        <w:rPr>
          <w:sz w:val="24"/>
          <w:szCs w:val="24"/>
        </w:rPr>
        <w:t xml:space="preserve"> </w:t>
      </w:r>
      <w:r w:rsidR="00A80D79">
        <w:rPr>
          <w:sz w:val="24"/>
          <w:szCs w:val="24"/>
        </w:rPr>
        <w:t>selon</w:t>
      </w:r>
      <w:r w:rsidR="005D3650" w:rsidRPr="00E5533D">
        <w:rPr>
          <w:sz w:val="24"/>
          <w:szCs w:val="24"/>
        </w:rPr>
        <w:t xml:space="preserve"> une compréhension </w:t>
      </w:r>
      <w:r w:rsidR="002D7414">
        <w:rPr>
          <w:sz w:val="24"/>
          <w:szCs w:val="24"/>
        </w:rPr>
        <w:t>juridique</w:t>
      </w:r>
      <w:r w:rsidR="005D3650" w:rsidRPr="00E5533D">
        <w:rPr>
          <w:sz w:val="24"/>
          <w:szCs w:val="24"/>
        </w:rPr>
        <w:t xml:space="preserve"> </w:t>
      </w:r>
      <w:r>
        <w:rPr>
          <w:sz w:val="24"/>
          <w:szCs w:val="24"/>
        </w:rPr>
        <w:t>ayant une grande portée</w:t>
      </w:r>
      <w:r w:rsidR="005D3650" w:rsidRPr="00E5533D">
        <w:rPr>
          <w:sz w:val="24"/>
          <w:szCs w:val="24"/>
        </w:rPr>
        <w:t xml:space="preserve">. Nous nous concentrerons ici sur trois </w:t>
      </w:r>
      <w:r>
        <w:rPr>
          <w:sz w:val="24"/>
          <w:szCs w:val="24"/>
        </w:rPr>
        <w:t xml:space="preserve">définitions que nous jugeons </w:t>
      </w:r>
      <w:r w:rsidR="005D3650" w:rsidRPr="00E5533D">
        <w:rPr>
          <w:sz w:val="24"/>
          <w:szCs w:val="24"/>
        </w:rPr>
        <w:t>essentiel</w:t>
      </w:r>
      <w:r>
        <w:rPr>
          <w:sz w:val="24"/>
          <w:szCs w:val="24"/>
        </w:rPr>
        <w:t>le</w:t>
      </w:r>
      <w:r w:rsidR="005D3650" w:rsidRPr="00E5533D">
        <w:rPr>
          <w:sz w:val="24"/>
          <w:szCs w:val="24"/>
        </w:rPr>
        <w:t xml:space="preserve">s, soit </w:t>
      </w:r>
      <w:r w:rsidR="0062103A">
        <w:rPr>
          <w:sz w:val="24"/>
          <w:szCs w:val="24"/>
        </w:rPr>
        <w:t>celles de personne handicapée, d’</w:t>
      </w:r>
      <w:r w:rsidR="005D3650" w:rsidRPr="00E5533D">
        <w:rPr>
          <w:sz w:val="24"/>
          <w:szCs w:val="24"/>
        </w:rPr>
        <w:t>accessibilité universelle</w:t>
      </w:r>
      <w:r>
        <w:rPr>
          <w:sz w:val="24"/>
          <w:szCs w:val="24"/>
        </w:rPr>
        <w:t>, d</w:t>
      </w:r>
      <w:r w:rsidR="005D3650" w:rsidRPr="00E5533D">
        <w:rPr>
          <w:sz w:val="24"/>
          <w:szCs w:val="24"/>
        </w:rPr>
        <w:t>'accommodement raisonnable</w:t>
      </w:r>
      <w:r w:rsidR="0062103A">
        <w:rPr>
          <w:sz w:val="24"/>
          <w:szCs w:val="24"/>
        </w:rPr>
        <w:t> et son corollaire, la contrainte excessive</w:t>
      </w:r>
      <w:r>
        <w:rPr>
          <w:sz w:val="24"/>
          <w:szCs w:val="24"/>
        </w:rPr>
        <w:t>.</w:t>
      </w:r>
    </w:p>
    <w:p w:rsidR="00A47801" w:rsidRPr="00E10FF0" w:rsidRDefault="00081EEC" w:rsidP="00E10FF0">
      <w:pPr>
        <w:pStyle w:val="Titre2"/>
        <w:numPr>
          <w:ilvl w:val="1"/>
          <w:numId w:val="9"/>
        </w:numPr>
      </w:pPr>
      <w:bookmarkStart w:id="3" w:name="_Toc487539738"/>
      <w:r w:rsidRPr="00E10FF0">
        <w:t>Personne handicapée</w:t>
      </w:r>
      <w:bookmarkEnd w:id="3"/>
    </w:p>
    <w:p w:rsidR="00DF2242" w:rsidRDefault="00DF2242" w:rsidP="003A6213">
      <w:pPr>
        <w:rPr>
          <w:sz w:val="24"/>
          <w:szCs w:val="24"/>
        </w:rPr>
      </w:pPr>
      <w:r>
        <w:rPr>
          <w:sz w:val="24"/>
          <w:szCs w:val="24"/>
        </w:rPr>
        <w:t xml:space="preserve">Afin que la Loi s’adresse à l’ensemble des personnes qui en ont besoin, il importe que la définition de « personne handicapée » </w:t>
      </w:r>
      <w:r w:rsidR="00D8281C">
        <w:rPr>
          <w:sz w:val="24"/>
          <w:szCs w:val="24"/>
        </w:rPr>
        <w:t xml:space="preserve">adoptée soit large et inclusive. </w:t>
      </w:r>
      <w:r w:rsidR="00FC3323">
        <w:rPr>
          <w:sz w:val="24"/>
          <w:szCs w:val="24"/>
        </w:rPr>
        <w:t xml:space="preserve">Il faut à tout prix éviter une définition basée sur un diagnostic. </w:t>
      </w:r>
      <w:r w:rsidR="00417C7F">
        <w:rPr>
          <w:sz w:val="24"/>
          <w:szCs w:val="24"/>
        </w:rPr>
        <w:t xml:space="preserve">En effet, la définition qui sera retenue dans la Loi doit traduire une vision interactionniste du handicap, c’est-à-dire qu’elle doit reconnaître que le handicap est la résultante de l’interaction entre les caractéristiques personnelles d’un individu et celles de son environnement. Elle </w:t>
      </w:r>
      <w:r w:rsidR="00FC3323">
        <w:rPr>
          <w:sz w:val="24"/>
          <w:szCs w:val="24"/>
        </w:rPr>
        <w:t xml:space="preserve">devra être plus </w:t>
      </w:r>
      <w:proofErr w:type="spellStart"/>
      <w:r w:rsidR="00FC3323">
        <w:rPr>
          <w:sz w:val="24"/>
          <w:szCs w:val="24"/>
        </w:rPr>
        <w:t>engloba</w:t>
      </w:r>
      <w:r w:rsidR="00417C7F">
        <w:rPr>
          <w:sz w:val="24"/>
          <w:szCs w:val="24"/>
        </w:rPr>
        <w:t>nte</w:t>
      </w:r>
      <w:proofErr w:type="spellEnd"/>
      <w:r w:rsidR="00417C7F">
        <w:rPr>
          <w:sz w:val="24"/>
          <w:szCs w:val="24"/>
        </w:rPr>
        <w:t xml:space="preserve"> que celle prévue à la </w:t>
      </w:r>
      <w:r w:rsidR="00A67533" w:rsidRPr="00A67533">
        <w:rPr>
          <w:i/>
          <w:sz w:val="24"/>
          <w:szCs w:val="24"/>
        </w:rPr>
        <w:t>Loi assurant l’exercice des droits des personnes handicapées en vue de leur intégration scolaire, professionnelle et sociale</w:t>
      </w:r>
      <w:r w:rsidR="00791590">
        <w:rPr>
          <w:rStyle w:val="Appelnotedebasdep"/>
          <w:sz w:val="24"/>
          <w:szCs w:val="24"/>
        </w:rPr>
        <w:footnoteReference w:id="2"/>
      </w:r>
      <w:r w:rsidR="00791590">
        <w:rPr>
          <w:sz w:val="24"/>
          <w:szCs w:val="24"/>
        </w:rPr>
        <w:t xml:space="preserve"> (</w:t>
      </w:r>
      <w:r w:rsidR="00417C7F">
        <w:rPr>
          <w:sz w:val="24"/>
          <w:szCs w:val="24"/>
        </w:rPr>
        <w:t>LAEDP</w:t>
      </w:r>
      <w:r w:rsidR="00507FAE">
        <w:rPr>
          <w:sz w:val="24"/>
          <w:szCs w:val="24"/>
        </w:rPr>
        <w:t>H</w:t>
      </w:r>
      <w:r w:rsidR="00791590">
        <w:rPr>
          <w:sz w:val="24"/>
          <w:szCs w:val="24"/>
        </w:rPr>
        <w:t>)</w:t>
      </w:r>
      <w:r w:rsidR="00417C7F">
        <w:rPr>
          <w:sz w:val="24"/>
          <w:szCs w:val="24"/>
        </w:rPr>
        <w:t xml:space="preserve">, puisque </w:t>
      </w:r>
      <w:r w:rsidR="00791590">
        <w:rPr>
          <w:sz w:val="24"/>
          <w:szCs w:val="24"/>
        </w:rPr>
        <w:t xml:space="preserve">cette </w:t>
      </w:r>
      <w:r w:rsidR="00FC3323">
        <w:rPr>
          <w:sz w:val="24"/>
          <w:szCs w:val="24"/>
        </w:rPr>
        <w:t xml:space="preserve">dernière a pour effet d’exclure </w:t>
      </w:r>
      <w:r w:rsidR="00417C7F">
        <w:rPr>
          <w:sz w:val="24"/>
          <w:szCs w:val="24"/>
        </w:rPr>
        <w:t xml:space="preserve">plusieurs personnes ayant des limitations fonctionnelles, </w:t>
      </w:r>
      <w:r w:rsidR="00FC3323">
        <w:rPr>
          <w:sz w:val="24"/>
          <w:szCs w:val="24"/>
        </w:rPr>
        <w:t xml:space="preserve">notamment ayant une incapacité épisodique ou cyclique ou d’autres limitations moins reconnues en tant que déficience comme la douleur chronique. </w:t>
      </w:r>
      <w:r w:rsidR="00687DFD">
        <w:rPr>
          <w:sz w:val="24"/>
          <w:szCs w:val="24"/>
        </w:rPr>
        <w:t xml:space="preserve">Nous demandons également à ce qu’une personne perçue </w:t>
      </w:r>
      <w:r w:rsidR="00417C7F">
        <w:rPr>
          <w:sz w:val="24"/>
          <w:szCs w:val="24"/>
        </w:rPr>
        <w:t xml:space="preserve">à tort </w:t>
      </w:r>
      <w:r w:rsidR="00687DFD">
        <w:rPr>
          <w:sz w:val="24"/>
          <w:szCs w:val="24"/>
        </w:rPr>
        <w:t>comme ayant un handicap soit incluse dans la définition, comme c’est le cas dans l</w:t>
      </w:r>
      <w:r w:rsidR="00E72538">
        <w:rPr>
          <w:sz w:val="24"/>
          <w:szCs w:val="24"/>
        </w:rPr>
        <w:t>’</w:t>
      </w:r>
      <w:proofErr w:type="spellStart"/>
      <w:r w:rsidR="00E72538" w:rsidRPr="00E72538">
        <w:rPr>
          <w:i/>
          <w:sz w:val="24"/>
          <w:szCs w:val="24"/>
        </w:rPr>
        <w:t>Americans</w:t>
      </w:r>
      <w:proofErr w:type="spellEnd"/>
      <w:r w:rsidR="00E72538" w:rsidRPr="00E72538">
        <w:rPr>
          <w:i/>
          <w:sz w:val="24"/>
          <w:szCs w:val="24"/>
        </w:rPr>
        <w:t xml:space="preserve"> </w:t>
      </w:r>
      <w:proofErr w:type="spellStart"/>
      <w:r w:rsidR="00E72538" w:rsidRPr="00E72538">
        <w:rPr>
          <w:i/>
          <w:sz w:val="24"/>
          <w:szCs w:val="24"/>
        </w:rPr>
        <w:t>with</w:t>
      </w:r>
      <w:proofErr w:type="spellEnd"/>
      <w:r w:rsidR="00E72538" w:rsidRPr="00E72538">
        <w:rPr>
          <w:i/>
          <w:sz w:val="24"/>
          <w:szCs w:val="24"/>
        </w:rPr>
        <w:t xml:space="preserve"> </w:t>
      </w:r>
      <w:proofErr w:type="spellStart"/>
      <w:r w:rsidR="00E72538" w:rsidRPr="00E72538">
        <w:rPr>
          <w:i/>
          <w:sz w:val="24"/>
          <w:szCs w:val="24"/>
        </w:rPr>
        <w:t>Disabilities</w:t>
      </w:r>
      <w:proofErr w:type="spellEnd"/>
      <w:r w:rsidR="00E72538" w:rsidRPr="00E72538">
        <w:rPr>
          <w:i/>
          <w:sz w:val="24"/>
          <w:szCs w:val="24"/>
        </w:rPr>
        <w:t xml:space="preserve"> </w:t>
      </w:r>
      <w:proofErr w:type="spellStart"/>
      <w:r w:rsidR="00E72538" w:rsidRPr="00E72538">
        <w:rPr>
          <w:i/>
          <w:sz w:val="24"/>
          <w:szCs w:val="24"/>
        </w:rPr>
        <w:t>Act</w:t>
      </w:r>
      <w:proofErr w:type="spellEnd"/>
      <w:r w:rsidR="00417C7F" w:rsidRPr="00160015">
        <w:rPr>
          <w:rStyle w:val="Appelnotedebasdep"/>
          <w:sz w:val="24"/>
          <w:szCs w:val="24"/>
        </w:rPr>
        <w:footnoteReference w:id="3"/>
      </w:r>
      <w:r w:rsidR="00E72538" w:rsidRPr="00160015">
        <w:rPr>
          <w:sz w:val="24"/>
          <w:szCs w:val="24"/>
        </w:rPr>
        <w:t>.</w:t>
      </w:r>
    </w:p>
    <w:p w:rsidR="00B361FD" w:rsidRDefault="00B361FD" w:rsidP="003A6213">
      <w:pPr>
        <w:rPr>
          <w:sz w:val="24"/>
          <w:szCs w:val="24"/>
        </w:rPr>
      </w:pPr>
    </w:p>
    <w:p w:rsidR="00B361FD" w:rsidRDefault="00B361FD" w:rsidP="003A6213">
      <w:pPr>
        <w:rPr>
          <w:sz w:val="24"/>
          <w:szCs w:val="24"/>
        </w:rPr>
      </w:pPr>
      <w:r>
        <w:rPr>
          <w:sz w:val="24"/>
          <w:szCs w:val="24"/>
        </w:rPr>
        <w:t xml:space="preserve">Pour répondre aux critères exprimés ci-haut de même qu’aux obligations internationales du Canada, nous recommandons que la définition contenue à la CDPH soit celle qui soit retenue dans la Loi. </w:t>
      </w:r>
    </w:p>
    <w:p w:rsidR="004A0F77" w:rsidRPr="005262C0" w:rsidRDefault="005D3650" w:rsidP="00E10FF0">
      <w:pPr>
        <w:pStyle w:val="Titre2"/>
        <w:numPr>
          <w:ilvl w:val="1"/>
          <w:numId w:val="9"/>
        </w:numPr>
      </w:pPr>
      <w:bookmarkStart w:id="4" w:name="_Toc487539739"/>
      <w:r w:rsidRPr="005262C0">
        <w:t>L’accessibilité universelle</w:t>
      </w:r>
      <w:bookmarkEnd w:id="4"/>
      <w:r w:rsidRPr="005262C0">
        <w:t xml:space="preserve"> </w:t>
      </w:r>
    </w:p>
    <w:p w:rsidR="00041B82" w:rsidRPr="00EC0AD5" w:rsidRDefault="00E72538">
      <w:pPr>
        <w:rPr>
          <w:sz w:val="24"/>
          <w:szCs w:val="24"/>
        </w:rPr>
      </w:pPr>
      <w:r w:rsidRPr="00EC0AD5">
        <w:rPr>
          <w:sz w:val="24"/>
          <w:szCs w:val="24"/>
        </w:rPr>
        <w:t>L</w:t>
      </w:r>
      <w:r w:rsidR="005D3650" w:rsidRPr="00EC0AD5">
        <w:rPr>
          <w:sz w:val="24"/>
          <w:szCs w:val="24"/>
        </w:rPr>
        <w:t>’accessibilité universelle est</w:t>
      </w:r>
      <w:r w:rsidRPr="00EC0AD5">
        <w:rPr>
          <w:sz w:val="24"/>
          <w:szCs w:val="24"/>
        </w:rPr>
        <w:t xml:space="preserve"> </w:t>
      </w:r>
      <w:r w:rsidR="005D3650" w:rsidRPr="00EC0AD5">
        <w:rPr>
          <w:sz w:val="24"/>
          <w:szCs w:val="24"/>
        </w:rPr>
        <w:t>une approche qui dépasse largement l’aspect architectural</w:t>
      </w:r>
      <w:r w:rsidRPr="00EC0AD5">
        <w:rPr>
          <w:sz w:val="24"/>
          <w:szCs w:val="24"/>
        </w:rPr>
        <w:t xml:space="preserve"> et vient adresser l’ensemble de la composante environnementale du handicap. </w:t>
      </w:r>
      <w:r w:rsidR="00FC4330" w:rsidRPr="00EC0AD5">
        <w:rPr>
          <w:sz w:val="24"/>
          <w:szCs w:val="24"/>
        </w:rPr>
        <w:t>Selon la conception que nous préconisons,</w:t>
      </w:r>
      <w:r w:rsidR="005D3650" w:rsidRPr="00EC0AD5">
        <w:rPr>
          <w:sz w:val="24"/>
          <w:szCs w:val="24"/>
        </w:rPr>
        <w:t xml:space="preserve"> l’accessibilité universelle s’articule en f</w:t>
      </w:r>
      <w:r w:rsidR="00FC4330" w:rsidRPr="00EC0AD5">
        <w:rPr>
          <w:sz w:val="24"/>
          <w:szCs w:val="24"/>
        </w:rPr>
        <w:t>onction de quatre grands axes :</w:t>
      </w:r>
      <w:r w:rsidR="00791590" w:rsidRPr="00EC0AD5">
        <w:rPr>
          <w:sz w:val="24"/>
          <w:szCs w:val="24"/>
        </w:rPr>
        <w:t xml:space="preserve"> l’aménagement, la communication, les programmes et services ainsi que la sensibilisation et la formation. </w:t>
      </w:r>
    </w:p>
    <w:p w:rsidR="00041B82" w:rsidRPr="00EC0AD5" w:rsidRDefault="00FC4330" w:rsidP="00E10FF0">
      <w:pPr>
        <w:pStyle w:val="Titre3"/>
      </w:pPr>
      <w:bookmarkStart w:id="5" w:name="_Toc487539740"/>
      <w:r w:rsidRPr="00EC0AD5">
        <w:lastRenderedPageBreak/>
        <w:t>Aménagement</w:t>
      </w:r>
      <w:bookmarkEnd w:id="5"/>
    </w:p>
    <w:p w:rsidR="00041B82" w:rsidRPr="00EC0AD5" w:rsidRDefault="00FC4330" w:rsidP="00E10FF0">
      <w:pPr>
        <w:ind w:left="720"/>
        <w:rPr>
          <w:sz w:val="24"/>
          <w:szCs w:val="24"/>
        </w:rPr>
      </w:pPr>
      <w:r w:rsidRPr="00EC0AD5">
        <w:rPr>
          <w:sz w:val="24"/>
          <w:szCs w:val="24"/>
        </w:rPr>
        <w:t xml:space="preserve">L’axe relatif à l’aménagement comprend principalement les considérations architecturales et urbanistiques. </w:t>
      </w:r>
      <w:r w:rsidR="007C4924" w:rsidRPr="00EC0AD5">
        <w:rPr>
          <w:sz w:val="24"/>
          <w:szCs w:val="24"/>
        </w:rPr>
        <w:t>Il</w:t>
      </w:r>
      <w:r w:rsidRPr="00EC0AD5">
        <w:rPr>
          <w:sz w:val="24"/>
          <w:szCs w:val="24"/>
        </w:rPr>
        <w:t xml:space="preserve"> consiste en l’élaboration de lieux et d’environnements bâtis exempts d’obstacle</w:t>
      </w:r>
      <w:r w:rsidR="007C4924" w:rsidRPr="00EC0AD5">
        <w:rPr>
          <w:sz w:val="24"/>
          <w:szCs w:val="24"/>
        </w:rPr>
        <w:t>s</w:t>
      </w:r>
      <w:r w:rsidRPr="00EC0AD5">
        <w:rPr>
          <w:sz w:val="24"/>
          <w:szCs w:val="24"/>
        </w:rPr>
        <w:t xml:space="preserve"> et qui permettent à tous de fonctionner de manière autonome et de vivre une expérience similaire. </w:t>
      </w:r>
      <w:r w:rsidR="007C4924" w:rsidRPr="00EC0AD5">
        <w:rPr>
          <w:sz w:val="24"/>
          <w:szCs w:val="24"/>
        </w:rPr>
        <w:t xml:space="preserve">Par « expérience similaire », nous entendons </w:t>
      </w:r>
      <w:r w:rsidR="001A6F5E" w:rsidRPr="00EC0AD5">
        <w:rPr>
          <w:sz w:val="24"/>
          <w:szCs w:val="24"/>
        </w:rPr>
        <w:t xml:space="preserve">le fait d’avoir accès à la même chose qu’une personne sans limitation </w:t>
      </w:r>
      <w:r w:rsidR="000210D8" w:rsidRPr="00EC0AD5">
        <w:rPr>
          <w:sz w:val="24"/>
          <w:szCs w:val="24"/>
        </w:rPr>
        <w:t>en même temps</w:t>
      </w:r>
      <w:r w:rsidR="001A6F5E" w:rsidRPr="00EC0AD5">
        <w:rPr>
          <w:sz w:val="24"/>
          <w:szCs w:val="24"/>
        </w:rPr>
        <w:t xml:space="preserve">. </w:t>
      </w:r>
      <w:r w:rsidRPr="00EC0AD5">
        <w:rPr>
          <w:sz w:val="24"/>
          <w:szCs w:val="24"/>
        </w:rPr>
        <w:t xml:space="preserve">En guise d’exemple, pensons à </w:t>
      </w:r>
      <w:r w:rsidR="00A42958" w:rsidRPr="00EC0AD5">
        <w:rPr>
          <w:sz w:val="24"/>
          <w:szCs w:val="24"/>
        </w:rPr>
        <w:t xml:space="preserve">la conception </w:t>
      </w:r>
      <w:r w:rsidRPr="00EC0AD5">
        <w:rPr>
          <w:sz w:val="24"/>
          <w:szCs w:val="24"/>
        </w:rPr>
        <w:t>d’aménagements intérieurs permettant la circulation d’un</w:t>
      </w:r>
      <w:r w:rsidR="000C4CEF" w:rsidRPr="00EC0AD5">
        <w:rPr>
          <w:sz w:val="24"/>
          <w:szCs w:val="24"/>
        </w:rPr>
        <w:t>e personne en</w:t>
      </w:r>
      <w:r w:rsidRPr="00EC0AD5">
        <w:rPr>
          <w:sz w:val="24"/>
          <w:szCs w:val="24"/>
        </w:rPr>
        <w:t xml:space="preserve"> fauteuil roulant ou son utilisation de l’évier de cuisine. </w:t>
      </w:r>
      <w:r w:rsidR="001A6F5E" w:rsidRPr="00EC0AD5">
        <w:rPr>
          <w:sz w:val="24"/>
          <w:szCs w:val="24"/>
        </w:rPr>
        <w:t xml:space="preserve">À contrario, le fait pour une personne en fauteuil roulant de devoir </w:t>
      </w:r>
      <w:r w:rsidR="00E7753C" w:rsidRPr="00EC0AD5">
        <w:rPr>
          <w:sz w:val="24"/>
          <w:szCs w:val="24"/>
        </w:rPr>
        <w:t>descendre d’un étage pour avoir accès à une salle de bains accessible ne permettrait pas une expérience similaire à celle d’une personne sans limitation qui elle, a accès à une salle de bains sur chaque étage.</w:t>
      </w:r>
    </w:p>
    <w:p w:rsidR="00041B82" w:rsidRPr="00EC0AD5" w:rsidRDefault="00FC4330" w:rsidP="00E10FF0">
      <w:pPr>
        <w:pStyle w:val="Titre3"/>
      </w:pPr>
      <w:bookmarkStart w:id="6" w:name="_Toc487539741"/>
      <w:r w:rsidRPr="00EC0AD5">
        <w:t>Communication</w:t>
      </w:r>
      <w:bookmarkEnd w:id="6"/>
    </w:p>
    <w:p w:rsidR="00041B82" w:rsidRPr="00EC0AD5" w:rsidRDefault="00FC4330" w:rsidP="00E10FF0">
      <w:pPr>
        <w:ind w:left="720"/>
        <w:rPr>
          <w:sz w:val="24"/>
          <w:szCs w:val="24"/>
        </w:rPr>
      </w:pPr>
      <w:r w:rsidRPr="00EC0AD5">
        <w:rPr>
          <w:sz w:val="24"/>
          <w:szCs w:val="24"/>
        </w:rPr>
        <w:t xml:space="preserve">L’axe communicationnel </w:t>
      </w:r>
      <w:r w:rsidR="00A42958" w:rsidRPr="00EC0AD5">
        <w:rPr>
          <w:sz w:val="24"/>
          <w:szCs w:val="24"/>
        </w:rPr>
        <w:t>concerne</w:t>
      </w:r>
      <w:r w:rsidRPr="00EC0AD5">
        <w:rPr>
          <w:sz w:val="24"/>
          <w:szCs w:val="24"/>
        </w:rPr>
        <w:t xml:space="preserve"> la production de communications pouvant être </w:t>
      </w:r>
      <w:r w:rsidR="00A42958" w:rsidRPr="00EC0AD5">
        <w:rPr>
          <w:sz w:val="24"/>
          <w:szCs w:val="24"/>
        </w:rPr>
        <w:t>consultée</w:t>
      </w:r>
      <w:r w:rsidRPr="00EC0AD5">
        <w:rPr>
          <w:sz w:val="24"/>
          <w:szCs w:val="24"/>
        </w:rPr>
        <w:t xml:space="preserve">s par </w:t>
      </w:r>
      <w:r w:rsidR="00E7753C" w:rsidRPr="00EC0AD5">
        <w:rPr>
          <w:sz w:val="24"/>
          <w:szCs w:val="24"/>
        </w:rPr>
        <w:t>toutes les personnes. Nous englobons ici tous les types de communication, qu’il s’agisse de la prestation directe d’un service ou encore de documents d’informations, de publicités, de sites web, d’applications mobiles, etc.</w:t>
      </w:r>
      <w:r w:rsidRPr="00EC0AD5">
        <w:rPr>
          <w:sz w:val="24"/>
          <w:szCs w:val="24"/>
        </w:rPr>
        <w:t xml:space="preserve"> Pour </w:t>
      </w:r>
      <w:r w:rsidR="000C4CEF" w:rsidRPr="00EC0AD5">
        <w:rPr>
          <w:sz w:val="24"/>
          <w:szCs w:val="24"/>
        </w:rPr>
        <w:t>illustre</w:t>
      </w:r>
      <w:r w:rsidRPr="00EC0AD5">
        <w:rPr>
          <w:sz w:val="24"/>
          <w:szCs w:val="24"/>
        </w:rPr>
        <w:t xml:space="preserve">r notre propos, nous pouvons référer à la production de documents et de sites web compatibles avec les </w:t>
      </w:r>
      <w:r w:rsidR="00E7753C" w:rsidRPr="00EC0AD5">
        <w:rPr>
          <w:sz w:val="24"/>
          <w:szCs w:val="24"/>
        </w:rPr>
        <w:t>lecteurs d’écran utilisés par les personnes ayant une déficience visuelle, mais également à leur</w:t>
      </w:r>
      <w:r w:rsidRPr="00EC0AD5">
        <w:rPr>
          <w:sz w:val="24"/>
          <w:szCs w:val="24"/>
        </w:rPr>
        <w:t xml:space="preserve"> traduction en Lang</w:t>
      </w:r>
      <w:r w:rsidR="00E7753C" w:rsidRPr="00EC0AD5">
        <w:rPr>
          <w:sz w:val="24"/>
          <w:szCs w:val="24"/>
        </w:rPr>
        <w:t>ue des signes q</w:t>
      </w:r>
      <w:r w:rsidRPr="00EC0AD5">
        <w:rPr>
          <w:sz w:val="24"/>
          <w:szCs w:val="24"/>
        </w:rPr>
        <w:t>uébécois</w:t>
      </w:r>
      <w:r w:rsidR="00E7753C" w:rsidRPr="00EC0AD5">
        <w:rPr>
          <w:sz w:val="24"/>
          <w:szCs w:val="24"/>
        </w:rPr>
        <w:t>e</w:t>
      </w:r>
      <w:r w:rsidRPr="00EC0AD5">
        <w:rPr>
          <w:sz w:val="24"/>
          <w:szCs w:val="24"/>
        </w:rPr>
        <w:t xml:space="preserve"> (LSQ), en American </w:t>
      </w:r>
      <w:proofErr w:type="spellStart"/>
      <w:r w:rsidRPr="00EC0AD5">
        <w:rPr>
          <w:sz w:val="24"/>
          <w:szCs w:val="24"/>
        </w:rPr>
        <w:t>Sign</w:t>
      </w:r>
      <w:proofErr w:type="spellEnd"/>
      <w:r w:rsidRPr="00EC0AD5">
        <w:rPr>
          <w:sz w:val="24"/>
          <w:szCs w:val="24"/>
        </w:rPr>
        <w:t xml:space="preserve"> </w:t>
      </w:r>
      <w:proofErr w:type="spellStart"/>
      <w:r w:rsidRPr="00EC0AD5">
        <w:rPr>
          <w:sz w:val="24"/>
          <w:szCs w:val="24"/>
        </w:rPr>
        <w:t>Language</w:t>
      </w:r>
      <w:proofErr w:type="spellEnd"/>
      <w:r w:rsidRPr="00EC0AD5">
        <w:rPr>
          <w:sz w:val="24"/>
          <w:szCs w:val="24"/>
        </w:rPr>
        <w:t xml:space="preserve"> (ASL) ou encore en braille. </w:t>
      </w:r>
    </w:p>
    <w:p w:rsidR="00041B82" w:rsidRPr="00EC0AD5" w:rsidRDefault="00FC4330" w:rsidP="00E10FF0">
      <w:pPr>
        <w:pStyle w:val="Titre3"/>
        <w:ind w:left="720" w:firstLine="0"/>
      </w:pPr>
      <w:bookmarkStart w:id="7" w:name="_Toc487539742"/>
      <w:r w:rsidRPr="00EC0AD5">
        <w:t>Programmes et services</w:t>
      </w:r>
      <w:bookmarkEnd w:id="7"/>
    </w:p>
    <w:p w:rsidR="00041B82" w:rsidRPr="00EC0AD5" w:rsidRDefault="00FC4330" w:rsidP="00E10FF0">
      <w:pPr>
        <w:ind w:left="720"/>
        <w:rPr>
          <w:sz w:val="24"/>
          <w:szCs w:val="24"/>
        </w:rPr>
      </w:pPr>
      <w:r w:rsidRPr="00EC0AD5">
        <w:rPr>
          <w:sz w:val="24"/>
          <w:szCs w:val="24"/>
        </w:rPr>
        <w:t xml:space="preserve">L’axe des programmes et services vise à assurer qu’un service offert à la population pourra servir à l'ensemble des individus qui la constituent. Il faut donc prévoir une utilisation simple, intuitive, flexible et demandant peu d’effort physique. </w:t>
      </w:r>
      <w:r w:rsidR="00E7753C" w:rsidRPr="00EC0AD5">
        <w:rPr>
          <w:sz w:val="24"/>
          <w:szCs w:val="24"/>
        </w:rPr>
        <w:t>Pou</w:t>
      </w:r>
      <w:r w:rsidRPr="00EC0AD5">
        <w:rPr>
          <w:sz w:val="24"/>
          <w:szCs w:val="24"/>
        </w:rPr>
        <w:t xml:space="preserve">r donner un aperçu, selon une conception universellement accessible, les services postaux devraient être conçus de manière à pouvoir être utilisés à la fois par une personne </w:t>
      </w:r>
      <w:r w:rsidR="00814953" w:rsidRPr="00EC0AD5">
        <w:rPr>
          <w:sz w:val="24"/>
          <w:szCs w:val="24"/>
        </w:rPr>
        <w:t>sans incapacité et par une personne ayant des limitations</w:t>
      </w:r>
      <w:r w:rsidR="000C4CEF" w:rsidRPr="00EC0AD5">
        <w:rPr>
          <w:sz w:val="24"/>
          <w:szCs w:val="24"/>
        </w:rPr>
        <w:t xml:space="preserve"> fonctionnelles</w:t>
      </w:r>
      <w:r w:rsidR="00814953" w:rsidRPr="00EC0AD5">
        <w:rPr>
          <w:sz w:val="24"/>
          <w:szCs w:val="24"/>
        </w:rPr>
        <w:t>,</w:t>
      </w:r>
      <w:r w:rsidRPr="00EC0AD5">
        <w:rPr>
          <w:sz w:val="24"/>
          <w:szCs w:val="24"/>
        </w:rPr>
        <w:t xml:space="preserve"> ce que rend difficile</w:t>
      </w:r>
      <w:r w:rsidR="00814953" w:rsidRPr="00EC0AD5">
        <w:rPr>
          <w:sz w:val="24"/>
          <w:szCs w:val="24"/>
        </w:rPr>
        <w:t>ment justifiable</w:t>
      </w:r>
      <w:r w:rsidRPr="00EC0AD5">
        <w:rPr>
          <w:sz w:val="24"/>
          <w:szCs w:val="24"/>
        </w:rPr>
        <w:t xml:space="preserve"> l’installation de boî</w:t>
      </w:r>
      <w:r w:rsidR="00814953" w:rsidRPr="00EC0AD5">
        <w:rPr>
          <w:sz w:val="24"/>
          <w:szCs w:val="24"/>
        </w:rPr>
        <w:t>tes postales communautaire</w:t>
      </w:r>
      <w:r w:rsidRPr="00EC0AD5">
        <w:rPr>
          <w:sz w:val="24"/>
          <w:szCs w:val="24"/>
        </w:rPr>
        <w:t xml:space="preserve">s. </w:t>
      </w:r>
    </w:p>
    <w:p w:rsidR="00041B82" w:rsidRPr="00EC0AD5" w:rsidRDefault="00FC4330" w:rsidP="00E10FF0">
      <w:pPr>
        <w:pStyle w:val="Titre3"/>
        <w:ind w:left="720" w:firstLine="0"/>
      </w:pPr>
      <w:bookmarkStart w:id="8" w:name="_Toc487539743"/>
      <w:r w:rsidRPr="00EC0AD5">
        <w:t>Sensibilisation et formation</w:t>
      </w:r>
      <w:bookmarkEnd w:id="8"/>
    </w:p>
    <w:p w:rsidR="00041B82" w:rsidRPr="00EC0AD5" w:rsidRDefault="00FC4330" w:rsidP="00E10FF0">
      <w:pPr>
        <w:ind w:left="720"/>
        <w:rPr>
          <w:sz w:val="24"/>
          <w:szCs w:val="24"/>
        </w:rPr>
      </w:pPr>
      <w:r w:rsidRPr="00EC0AD5">
        <w:rPr>
          <w:sz w:val="24"/>
          <w:szCs w:val="24"/>
        </w:rPr>
        <w:t>L</w:t>
      </w:r>
      <w:r w:rsidR="00806359" w:rsidRPr="00EC0AD5">
        <w:rPr>
          <w:sz w:val="24"/>
          <w:szCs w:val="24"/>
        </w:rPr>
        <w:t xml:space="preserve">’axe relatif à l’éducation et à la formation vise </w:t>
      </w:r>
      <w:r w:rsidR="00814953" w:rsidRPr="00EC0AD5">
        <w:rPr>
          <w:sz w:val="24"/>
          <w:szCs w:val="24"/>
        </w:rPr>
        <w:t xml:space="preserve">à expliquer </w:t>
      </w:r>
      <w:r w:rsidR="00806359" w:rsidRPr="00EC0AD5">
        <w:rPr>
          <w:sz w:val="24"/>
          <w:szCs w:val="24"/>
        </w:rPr>
        <w:t>l’accessibilité universelle et</w:t>
      </w:r>
      <w:r w:rsidR="00814953" w:rsidRPr="00EC0AD5">
        <w:rPr>
          <w:sz w:val="24"/>
          <w:szCs w:val="24"/>
        </w:rPr>
        <w:t xml:space="preserve"> à la rendre concrète auprès de tous les acteurs de la société. </w:t>
      </w:r>
      <w:r w:rsidR="00806359" w:rsidRPr="00EC0AD5">
        <w:rPr>
          <w:sz w:val="24"/>
          <w:szCs w:val="24"/>
        </w:rPr>
        <w:t xml:space="preserve">Il est également à propos de démontrer les besoins qu’elle permet de combler et les effets bénéfiques qu’elle occasionne lorsqu’elle est </w:t>
      </w:r>
      <w:r w:rsidR="00814953" w:rsidRPr="00EC0AD5">
        <w:rPr>
          <w:sz w:val="24"/>
          <w:szCs w:val="24"/>
        </w:rPr>
        <w:t xml:space="preserve">bien mise en œuvre. </w:t>
      </w:r>
      <w:r w:rsidR="00AA22EC" w:rsidRPr="00EC0AD5">
        <w:rPr>
          <w:sz w:val="24"/>
          <w:szCs w:val="24"/>
        </w:rPr>
        <w:t xml:space="preserve">Par exemple, le milieu associatif s’emploie à </w:t>
      </w:r>
      <w:r w:rsidR="00A11A58" w:rsidRPr="00EC0AD5">
        <w:rPr>
          <w:sz w:val="24"/>
          <w:szCs w:val="24"/>
        </w:rPr>
        <w:t>fournir des formations à</w:t>
      </w:r>
      <w:r w:rsidR="00AA22EC" w:rsidRPr="00EC0AD5">
        <w:rPr>
          <w:sz w:val="24"/>
          <w:szCs w:val="24"/>
        </w:rPr>
        <w:t xml:space="preserve"> la </w:t>
      </w:r>
      <w:r w:rsidR="00814953" w:rsidRPr="00EC0AD5">
        <w:rPr>
          <w:sz w:val="24"/>
          <w:szCs w:val="24"/>
        </w:rPr>
        <w:t>Ville</w:t>
      </w:r>
      <w:r w:rsidR="00AA22EC" w:rsidRPr="00EC0AD5">
        <w:rPr>
          <w:sz w:val="24"/>
          <w:szCs w:val="24"/>
        </w:rPr>
        <w:t xml:space="preserve"> de Montréal dans le but de la sensibiliser à des méthodes de sécurisation des </w:t>
      </w:r>
      <w:r w:rsidR="00AA22EC" w:rsidRPr="00EC0AD5">
        <w:rPr>
          <w:sz w:val="24"/>
          <w:szCs w:val="24"/>
        </w:rPr>
        <w:lastRenderedPageBreak/>
        <w:t xml:space="preserve">chantiers qui soient </w:t>
      </w:r>
      <w:r w:rsidR="00A11A58" w:rsidRPr="00EC0AD5">
        <w:rPr>
          <w:sz w:val="24"/>
          <w:szCs w:val="24"/>
        </w:rPr>
        <w:t>effectives</w:t>
      </w:r>
      <w:r w:rsidR="00AA22EC" w:rsidRPr="00EC0AD5">
        <w:rPr>
          <w:sz w:val="24"/>
          <w:szCs w:val="24"/>
        </w:rPr>
        <w:t xml:space="preserve"> pour l’ensemble de la population montréalaise, y compris </w:t>
      </w:r>
      <w:r w:rsidR="00A11A58" w:rsidRPr="00EC0AD5">
        <w:rPr>
          <w:sz w:val="24"/>
          <w:szCs w:val="24"/>
        </w:rPr>
        <w:t>les individus</w:t>
      </w:r>
      <w:r w:rsidR="00AA22EC" w:rsidRPr="00EC0AD5">
        <w:rPr>
          <w:sz w:val="24"/>
          <w:szCs w:val="24"/>
        </w:rPr>
        <w:t xml:space="preserve"> présentant différents types de limitations (visuelle, motrice, sensorielle, </w:t>
      </w:r>
      <w:proofErr w:type="spellStart"/>
      <w:r w:rsidR="00AA22EC" w:rsidRPr="00EC0AD5">
        <w:rPr>
          <w:sz w:val="24"/>
          <w:szCs w:val="24"/>
        </w:rPr>
        <w:t>etc</w:t>
      </w:r>
      <w:proofErr w:type="spellEnd"/>
      <w:r w:rsidR="00AA22EC" w:rsidRPr="00EC0AD5">
        <w:rPr>
          <w:sz w:val="24"/>
          <w:szCs w:val="24"/>
        </w:rPr>
        <w:t xml:space="preserve">…). </w:t>
      </w:r>
      <w:r w:rsidR="00814953" w:rsidRPr="00EC0AD5">
        <w:rPr>
          <w:sz w:val="24"/>
          <w:szCs w:val="24"/>
        </w:rPr>
        <w:t>Un tel travail devrait</w:t>
      </w:r>
      <w:r w:rsidR="007A4200" w:rsidRPr="00EC0AD5">
        <w:rPr>
          <w:sz w:val="24"/>
          <w:szCs w:val="24"/>
        </w:rPr>
        <w:t xml:space="preserve"> être de la responsabilité du gouvernement, de concert avec le milieu associatif des personnes ayant des limitations</w:t>
      </w:r>
      <w:r w:rsidR="000C4CEF" w:rsidRPr="00EC0AD5">
        <w:rPr>
          <w:sz w:val="24"/>
          <w:szCs w:val="24"/>
        </w:rPr>
        <w:t xml:space="preserve"> fonctionnelles</w:t>
      </w:r>
      <w:r w:rsidR="007A4200" w:rsidRPr="00EC0AD5">
        <w:rPr>
          <w:sz w:val="24"/>
          <w:szCs w:val="24"/>
        </w:rPr>
        <w:t>.</w:t>
      </w:r>
    </w:p>
    <w:p w:rsidR="00041B82" w:rsidRPr="00F15932" w:rsidRDefault="00041B82">
      <w:pPr>
        <w:ind w:firstLine="720"/>
        <w:rPr>
          <w:sz w:val="24"/>
          <w:szCs w:val="24"/>
          <w:highlight w:val="yellow"/>
        </w:rPr>
      </w:pPr>
    </w:p>
    <w:p w:rsidR="00041B82" w:rsidRPr="00EC0AD5" w:rsidRDefault="00AC1F12">
      <w:pPr>
        <w:rPr>
          <w:sz w:val="24"/>
          <w:szCs w:val="24"/>
        </w:rPr>
      </w:pPr>
      <w:r w:rsidRPr="00EC0AD5">
        <w:rPr>
          <w:sz w:val="24"/>
          <w:szCs w:val="24"/>
        </w:rPr>
        <w:t>D</w:t>
      </w:r>
      <w:r w:rsidR="005D3650" w:rsidRPr="00EC0AD5">
        <w:rPr>
          <w:sz w:val="24"/>
          <w:szCs w:val="24"/>
        </w:rPr>
        <w:t>ans le but de saisi</w:t>
      </w:r>
      <w:r w:rsidR="00A11A58" w:rsidRPr="00EC0AD5">
        <w:rPr>
          <w:sz w:val="24"/>
          <w:szCs w:val="24"/>
        </w:rPr>
        <w:t>r pleinement l’envergure de l’accessibilité universelle</w:t>
      </w:r>
      <w:r w:rsidR="007A4200" w:rsidRPr="00EC0AD5">
        <w:rPr>
          <w:sz w:val="24"/>
          <w:szCs w:val="24"/>
        </w:rPr>
        <w:t xml:space="preserve"> et s</w:t>
      </w:r>
      <w:r w:rsidR="005D3650" w:rsidRPr="00EC0AD5">
        <w:rPr>
          <w:sz w:val="24"/>
          <w:szCs w:val="24"/>
        </w:rPr>
        <w:t xml:space="preserve">es implications, il est important de </w:t>
      </w:r>
      <w:r w:rsidR="00EC0AD5" w:rsidRPr="00EC0AD5">
        <w:rPr>
          <w:sz w:val="24"/>
          <w:szCs w:val="24"/>
        </w:rPr>
        <w:t>considérer</w:t>
      </w:r>
      <w:r w:rsidR="005D3650" w:rsidRPr="00EC0AD5">
        <w:rPr>
          <w:sz w:val="24"/>
          <w:szCs w:val="24"/>
        </w:rPr>
        <w:t xml:space="preserve"> le concept de chaîne d'accessibilité. Présenté</w:t>
      </w:r>
      <w:r w:rsidR="00292549" w:rsidRPr="00EC0AD5">
        <w:rPr>
          <w:sz w:val="24"/>
          <w:szCs w:val="24"/>
        </w:rPr>
        <w:t>e</w:t>
      </w:r>
      <w:r w:rsidR="005D3650" w:rsidRPr="00EC0AD5">
        <w:rPr>
          <w:sz w:val="24"/>
          <w:szCs w:val="24"/>
        </w:rPr>
        <w:t xml:space="preserve"> simplement, la chaîne d’accessibilité vise à permettre à une personne en situation de handicap de mener l’ensemble de ses activités au sein de son milieu de vie de manière autonome. Cela implique donc d’avoir des commerces, des services, des loisirs, des logements </w:t>
      </w:r>
      <w:r w:rsidR="000F2F4D" w:rsidRPr="00EC0AD5">
        <w:rPr>
          <w:sz w:val="24"/>
          <w:szCs w:val="24"/>
        </w:rPr>
        <w:t>qui répondent aux critères de l’accessibilité universelle</w:t>
      </w:r>
      <w:r w:rsidR="005D3650" w:rsidRPr="00EC0AD5">
        <w:rPr>
          <w:sz w:val="24"/>
          <w:szCs w:val="24"/>
        </w:rPr>
        <w:t xml:space="preserve"> et qui sont tous présents dans un même milieu de vie. C’est ce qu</w:t>
      </w:r>
      <w:r w:rsidR="00EC0AD5" w:rsidRPr="00EC0AD5">
        <w:rPr>
          <w:sz w:val="24"/>
          <w:szCs w:val="24"/>
        </w:rPr>
        <w:t>i</w:t>
      </w:r>
      <w:r w:rsidR="005D3650" w:rsidRPr="00EC0AD5">
        <w:rPr>
          <w:sz w:val="24"/>
          <w:szCs w:val="24"/>
        </w:rPr>
        <w:t xml:space="preserve"> fait qu’une personne puisse passer d’une activité à l’autre, sans aide extérieure, tout en demeurant dans son milieu de vie et en pouvant accomplir toutes les activités qu’elle juge nécessaires à son </w:t>
      </w:r>
      <w:r w:rsidR="00F0109E" w:rsidRPr="00EC0AD5">
        <w:rPr>
          <w:sz w:val="24"/>
          <w:szCs w:val="24"/>
        </w:rPr>
        <w:t>bien-être</w:t>
      </w:r>
      <w:r w:rsidR="005D3650" w:rsidRPr="00EC0AD5">
        <w:rPr>
          <w:sz w:val="24"/>
          <w:szCs w:val="24"/>
        </w:rPr>
        <w:t>.</w:t>
      </w:r>
    </w:p>
    <w:p w:rsidR="005D2E01" w:rsidRDefault="005D2E01" w:rsidP="00A42958">
      <w:pPr>
        <w:jc w:val="both"/>
        <w:rPr>
          <w:sz w:val="24"/>
          <w:szCs w:val="24"/>
          <w:highlight w:val="yellow"/>
        </w:rPr>
      </w:pPr>
    </w:p>
    <w:p w:rsidR="000C4CEF" w:rsidRPr="005D2E01" w:rsidRDefault="005D2E01" w:rsidP="00A42958">
      <w:pPr>
        <w:jc w:val="both"/>
        <w:rPr>
          <w:sz w:val="24"/>
          <w:szCs w:val="24"/>
        </w:rPr>
      </w:pPr>
      <w:r w:rsidRPr="005D2E01">
        <w:rPr>
          <w:sz w:val="24"/>
          <w:szCs w:val="24"/>
        </w:rPr>
        <w:t>L’accessibilité universelle permet</w:t>
      </w:r>
      <w:r w:rsidR="005D3650" w:rsidRPr="005D2E01">
        <w:rPr>
          <w:sz w:val="24"/>
          <w:szCs w:val="24"/>
        </w:rPr>
        <w:t xml:space="preserve"> </w:t>
      </w:r>
      <w:r w:rsidRPr="005D2E01">
        <w:rPr>
          <w:sz w:val="24"/>
          <w:szCs w:val="24"/>
        </w:rPr>
        <w:t xml:space="preserve">la participation </w:t>
      </w:r>
      <w:r w:rsidR="005D3650" w:rsidRPr="005D2E01">
        <w:rPr>
          <w:sz w:val="24"/>
          <w:szCs w:val="24"/>
        </w:rPr>
        <w:t xml:space="preserve">sociale </w:t>
      </w:r>
      <w:r w:rsidRPr="005D2E01">
        <w:rPr>
          <w:sz w:val="24"/>
          <w:szCs w:val="24"/>
        </w:rPr>
        <w:t>des personnes ayant des limitations fonctionnelles,</w:t>
      </w:r>
      <w:r w:rsidR="000F2F4D" w:rsidRPr="005D2E01">
        <w:rPr>
          <w:sz w:val="24"/>
          <w:szCs w:val="24"/>
        </w:rPr>
        <w:t xml:space="preserve"> ce qui profite à l’ensemble de la</w:t>
      </w:r>
      <w:r w:rsidRPr="005D2E01">
        <w:rPr>
          <w:sz w:val="24"/>
          <w:szCs w:val="24"/>
        </w:rPr>
        <w:t xml:space="preserve"> société, car</w:t>
      </w:r>
      <w:r w:rsidR="000C4CEF" w:rsidRPr="005D2E01">
        <w:rPr>
          <w:sz w:val="24"/>
          <w:szCs w:val="24"/>
        </w:rPr>
        <w:t xml:space="preserve"> elles</w:t>
      </w:r>
      <w:r w:rsidRPr="005D2E01">
        <w:rPr>
          <w:sz w:val="24"/>
          <w:szCs w:val="24"/>
        </w:rPr>
        <w:t xml:space="preserve"> peuvent ainsi</w:t>
      </w:r>
      <w:r w:rsidR="000C4CEF" w:rsidRPr="005D2E01">
        <w:rPr>
          <w:sz w:val="24"/>
          <w:szCs w:val="24"/>
        </w:rPr>
        <w:t xml:space="preserve"> co</w:t>
      </w:r>
      <w:r w:rsidRPr="005D2E01">
        <w:rPr>
          <w:sz w:val="24"/>
          <w:szCs w:val="24"/>
        </w:rPr>
        <w:t>ntribuer</w:t>
      </w:r>
      <w:r w:rsidR="000C4CEF" w:rsidRPr="005D2E01">
        <w:rPr>
          <w:sz w:val="24"/>
          <w:szCs w:val="24"/>
        </w:rPr>
        <w:t xml:space="preserve"> au développement économique</w:t>
      </w:r>
      <w:r w:rsidRPr="005D2E01">
        <w:rPr>
          <w:sz w:val="24"/>
          <w:szCs w:val="24"/>
        </w:rPr>
        <w:t xml:space="preserve"> en travaillant, en consommant des biens et services et en faisant du</w:t>
      </w:r>
      <w:r w:rsidR="000C4CEF" w:rsidRPr="005D2E01">
        <w:rPr>
          <w:sz w:val="24"/>
          <w:szCs w:val="24"/>
        </w:rPr>
        <w:t xml:space="preserve"> bénévolat</w:t>
      </w:r>
      <w:r w:rsidRPr="005D2E01">
        <w:rPr>
          <w:sz w:val="24"/>
          <w:szCs w:val="24"/>
        </w:rPr>
        <w:t>.</w:t>
      </w:r>
      <w:r w:rsidR="000C4CEF" w:rsidRPr="005D2E01">
        <w:rPr>
          <w:sz w:val="24"/>
          <w:szCs w:val="24"/>
        </w:rPr>
        <w:t xml:space="preserve"> </w:t>
      </w:r>
      <w:r w:rsidR="005D3650" w:rsidRPr="005D2E01">
        <w:rPr>
          <w:sz w:val="24"/>
          <w:szCs w:val="24"/>
        </w:rPr>
        <w:t>A</w:t>
      </w:r>
      <w:r w:rsidRPr="005D2E01">
        <w:rPr>
          <w:sz w:val="24"/>
          <w:szCs w:val="24"/>
        </w:rPr>
        <w:t xml:space="preserve">u surplus, </w:t>
      </w:r>
      <w:r w:rsidR="005D3650" w:rsidRPr="005D2E01">
        <w:rPr>
          <w:sz w:val="24"/>
          <w:szCs w:val="24"/>
        </w:rPr>
        <w:t xml:space="preserve">les </w:t>
      </w:r>
      <w:r w:rsidR="009A5D34" w:rsidRPr="005D2E01">
        <w:rPr>
          <w:sz w:val="24"/>
          <w:szCs w:val="24"/>
        </w:rPr>
        <w:t xml:space="preserve">besoins des </w:t>
      </w:r>
      <w:r w:rsidR="005D3650" w:rsidRPr="005D2E01">
        <w:rPr>
          <w:sz w:val="24"/>
          <w:szCs w:val="24"/>
        </w:rPr>
        <w:t xml:space="preserve">personnes en situation de handicap sont souvent </w:t>
      </w:r>
      <w:r w:rsidR="009A5D34" w:rsidRPr="005D2E01">
        <w:rPr>
          <w:sz w:val="24"/>
          <w:szCs w:val="24"/>
        </w:rPr>
        <w:t>révélateurs</w:t>
      </w:r>
      <w:r w:rsidR="005D3650" w:rsidRPr="005D2E01">
        <w:rPr>
          <w:sz w:val="24"/>
          <w:szCs w:val="24"/>
        </w:rPr>
        <w:t xml:space="preserve"> des besoi</w:t>
      </w:r>
      <w:r w:rsidR="000F2F4D" w:rsidRPr="005D2E01">
        <w:rPr>
          <w:sz w:val="24"/>
          <w:szCs w:val="24"/>
        </w:rPr>
        <w:t>ns de la population</w:t>
      </w:r>
      <w:r w:rsidR="009A5D34" w:rsidRPr="005D2E01">
        <w:rPr>
          <w:sz w:val="24"/>
          <w:szCs w:val="24"/>
        </w:rPr>
        <w:t xml:space="preserve"> en général</w:t>
      </w:r>
      <w:r w:rsidR="000F2F4D" w:rsidRPr="005D2E01">
        <w:rPr>
          <w:sz w:val="24"/>
          <w:szCs w:val="24"/>
        </w:rPr>
        <w:t>. Ainsi, l’accessibilité universelle</w:t>
      </w:r>
      <w:r w:rsidR="005D3650" w:rsidRPr="005D2E01">
        <w:rPr>
          <w:sz w:val="24"/>
          <w:szCs w:val="24"/>
        </w:rPr>
        <w:t xml:space="preserve"> ne dessert pas uniquement les besoins </w:t>
      </w:r>
      <w:r w:rsidR="000F2F4D" w:rsidRPr="005D2E01">
        <w:rPr>
          <w:sz w:val="24"/>
          <w:szCs w:val="24"/>
        </w:rPr>
        <w:t>des personnes ayant des limitations fonctionnelles,</w:t>
      </w:r>
      <w:r w:rsidR="0043720D" w:rsidRPr="005D2E01">
        <w:rPr>
          <w:sz w:val="24"/>
          <w:szCs w:val="24"/>
        </w:rPr>
        <w:t xml:space="preserve"> mais</w:t>
      </w:r>
      <w:r w:rsidR="005D3650" w:rsidRPr="005D2E01">
        <w:rPr>
          <w:sz w:val="24"/>
          <w:szCs w:val="24"/>
        </w:rPr>
        <w:t xml:space="preserve"> bénéficie </w:t>
      </w:r>
      <w:r w:rsidR="0043720D" w:rsidRPr="005D2E01">
        <w:rPr>
          <w:sz w:val="24"/>
          <w:szCs w:val="24"/>
        </w:rPr>
        <w:t>en plus</w:t>
      </w:r>
      <w:r w:rsidR="005D3650" w:rsidRPr="005D2E01">
        <w:rPr>
          <w:sz w:val="24"/>
          <w:szCs w:val="24"/>
        </w:rPr>
        <w:t xml:space="preserve"> aux aînés, aux familles avec des enfants ou aux blessés temporaires. </w:t>
      </w:r>
      <w:r w:rsidR="000C4CEF" w:rsidRPr="005D2E01">
        <w:rPr>
          <w:sz w:val="24"/>
          <w:szCs w:val="24"/>
        </w:rPr>
        <w:t>Pensons à l’entrée accessible d’un centre s</w:t>
      </w:r>
      <w:r w:rsidR="0043720D" w:rsidRPr="005D2E01">
        <w:rPr>
          <w:sz w:val="24"/>
          <w:szCs w:val="24"/>
        </w:rPr>
        <w:t>portif :</w:t>
      </w:r>
      <w:r w:rsidR="000C4CEF" w:rsidRPr="005D2E01">
        <w:rPr>
          <w:sz w:val="24"/>
          <w:szCs w:val="24"/>
        </w:rPr>
        <w:t xml:space="preserve"> celle-ci est fortement appréciée par les livreurs, les athlètes avec leur équipement sportif, les </w:t>
      </w:r>
      <w:r w:rsidR="0043720D" w:rsidRPr="005D2E01">
        <w:rPr>
          <w:sz w:val="24"/>
          <w:szCs w:val="24"/>
        </w:rPr>
        <w:t>parents avec des poussettes</w:t>
      </w:r>
      <w:r w:rsidR="000C4CEF" w:rsidRPr="005D2E01">
        <w:rPr>
          <w:sz w:val="24"/>
          <w:szCs w:val="24"/>
        </w:rPr>
        <w:t xml:space="preserve"> et les </w:t>
      </w:r>
      <w:r w:rsidR="0043720D" w:rsidRPr="005D2E01">
        <w:rPr>
          <w:sz w:val="24"/>
          <w:szCs w:val="24"/>
        </w:rPr>
        <w:t xml:space="preserve">personnes </w:t>
      </w:r>
      <w:r w:rsidR="000C4CEF" w:rsidRPr="005D2E01">
        <w:rPr>
          <w:sz w:val="24"/>
          <w:szCs w:val="24"/>
        </w:rPr>
        <w:t>aîné</w:t>
      </w:r>
      <w:r w:rsidR="0043720D" w:rsidRPr="005D2E01">
        <w:rPr>
          <w:sz w:val="24"/>
          <w:szCs w:val="24"/>
        </w:rPr>
        <w:t>e</w:t>
      </w:r>
      <w:r w:rsidR="000C4CEF" w:rsidRPr="005D2E01">
        <w:rPr>
          <w:sz w:val="24"/>
          <w:szCs w:val="24"/>
        </w:rPr>
        <w:t>s.</w:t>
      </w:r>
    </w:p>
    <w:p w:rsidR="00041B82" w:rsidRPr="005D2E01" w:rsidRDefault="00041B82">
      <w:pPr>
        <w:ind w:firstLine="720"/>
        <w:rPr>
          <w:sz w:val="24"/>
          <w:szCs w:val="24"/>
        </w:rPr>
      </w:pPr>
    </w:p>
    <w:p w:rsidR="00041B82" w:rsidRDefault="000F2F4D" w:rsidP="0043720D">
      <w:pPr>
        <w:rPr>
          <w:sz w:val="24"/>
          <w:szCs w:val="24"/>
        </w:rPr>
      </w:pPr>
      <w:r w:rsidRPr="005D2E01">
        <w:rPr>
          <w:sz w:val="24"/>
          <w:szCs w:val="24"/>
        </w:rPr>
        <w:t>Enfin, l’application de l’accessibilité universelle</w:t>
      </w:r>
      <w:r w:rsidR="005D3650" w:rsidRPr="005D2E01">
        <w:rPr>
          <w:sz w:val="24"/>
          <w:szCs w:val="24"/>
        </w:rPr>
        <w:t xml:space="preserve"> ne peut être </w:t>
      </w:r>
      <w:r w:rsidRPr="005D2E01">
        <w:rPr>
          <w:sz w:val="24"/>
          <w:szCs w:val="24"/>
        </w:rPr>
        <w:t>restreinte</w:t>
      </w:r>
      <w:r w:rsidR="005D3650" w:rsidRPr="005D2E01">
        <w:rPr>
          <w:sz w:val="24"/>
          <w:szCs w:val="24"/>
        </w:rPr>
        <w:t xml:space="preserve"> à une simple logique de conformité des critères</w:t>
      </w:r>
      <w:r w:rsidR="009A5D34" w:rsidRPr="005D2E01">
        <w:rPr>
          <w:sz w:val="24"/>
          <w:szCs w:val="24"/>
        </w:rPr>
        <w:t xml:space="preserve"> prédéterminés</w:t>
      </w:r>
      <w:r w:rsidR="005D3650" w:rsidRPr="005D2E01">
        <w:rPr>
          <w:sz w:val="24"/>
          <w:szCs w:val="24"/>
        </w:rPr>
        <w:t xml:space="preserve">. </w:t>
      </w:r>
      <w:r w:rsidR="0043720D" w:rsidRPr="005D2E01">
        <w:rPr>
          <w:sz w:val="24"/>
          <w:szCs w:val="24"/>
        </w:rPr>
        <w:t>En effet, des tests d’utilisabilité doivent être exécutés par des personnes ayant toutes sortes de limitations afin d’assurer une accessibilité effective.</w:t>
      </w:r>
      <w:r w:rsidR="0043720D">
        <w:rPr>
          <w:sz w:val="24"/>
          <w:szCs w:val="24"/>
        </w:rPr>
        <w:t xml:space="preserve"> </w:t>
      </w:r>
    </w:p>
    <w:p w:rsidR="004A0F77" w:rsidRDefault="000B6A4B" w:rsidP="00E10FF0">
      <w:pPr>
        <w:pStyle w:val="Titre2"/>
        <w:numPr>
          <w:ilvl w:val="1"/>
          <w:numId w:val="9"/>
        </w:numPr>
      </w:pPr>
      <w:bookmarkStart w:id="9" w:name="_Toc487539744"/>
      <w:r>
        <w:t>O</w:t>
      </w:r>
      <w:r w:rsidR="00D262BC" w:rsidRPr="001F49DE">
        <w:t>bligation d’</w:t>
      </w:r>
      <w:r w:rsidR="00B7371C">
        <w:t xml:space="preserve">accommodement </w:t>
      </w:r>
      <w:r>
        <w:t xml:space="preserve">et </w:t>
      </w:r>
      <w:r w:rsidR="009E77AB">
        <w:t>contrainte excessive</w:t>
      </w:r>
      <w:bookmarkEnd w:id="9"/>
    </w:p>
    <w:p w:rsidR="00041B82" w:rsidRPr="000B6A4B" w:rsidRDefault="002A2B1B">
      <w:pPr>
        <w:rPr>
          <w:sz w:val="24"/>
          <w:szCs w:val="24"/>
        </w:rPr>
      </w:pPr>
      <w:r w:rsidRPr="000B6A4B">
        <w:rPr>
          <w:sz w:val="24"/>
          <w:szCs w:val="24"/>
        </w:rPr>
        <w:t>L</w:t>
      </w:r>
      <w:r w:rsidR="00B7371C" w:rsidRPr="000B6A4B">
        <w:rPr>
          <w:sz w:val="24"/>
          <w:szCs w:val="24"/>
        </w:rPr>
        <w:t xml:space="preserve">’obligation d’accommodement </w:t>
      </w:r>
      <w:r w:rsidR="004427F9" w:rsidRPr="000B6A4B">
        <w:rPr>
          <w:sz w:val="24"/>
          <w:szCs w:val="24"/>
        </w:rPr>
        <w:t>vise à permettre un meilleur vivre-ensemble en incluant notammen</w:t>
      </w:r>
      <w:r w:rsidR="00E4648A" w:rsidRPr="000B6A4B">
        <w:rPr>
          <w:sz w:val="24"/>
          <w:szCs w:val="24"/>
        </w:rPr>
        <w:t>t l’</w:t>
      </w:r>
      <w:r w:rsidR="004427F9" w:rsidRPr="000B6A4B">
        <w:rPr>
          <w:sz w:val="24"/>
          <w:szCs w:val="24"/>
        </w:rPr>
        <w:t xml:space="preserve">exercice des droits des minorités. Cette obligation doit être vue et réfléchie en parallèle du </w:t>
      </w:r>
      <w:r w:rsidR="00FC54B3" w:rsidRPr="000B6A4B">
        <w:rPr>
          <w:sz w:val="24"/>
          <w:szCs w:val="24"/>
        </w:rPr>
        <w:t xml:space="preserve">concept de contrainte excessive. Pour cette raison, nous traiterons conjointement </w:t>
      </w:r>
      <w:r w:rsidRPr="000B6A4B">
        <w:rPr>
          <w:sz w:val="24"/>
          <w:szCs w:val="24"/>
        </w:rPr>
        <w:t xml:space="preserve">de </w:t>
      </w:r>
      <w:r w:rsidR="00FC54B3" w:rsidRPr="000B6A4B">
        <w:rPr>
          <w:sz w:val="24"/>
          <w:szCs w:val="24"/>
        </w:rPr>
        <w:t>ces deux notions.</w:t>
      </w:r>
    </w:p>
    <w:p w:rsidR="00041B82" w:rsidRPr="000B6A4B" w:rsidRDefault="00041B82">
      <w:pPr>
        <w:rPr>
          <w:sz w:val="24"/>
          <w:szCs w:val="24"/>
        </w:rPr>
      </w:pPr>
    </w:p>
    <w:p w:rsidR="00041B82" w:rsidRPr="000B6A4B" w:rsidRDefault="006E64C9">
      <w:pPr>
        <w:rPr>
          <w:sz w:val="24"/>
          <w:szCs w:val="24"/>
        </w:rPr>
      </w:pPr>
      <w:r w:rsidRPr="000B6A4B">
        <w:rPr>
          <w:sz w:val="24"/>
          <w:szCs w:val="24"/>
        </w:rPr>
        <w:t>L’obligation d’</w:t>
      </w:r>
      <w:r w:rsidR="006E6987" w:rsidRPr="000B6A4B">
        <w:rPr>
          <w:sz w:val="24"/>
          <w:szCs w:val="24"/>
        </w:rPr>
        <w:t>accommodement</w:t>
      </w:r>
      <w:r w:rsidRPr="000B6A4B">
        <w:rPr>
          <w:sz w:val="24"/>
          <w:szCs w:val="24"/>
        </w:rPr>
        <w:t xml:space="preserve"> prend </w:t>
      </w:r>
      <w:r w:rsidR="00FF2EA1" w:rsidRPr="000B6A4B">
        <w:rPr>
          <w:sz w:val="24"/>
          <w:szCs w:val="24"/>
        </w:rPr>
        <w:t xml:space="preserve">notamment sa </w:t>
      </w:r>
      <w:r w:rsidRPr="000B6A4B">
        <w:rPr>
          <w:sz w:val="24"/>
          <w:szCs w:val="24"/>
        </w:rPr>
        <w:t xml:space="preserve">source dans le droit à l’égalité prévu à l’article 15(1) de la </w:t>
      </w:r>
      <w:r w:rsidRPr="000B6A4B">
        <w:rPr>
          <w:i/>
          <w:sz w:val="24"/>
          <w:szCs w:val="24"/>
        </w:rPr>
        <w:t>Charte canadienne des droits et libertés</w:t>
      </w:r>
      <w:r w:rsidR="006E6987" w:rsidRPr="000B6A4B">
        <w:rPr>
          <w:sz w:val="24"/>
          <w:szCs w:val="24"/>
        </w:rPr>
        <w:t xml:space="preserve"> tel que </w:t>
      </w:r>
      <w:r w:rsidR="00A545DF" w:rsidRPr="000B6A4B">
        <w:rPr>
          <w:sz w:val="24"/>
          <w:szCs w:val="24"/>
        </w:rPr>
        <w:t>cela ressort de la jurisprudence consta</w:t>
      </w:r>
      <w:r w:rsidR="00E4648A" w:rsidRPr="000B6A4B">
        <w:rPr>
          <w:sz w:val="24"/>
          <w:szCs w:val="24"/>
        </w:rPr>
        <w:t>n</w:t>
      </w:r>
      <w:r w:rsidR="00A545DF" w:rsidRPr="000B6A4B">
        <w:rPr>
          <w:sz w:val="24"/>
          <w:szCs w:val="24"/>
        </w:rPr>
        <w:t>te de la</w:t>
      </w:r>
      <w:r w:rsidR="006E6987" w:rsidRPr="000B6A4B">
        <w:rPr>
          <w:sz w:val="24"/>
          <w:szCs w:val="24"/>
        </w:rPr>
        <w:t xml:space="preserve"> Cour suprême</w:t>
      </w:r>
      <w:r w:rsidR="0062103A" w:rsidRPr="000B6A4B">
        <w:rPr>
          <w:sz w:val="24"/>
          <w:szCs w:val="24"/>
        </w:rPr>
        <w:t xml:space="preserve"> du Canada.</w:t>
      </w:r>
      <w:r w:rsidR="00A471D9" w:rsidRPr="000B6A4B">
        <w:rPr>
          <w:sz w:val="24"/>
          <w:szCs w:val="24"/>
        </w:rPr>
        <w:t xml:space="preserve"> </w:t>
      </w:r>
      <w:r w:rsidR="00FF2EA1" w:rsidRPr="000B6A4B">
        <w:rPr>
          <w:sz w:val="24"/>
          <w:szCs w:val="24"/>
        </w:rPr>
        <w:t xml:space="preserve">L’énonciation </w:t>
      </w:r>
      <w:r w:rsidR="00FF2EA1" w:rsidRPr="000B6A4B">
        <w:rPr>
          <w:sz w:val="24"/>
          <w:szCs w:val="24"/>
        </w:rPr>
        <w:lastRenderedPageBreak/>
        <w:t>de ce</w:t>
      </w:r>
      <w:r w:rsidR="00AC0040" w:rsidRPr="000B6A4B">
        <w:rPr>
          <w:sz w:val="24"/>
          <w:szCs w:val="24"/>
        </w:rPr>
        <w:t xml:space="preserve"> droit</w:t>
      </w:r>
      <w:r w:rsidR="005361F2" w:rsidRPr="000B6A4B">
        <w:rPr>
          <w:sz w:val="24"/>
          <w:szCs w:val="24"/>
        </w:rPr>
        <w:t xml:space="preserve"> dans le texte de la </w:t>
      </w:r>
      <w:r w:rsidR="005361F2" w:rsidRPr="000B6A4B">
        <w:rPr>
          <w:i/>
          <w:sz w:val="24"/>
          <w:szCs w:val="24"/>
        </w:rPr>
        <w:t>Charte</w:t>
      </w:r>
      <w:r w:rsidR="00AC0040" w:rsidRPr="000B6A4B">
        <w:rPr>
          <w:sz w:val="24"/>
          <w:szCs w:val="24"/>
        </w:rPr>
        <w:t xml:space="preserve"> comprend nommément les « déficiences mentales ou physiques</w:t>
      </w:r>
      <w:r w:rsidR="00AC0040" w:rsidRPr="000B6A4B">
        <w:rPr>
          <w:rStyle w:val="Appelnotedebasdep"/>
          <w:sz w:val="24"/>
          <w:szCs w:val="24"/>
        </w:rPr>
        <w:footnoteReference w:id="4"/>
      </w:r>
      <w:r w:rsidR="005361F2" w:rsidRPr="000B6A4B">
        <w:rPr>
          <w:sz w:val="24"/>
          <w:szCs w:val="24"/>
        </w:rPr>
        <w:t> »</w:t>
      </w:r>
      <w:r w:rsidR="00AC0040" w:rsidRPr="000B6A4B">
        <w:rPr>
          <w:sz w:val="24"/>
          <w:szCs w:val="24"/>
        </w:rPr>
        <w:t>.</w:t>
      </w:r>
      <w:r w:rsidR="005361F2" w:rsidRPr="000B6A4B">
        <w:rPr>
          <w:sz w:val="24"/>
          <w:szCs w:val="24"/>
        </w:rPr>
        <w:t xml:space="preserve"> L’accommodement vise dans ce contexte à servir </w:t>
      </w:r>
      <w:r w:rsidR="00FF2EA1" w:rsidRPr="000B6A4B">
        <w:rPr>
          <w:sz w:val="24"/>
          <w:szCs w:val="24"/>
        </w:rPr>
        <w:t>de</w:t>
      </w:r>
      <w:r w:rsidR="005361F2" w:rsidRPr="000B6A4B">
        <w:rPr>
          <w:sz w:val="24"/>
          <w:szCs w:val="24"/>
        </w:rPr>
        <w:t xml:space="preserve"> réparation</w:t>
      </w:r>
      <w:r w:rsidR="00033FCB" w:rsidRPr="000B6A4B">
        <w:rPr>
          <w:sz w:val="24"/>
          <w:szCs w:val="24"/>
        </w:rPr>
        <w:t xml:space="preserve"> en nature qui soit</w:t>
      </w:r>
      <w:r w:rsidR="005361F2" w:rsidRPr="000B6A4B">
        <w:rPr>
          <w:sz w:val="24"/>
          <w:szCs w:val="24"/>
        </w:rPr>
        <w:t xml:space="preserve"> « convenable et juste</w:t>
      </w:r>
      <w:r w:rsidR="005361F2" w:rsidRPr="000B6A4B">
        <w:rPr>
          <w:rStyle w:val="Appelnotedebasdep"/>
          <w:sz w:val="24"/>
          <w:szCs w:val="24"/>
        </w:rPr>
        <w:footnoteReference w:id="5"/>
      </w:r>
      <w:r w:rsidR="005361F2" w:rsidRPr="000B6A4B">
        <w:rPr>
          <w:sz w:val="24"/>
          <w:szCs w:val="24"/>
        </w:rPr>
        <w:t> » en cas de violation du droit à l’</w:t>
      </w:r>
      <w:r w:rsidR="00033FCB" w:rsidRPr="000B6A4B">
        <w:rPr>
          <w:sz w:val="24"/>
          <w:szCs w:val="24"/>
        </w:rPr>
        <w:t>égalité</w:t>
      </w:r>
      <w:r w:rsidR="001B4AAE" w:rsidRPr="000B6A4B">
        <w:rPr>
          <w:sz w:val="24"/>
          <w:szCs w:val="24"/>
        </w:rPr>
        <w:t xml:space="preserve"> et à prévenir la discrimination dite indirecte qui </w:t>
      </w:r>
      <w:r w:rsidR="00FF2EA1" w:rsidRPr="000B6A4B">
        <w:rPr>
          <w:sz w:val="24"/>
          <w:szCs w:val="24"/>
        </w:rPr>
        <w:t>réfère</w:t>
      </w:r>
      <w:r w:rsidR="001B4AAE" w:rsidRPr="000B6A4B">
        <w:rPr>
          <w:sz w:val="24"/>
          <w:szCs w:val="24"/>
        </w:rPr>
        <w:t xml:space="preserve"> quant à elle </w:t>
      </w:r>
      <w:r w:rsidR="00FF2EA1" w:rsidRPr="000B6A4B">
        <w:rPr>
          <w:sz w:val="24"/>
          <w:szCs w:val="24"/>
        </w:rPr>
        <w:t>aux</w:t>
      </w:r>
      <w:r w:rsidR="001B4AAE" w:rsidRPr="000B6A4B">
        <w:rPr>
          <w:sz w:val="24"/>
          <w:szCs w:val="24"/>
        </w:rPr>
        <w:t xml:space="preserve"> effets que peut avoir une mesure législative. </w:t>
      </w:r>
    </w:p>
    <w:p w:rsidR="00041B82" w:rsidRPr="000B6A4B" w:rsidRDefault="00041B82">
      <w:pPr>
        <w:rPr>
          <w:sz w:val="24"/>
          <w:szCs w:val="24"/>
        </w:rPr>
      </w:pPr>
    </w:p>
    <w:p w:rsidR="00041B82" w:rsidRPr="000B6A4B" w:rsidRDefault="0071202D">
      <w:pPr>
        <w:rPr>
          <w:sz w:val="24"/>
          <w:szCs w:val="24"/>
        </w:rPr>
      </w:pPr>
      <w:r w:rsidRPr="000B6A4B">
        <w:rPr>
          <w:sz w:val="24"/>
          <w:szCs w:val="24"/>
        </w:rPr>
        <w:t xml:space="preserve">Dans le contexte d’une loi fédérale sur l’accessibilité, </w:t>
      </w:r>
      <w:r w:rsidR="000B08E8" w:rsidRPr="000B6A4B">
        <w:rPr>
          <w:sz w:val="24"/>
          <w:szCs w:val="24"/>
        </w:rPr>
        <w:t xml:space="preserve">il est évident </w:t>
      </w:r>
      <w:r w:rsidR="00463748" w:rsidRPr="000B6A4B">
        <w:rPr>
          <w:sz w:val="24"/>
          <w:szCs w:val="24"/>
        </w:rPr>
        <w:t xml:space="preserve">qu’une telle obligation devra être </w:t>
      </w:r>
      <w:r w:rsidR="00C93F6E" w:rsidRPr="000B6A4B">
        <w:rPr>
          <w:sz w:val="24"/>
          <w:szCs w:val="24"/>
        </w:rPr>
        <w:t>présente</w:t>
      </w:r>
      <w:r w:rsidR="00463748" w:rsidRPr="000B6A4B">
        <w:rPr>
          <w:sz w:val="24"/>
          <w:szCs w:val="24"/>
        </w:rPr>
        <w:t xml:space="preserve">. </w:t>
      </w:r>
      <w:r w:rsidR="004154D3" w:rsidRPr="000B6A4B">
        <w:rPr>
          <w:sz w:val="24"/>
          <w:szCs w:val="24"/>
        </w:rPr>
        <w:t>Bien qu’il n’y ait pas d’avantage</w:t>
      </w:r>
      <w:r w:rsidR="0062103A" w:rsidRPr="000B6A4B">
        <w:rPr>
          <w:sz w:val="24"/>
          <w:szCs w:val="24"/>
        </w:rPr>
        <w:t xml:space="preserve"> </w:t>
      </w:r>
      <w:r w:rsidR="004154D3" w:rsidRPr="000B6A4B">
        <w:rPr>
          <w:sz w:val="24"/>
          <w:szCs w:val="24"/>
        </w:rPr>
        <w:t xml:space="preserve">à </w:t>
      </w:r>
      <w:r w:rsidR="00B6286C" w:rsidRPr="000B6A4B">
        <w:rPr>
          <w:sz w:val="24"/>
          <w:szCs w:val="24"/>
        </w:rPr>
        <w:t>cristalliser</w:t>
      </w:r>
      <w:r w:rsidR="004154D3" w:rsidRPr="000B6A4B">
        <w:rPr>
          <w:sz w:val="24"/>
          <w:szCs w:val="24"/>
        </w:rPr>
        <w:t xml:space="preserve"> sa définition au sein d’un outil législatif </w:t>
      </w:r>
      <w:r w:rsidR="00E4648A" w:rsidRPr="000B6A4B">
        <w:rPr>
          <w:sz w:val="24"/>
          <w:szCs w:val="24"/>
        </w:rPr>
        <w:t xml:space="preserve">nouveau </w:t>
      </w:r>
      <w:r w:rsidR="004154D3" w:rsidRPr="000B6A4B">
        <w:rPr>
          <w:sz w:val="24"/>
          <w:szCs w:val="24"/>
        </w:rPr>
        <w:t>puisque les tribunaux supérieurs ont abondamment définis le concept et que l’acte jurisprudentiel permet une adaptation certain</w:t>
      </w:r>
      <w:r w:rsidR="00D90276" w:rsidRPr="000B6A4B">
        <w:rPr>
          <w:sz w:val="24"/>
          <w:szCs w:val="24"/>
        </w:rPr>
        <w:t>e</w:t>
      </w:r>
      <w:r w:rsidR="004154D3" w:rsidRPr="000B6A4B">
        <w:rPr>
          <w:sz w:val="24"/>
          <w:szCs w:val="24"/>
        </w:rPr>
        <w:t xml:space="preserve">, </w:t>
      </w:r>
      <w:r w:rsidR="00C93F6E" w:rsidRPr="000B6A4B">
        <w:rPr>
          <w:sz w:val="24"/>
          <w:szCs w:val="24"/>
        </w:rPr>
        <w:t xml:space="preserve">il demeure que l’obligation d’accommodement se devra d’être </w:t>
      </w:r>
      <w:r w:rsidR="00446B96" w:rsidRPr="000B6A4B">
        <w:rPr>
          <w:sz w:val="24"/>
          <w:szCs w:val="24"/>
        </w:rPr>
        <w:t>énoncée</w:t>
      </w:r>
      <w:r w:rsidR="00E4648A" w:rsidRPr="000B6A4B">
        <w:rPr>
          <w:sz w:val="24"/>
          <w:szCs w:val="24"/>
        </w:rPr>
        <w:t xml:space="preserve"> </w:t>
      </w:r>
      <w:r w:rsidR="00FF2EA1" w:rsidRPr="000B6A4B">
        <w:rPr>
          <w:sz w:val="24"/>
          <w:szCs w:val="24"/>
        </w:rPr>
        <w:t xml:space="preserve">dans le texte de la </w:t>
      </w:r>
      <w:r w:rsidR="007D666D" w:rsidRPr="000B6A4B">
        <w:rPr>
          <w:sz w:val="24"/>
          <w:szCs w:val="24"/>
        </w:rPr>
        <w:t>L</w:t>
      </w:r>
      <w:r w:rsidR="00FF2EA1" w:rsidRPr="000B6A4B">
        <w:rPr>
          <w:sz w:val="24"/>
          <w:szCs w:val="24"/>
        </w:rPr>
        <w:t>oi</w:t>
      </w:r>
      <w:r w:rsidR="00C93F6E" w:rsidRPr="000B6A4B">
        <w:rPr>
          <w:sz w:val="24"/>
          <w:szCs w:val="24"/>
        </w:rPr>
        <w:t xml:space="preserve">. </w:t>
      </w:r>
      <w:r w:rsidR="00463748" w:rsidRPr="000B6A4B">
        <w:rPr>
          <w:sz w:val="24"/>
          <w:szCs w:val="24"/>
        </w:rPr>
        <w:t xml:space="preserve">Se faisant, cela participera à la clarification et la démocratisation du fonctionnement légal face au droit à l’égalité en plus d’ouvrir explicitement la porte à l’application des critères élaborés par la jurisprudence, notamment par la Cour suprême. </w:t>
      </w:r>
    </w:p>
    <w:p w:rsidR="00041B82" w:rsidRPr="000B6A4B" w:rsidRDefault="00041B82">
      <w:pPr>
        <w:rPr>
          <w:sz w:val="24"/>
          <w:szCs w:val="24"/>
        </w:rPr>
      </w:pPr>
    </w:p>
    <w:p w:rsidR="00041B82" w:rsidRDefault="00446B96">
      <w:pPr>
        <w:rPr>
          <w:sz w:val="24"/>
          <w:szCs w:val="24"/>
        </w:rPr>
      </w:pPr>
      <w:r w:rsidRPr="000B6A4B">
        <w:rPr>
          <w:sz w:val="24"/>
          <w:szCs w:val="24"/>
        </w:rPr>
        <w:t>Le corol</w:t>
      </w:r>
      <w:r w:rsidR="005C411F" w:rsidRPr="000B6A4B">
        <w:rPr>
          <w:sz w:val="24"/>
          <w:szCs w:val="24"/>
        </w:rPr>
        <w:t>l</w:t>
      </w:r>
      <w:r w:rsidRPr="000B6A4B">
        <w:rPr>
          <w:sz w:val="24"/>
          <w:szCs w:val="24"/>
        </w:rPr>
        <w:t xml:space="preserve">aire de l’obligation d’accommodement </w:t>
      </w:r>
      <w:r w:rsidR="002A2B1B" w:rsidRPr="000B6A4B">
        <w:rPr>
          <w:sz w:val="24"/>
          <w:szCs w:val="24"/>
        </w:rPr>
        <w:t xml:space="preserve">est </w:t>
      </w:r>
      <w:r w:rsidR="000B6A4B" w:rsidRPr="000B6A4B">
        <w:rPr>
          <w:sz w:val="24"/>
          <w:szCs w:val="24"/>
        </w:rPr>
        <w:t>la</w:t>
      </w:r>
      <w:r w:rsidRPr="000B6A4B">
        <w:rPr>
          <w:sz w:val="24"/>
          <w:szCs w:val="24"/>
        </w:rPr>
        <w:t xml:space="preserve"> contrainte excessive. </w:t>
      </w:r>
      <w:r w:rsidR="00B97EDF" w:rsidRPr="000B6A4B">
        <w:rPr>
          <w:sz w:val="24"/>
          <w:szCs w:val="24"/>
        </w:rPr>
        <w:t>Lorsque les tribunaux détermine</w:t>
      </w:r>
      <w:r w:rsidR="005C411F" w:rsidRPr="000B6A4B">
        <w:rPr>
          <w:sz w:val="24"/>
          <w:szCs w:val="24"/>
        </w:rPr>
        <w:t>nt</w:t>
      </w:r>
      <w:r w:rsidR="00B97EDF" w:rsidRPr="000B6A4B">
        <w:rPr>
          <w:sz w:val="24"/>
          <w:szCs w:val="24"/>
        </w:rPr>
        <w:t xml:space="preserve"> que de mettre en place un accommodement équivaudrait à imposer une contrainte excessive au débiteur de l’obligation d’accommodement, ils peuvent libérer ce dernier de son fardeau. En conformité avec notre discours sur </w:t>
      </w:r>
      <w:r w:rsidR="000B6A4B" w:rsidRPr="000B6A4B">
        <w:rPr>
          <w:sz w:val="24"/>
          <w:szCs w:val="24"/>
        </w:rPr>
        <w:t>l’obligation d’accommodement</w:t>
      </w:r>
      <w:r w:rsidR="00B97EDF" w:rsidRPr="000B6A4B">
        <w:rPr>
          <w:sz w:val="24"/>
          <w:szCs w:val="24"/>
        </w:rPr>
        <w:t>, nous ne pensons pas qu’il est opportun de définir une telle notion dans la</w:t>
      </w:r>
      <w:r w:rsidR="00507FAE" w:rsidRPr="000B6A4B">
        <w:rPr>
          <w:sz w:val="24"/>
          <w:szCs w:val="24"/>
        </w:rPr>
        <w:t xml:space="preserve"> future</w:t>
      </w:r>
      <w:r w:rsidR="00B97EDF" w:rsidRPr="000B6A4B">
        <w:rPr>
          <w:sz w:val="24"/>
          <w:szCs w:val="24"/>
        </w:rPr>
        <w:t xml:space="preserve"> </w:t>
      </w:r>
      <w:r w:rsidR="00507FAE" w:rsidRPr="000B6A4B">
        <w:rPr>
          <w:sz w:val="24"/>
          <w:szCs w:val="24"/>
        </w:rPr>
        <w:t>L</w:t>
      </w:r>
      <w:r w:rsidR="00B97EDF" w:rsidRPr="000B6A4B">
        <w:rPr>
          <w:sz w:val="24"/>
          <w:szCs w:val="24"/>
        </w:rPr>
        <w:t xml:space="preserve">oi fédérale. Une fois de plus, il ne nous semble pas y avoir d’avantage significatif à cristalliser une pareille définition aux dépens de l’acte jurisprudentiel. En ce sens, </w:t>
      </w:r>
      <w:r w:rsidR="00D20830" w:rsidRPr="000B6A4B">
        <w:rPr>
          <w:sz w:val="24"/>
          <w:szCs w:val="24"/>
        </w:rPr>
        <w:t>nous croyons qu’il n’est pas pertinent d’inclure les termes « contrainte excessive » dans le texte de la législation en ce que l’évocation de l’accommodement raisonnable suffit à emporter son application corol</w:t>
      </w:r>
      <w:r w:rsidR="005C411F" w:rsidRPr="000B6A4B">
        <w:rPr>
          <w:sz w:val="24"/>
          <w:szCs w:val="24"/>
        </w:rPr>
        <w:t>l</w:t>
      </w:r>
      <w:r w:rsidR="00D20830" w:rsidRPr="000B6A4B">
        <w:rPr>
          <w:sz w:val="24"/>
          <w:szCs w:val="24"/>
        </w:rPr>
        <w:t>aire.</w:t>
      </w:r>
      <w:r w:rsidR="00D20830">
        <w:rPr>
          <w:sz w:val="24"/>
          <w:szCs w:val="24"/>
        </w:rPr>
        <w:t xml:space="preserve"> </w:t>
      </w:r>
    </w:p>
    <w:p w:rsidR="00453F1B" w:rsidRDefault="00453F1B">
      <w:pPr>
        <w:rPr>
          <w:sz w:val="24"/>
          <w:szCs w:val="24"/>
        </w:rPr>
      </w:pPr>
    </w:p>
    <w:p w:rsidR="004A0F77" w:rsidRDefault="005D3650" w:rsidP="00E10FF0">
      <w:pPr>
        <w:pStyle w:val="Titre1"/>
        <w:numPr>
          <w:ilvl w:val="0"/>
          <w:numId w:val="9"/>
        </w:numPr>
      </w:pPr>
      <w:bookmarkStart w:id="10" w:name="_hva4d17j0xlt" w:colFirst="0" w:colLast="0"/>
      <w:bookmarkStart w:id="11" w:name="_Toc487539745"/>
      <w:bookmarkEnd w:id="10"/>
      <w:r w:rsidRPr="00AF2D5C">
        <w:t>Objet et approche</w:t>
      </w:r>
      <w:bookmarkEnd w:id="11"/>
    </w:p>
    <w:p w:rsidR="00314866" w:rsidRPr="00314866" w:rsidRDefault="00314866" w:rsidP="00E10FF0">
      <w:pPr>
        <w:pStyle w:val="Titre2"/>
        <w:numPr>
          <w:ilvl w:val="1"/>
          <w:numId w:val="9"/>
        </w:numPr>
      </w:pPr>
      <w:bookmarkStart w:id="12" w:name="_Toc487539746"/>
      <w:r w:rsidRPr="00314866">
        <w:t>Inclusion sociale</w:t>
      </w:r>
      <w:bookmarkEnd w:id="12"/>
    </w:p>
    <w:p w:rsidR="002A2B1B" w:rsidRDefault="009F1561">
      <w:pPr>
        <w:rPr>
          <w:sz w:val="24"/>
          <w:szCs w:val="24"/>
        </w:rPr>
      </w:pPr>
      <w:r w:rsidRPr="00AF2D5C">
        <w:rPr>
          <w:sz w:val="24"/>
          <w:szCs w:val="24"/>
        </w:rPr>
        <w:t>Dans un contexte où les personnes en situation de handicap sont abondamment victime de préjugés, notamment ceux consistant à les infantiliser, l’objet et l’approche devront être finement réfléc</w:t>
      </w:r>
      <w:r w:rsidR="0046710F">
        <w:rPr>
          <w:sz w:val="24"/>
          <w:szCs w:val="24"/>
        </w:rPr>
        <w:t>hi</w:t>
      </w:r>
      <w:r w:rsidR="005C411F">
        <w:rPr>
          <w:sz w:val="24"/>
          <w:szCs w:val="24"/>
        </w:rPr>
        <w:t>s</w:t>
      </w:r>
      <w:r w:rsidR="0046710F">
        <w:rPr>
          <w:sz w:val="24"/>
          <w:szCs w:val="24"/>
        </w:rPr>
        <w:t>. À notre avis, le but ultime</w:t>
      </w:r>
      <w:r w:rsidRPr="00AF2D5C">
        <w:rPr>
          <w:sz w:val="24"/>
          <w:szCs w:val="24"/>
        </w:rPr>
        <w:t xml:space="preserve"> de cette </w:t>
      </w:r>
      <w:r w:rsidR="00507FAE">
        <w:rPr>
          <w:sz w:val="24"/>
          <w:szCs w:val="24"/>
        </w:rPr>
        <w:t>L</w:t>
      </w:r>
      <w:r w:rsidRPr="00AF2D5C">
        <w:rPr>
          <w:sz w:val="24"/>
          <w:szCs w:val="24"/>
        </w:rPr>
        <w:t xml:space="preserve">oi doit être l’inclusion sociale des personnes ayant </w:t>
      </w:r>
      <w:r w:rsidR="002A2B1B">
        <w:rPr>
          <w:sz w:val="24"/>
          <w:szCs w:val="24"/>
        </w:rPr>
        <w:t xml:space="preserve">des limitations fonctionnelles. </w:t>
      </w:r>
      <w:r w:rsidRPr="00AF2D5C">
        <w:rPr>
          <w:sz w:val="24"/>
          <w:szCs w:val="24"/>
        </w:rPr>
        <w:t xml:space="preserve">L’accessibilité ne doit donc pas être perçue comme une fin, mais plutôt comme un moyen de favoriser </w:t>
      </w:r>
      <w:r w:rsidR="00FF2EA1">
        <w:rPr>
          <w:sz w:val="24"/>
          <w:szCs w:val="24"/>
        </w:rPr>
        <w:t>l’atteinte d’un idéal</w:t>
      </w:r>
      <w:r w:rsidRPr="00AF2D5C">
        <w:rPr>
          <w:sz w:val="24"/>
          <w:szCs w:val="24"/>
        </w:rPr>
        <w:t xml:space="preserve"> </w:t>
      </w:r>
      <w:r w:rsidR="00FF2EA1">
        <w:rPr>
          <w:sz w:val="24"/>
          <w:szCs w:val="24"/>
        </w:rPr>
        <w:t>soci</w:t>
      </w:r>
      <w:r w:rsidR="005C411F">
        <w:rPr>
          <w:sz w:val="24"/>
          <w:szCs w:val="24"/>
        </w:rPr>
        <w:t>al</w:t>
      </w:r>
      <w:r w:rsidR="00FF2EA1">
        <w:rPr>
          <w:sz w:val="24"/>
          <w:szCs w:val="24"/>
        </w:rPr>
        <w:t xml:space="preserve"> faisant une </w:t>
      </w:r>
      <w:r w:rsidRPr="00AF2D5C">
        <w:rPr>
          <w:sz w:val="24"/>
          <w:szCs w:val="24"/>
        </w:rPr>
        <w:t>place</w:t>
      </w:r>
      <w:r w:rsidR="00FF2EA1">
        <w:rPr>
          <w:sz w:val="24"/>
          <w:szCs w:val="24"/>
        </w:rPr>
        <w:t xml:space="preserve"> à chacun</w:t>
      </w:r>
      <w:r w:rsidR="005C411F">
        <w:rPr>
          <w:sz w:val="24"/>
          <w:szCs w:val="24"/>
        </w:rPr>
        <w:t>, peu importe ses capacités</w:t>
      </w:r>
      <w:r w:rsidRPr="00AF2D5C">
        <w:rPr>
          <w:sz w:val="24"/>
          <w:szCs w:val="24"/>
        </w:rPr>
        <w:t xml:space="preserve">. </w:t>
      </w:r>
    </w:p>
    <w:p w:rsidR="002A2B1B" w:rsidRDefault="002A2B1B">
      <w:pPr>
        <w:rPr>
          <w:sz w:val="24"/>
          <w:szCs w:val="24"/>
        </w:rPr>
      </w:pPr>
    </w:p>
    <w:p w:rsidR="00041B82" w:rsidRDefault="009F1561">
      <w:pPr>
        <w:rPr>
          <w:sz w:val="24"/>
          <w:szCs w:val="24"/>
        </w:rPr>
      </w:pPr>
      <w:r w:rsidRPr="00AF2D5C">
        <w:rPr>
          <w:sz w:val="24"/>
          <w:szCs w:val="24"/>
        </w:rPr>
        <w:t>Conséquemment, l’interprétation de</w:t>
      </w:r>
      <w:r w:rsidR="002A2B1B">
        <w:rPr>
          <w:sz w:val="24"/>
          <w:szCs w:val="24"/>
        </w:rPr>
        <w:t xml:space="preserve"> la</w:t>
      </w:r>
      <w:r w:rsidRPr="00AF2D5C">
        <w:rPr>
          <w:sz w:val="24"/>
          <w:szCs w:val="24"/>
        </w:rPr>
        <w:t xml:space="preserve"> </w:t>
      </w:r>
      <w:r w:rsidR="00507FAE">
        <w:rPr>
          <w:sz w:val="24"/>
          <w:szCs w:val="24"/>
        </w:rPr>
        <w:t>L</w:t>
      </w:r>
      <w:r w:rsidRPr="00AF2D5C">
        <w:rPr>
          <w:sz w:val="24"/>
          <w:szCs w:val="24"/>
        </w:rPr>
        <w:t xml:space="preserve">oi devra se faire </w:t>
      </w:r>
      <w:r w:rsidR="000021F8">
        <w:rPr>
          <w:sz w:val="24"/>
          <w:szCs w:val="24"/>
        </w:rPr>
        <w:t>en fonction du principe d</w:t>
      </w:r>
      <w:r w:rsidRPr="00AF2D5C">
        <w:rPr>
          <w:sz w:val="24"/>
          <w:szCs w:val="24"/>
        </w:rPr>
        <w:t>’inclusion sociale</w:t>
      </w:r>
      <w:r w:rsidR="000021F8">
        <w:rPr>
          <w:sz w:val="24"/>
          <w:szCs w:val="24"/>
        </w:rPr>
        <w:t xml:space="preserve"> plutôt que du concept limitatif d’accessibilité universelle</w:t>
      </w:r>
      <w:r w:rsidRPr="00AF2D5C">
        <w:rPr>
          <w:sz w:val="24"/>
          <w:szCs w:val="24"/>
        </w:rPr>
        <w:t xml:space="preserve">. </w:t>
      </w:r>
      <w:r w:rsidR="003D3F87" w:rsidRPr="00AF2D5C">
        <w:rPr>
          <w:sz w:val="24"/>
          <w:szCs w:val="24"/>
        </w:rPr>
        <w:t xml:space="preserve">De plus, en identifiant l’inclusion sociale comme étant au cœur de l’objet et de l’approche de </w:t>
      </w:r>
      <w:r w:rsidR="002A2B1B">
        <w:rPr>
          <w:sz w:val="24"/>
          <w:szCs w:val="24"/>
        </w:rPr>
        <w:t>la Loi</w:t>
      </w:r>
      <w:r w:rsidR="003D3F87" w:rsidRPr="00AF2D5C">
        <w:rPr>
          <w:sz w:val="24"/>
          <w:szCs w:val="24"/>
        </w:rPr>
        <w:t xml:space="preserve">, le gouvernement canadien a l’occasion de poser une action phare à l’encontre des préjugés ciblant la communauté des personnes en situation de handicap et </w:t>
      </w:r>
      <w:r w:rsidR="002A2B1B">
        <w:rPr>
          <w:sz w:val="24"/>
          <w:szCs w:val="24"/>
        </w:rPr>
        <w:t>d</w:t>
      </w:r>
      <w:r w:rsidR="00F531D1">
        <w:rPr>
          <w:sz w:val="24"/>
          <w:szCs w:val="24"/>
        </w:rPr>
        <w:t xml:space="preserve">es individus qui la composent et </w:t>
      </w:r>
      <w:r w:rsidR="002A2B1B">
        <w:rPr>
          <w:sz w:val="24"/>
          <w:szCs w:val="24"/>
        </w:rPr>
        <w:t xml:space="preserve">de </w:t>
      </w:r>
      <w:r w:rsidR="00F531D1">
        <w:rPr>
          <w:sz w:val="24"/>
          <w:szCs w:val="24"/>
        </w:rPr>
        <w:t>se positionner comme leader face à l’ouverture et l’inclusion de tous.</w:t>
      </w:r>
    </w:p>
    <w:p w:rsidR="00314866" w:rsidRPr="00314866" w:rsidRDefault="00314866" w:rsidP="00E10FF0">
      <w:pPr>
        <w:pStyle w:val="Titre2"/>
        <w:numPr>
          <w:ilvl w:val="1"/>
          <w:numId w:val="9"/>
        </w:numPr>
      </w:pPr>
      <w:bookmarkStart w:id="13" w:name="_Toc487539747"/>
      <w:r w:rsidRPr="00314866">
        <w:t>Approche</w:t>
      </w:r>
      <w:r>
        <w:t xml:space="preserve"> transversale</w:t>
      </w:r>
      <w:bookmarkEnd w:id="13"/>
    </w:p>
    <w:p w:rsidR="00041B82" w:rsidRDefault="00F11CA6">
      <w:pPr>
        <w:rPr>
          <w:sz w:val="24"/>
          <w:szCs w:val="24"/>
        </w:rPr>
      </w:pPr>
      <w:r w:rsidRPr="00840E28">
        <w:rPr>
          <w:sz w:val="24"/>
          <w:szCs w:val="24"/>
        </w:rPr>
        <w:t xml:space="preserve">Considérant </w:t>
      </w:r>
      <w:r w:rsidR="000021F8">
        <w:rPr>
          <w:sz w:val="24"/>
          <w:szCs w:val="24"/>
        </w:rPr>
        <w:t xml:space="preserve">l’ampleur des données et </w:t>
      </w:r>
      <w:r w:rsidR="00F531D1" w:rsidRPr="00840E28">
        <w:rPr>
          <w:sz w:val="24"/>
          <w:szCs w:val="24"/>
        </w:rPr>
        <w:t xml:space="preserve">expériences démontrant que </w:t>
      </w:r>
      <w:r w:rsidRPr="00840E28">
        <w:rPr>
          <w:sz w:val="24"/>
          <w:szCs w:val="24"/>
        </w:rPr>
        <w:t xml:space="preserve">les personnes ayant des limitations fonctionnelles ne jouissent pas d’une égalité de fait lorsqu’on les compare à leurs concitoyens </w:t>
      </w:r>
      <w:r w:rsidR="000021F8">
        <w:rPr>
          <w:sz w:val="24"/>
          <w:szCs w:val="24"/>
        </w:rPr>
        <w:t>sans limitations</w:t>
      </w:r>
      <w:r w:rsidR="00F531D1" w:rsidRPr="00840E28">
        <w:rPr>
          <w:rStyle w:val="Appelnotedebasdep"/>
          <w:sz w:val="24"/>
          <w:szCs w:val="24"/>
        </w:rPr>
        <w:footnoteReference w:id="6"/>
      </w:r>
      <w:r w:rsidRPr="00840E28">
        <w:rPr>
          <w:sz w:val="24"/>
          <w:szCs w:val="24"/>
        </w:rPr>
        <w:t xml:space="preserve">, la future législation devra embrasser une approche transversale. </w:t>
      </w:r>
      <w:r w:rsidR="00314866">
        <w:rPr>
          <w:sz w:val="24"/>
          <w:szCs w:val="24"/>
        </w:rPr>
        <w:t>C’est-à-dire que</w:t>
      </w:r>
      <w:r w:rsidR="009011C9" w:rsidRPr="00840E28">
        <w:rPr>
          <w:sz w:val="24"/>
          <w:szCs w:val="24"/>
        </w:rPr>
        <w:t xml:space="preserve"> l’application de la </w:t>
      </w:r>
      <w:r w:rsidR="00507FAE">
        <w:rPr>
          <w:sz w:val="24"/>
          <w:szCs w:val="24"/>
        </w:rPr>
        <w:t>L</w:t>
      </w:r>
      <w:r w:rsidR="009011C9" w:rsidRPr="00840E28">
        <w:rPr>
          <w:sz w:val="24"/>
          <w:szCs w:val="24"/>
        </w:rPr>
        <w:t>oi</w:t>
      </w:r>
      <w:r w:rsidR="00314866">
        <w:rPr>
          <w:sz w:val="24"/>
          <w:szCs w:val="24"/>
        </w:rPr>
        <w:t xml:space="preserve"> doit être étendue</w:t>
      </w:r>
      <w:r w:rsidR="009011C9" w:rsidRPr="00840E28">
        <w:rPr>
          <w:sz w:val="24"/>
          <w:szCs w:val="24"/>
        </w:rPr>
        <w:t xml:space="preserve"> à</w:t>
      </w:r>
      <w:r w:rsidR="00E65056" w:rsidRPr="00840E28">
        <w:rPr>
          <w:sz w:val="24"/>
          <w:szCs w:val="24"/>
        </w:rPr>
        <w:t xml:space="preserve"> l’ensemble des activités de l’État fédéral</w:t>
      </w:r>
      <w:r w:rsidR="009011C9" w:rsidRPr="00840E28">
        <w:rPr>
          <w:sz w:val="24"/>
          <w:szCs w:val="24"/>
        </w:rPr>
        <w:t>, qu’elles soient destinées à avoir des effets internes ou externes</w:t>
      </w:r>
      <w:r w:rsidR="00E65056" w:rsidRPr="00840E28">
        <w:rPr>
          <w:sz w:val="24"/>
          <w:szCs w:val="24"/>
        </w:rPr>
        <w:t xml:space="preserve">. </w:t>
      </w:r>
      <w:r w:rsidR="00507FAE">
        <w:rPr>
          <w:sz w:val="24"/>
          <w:szCs w:val="24"/>
        </w:rPr>
        <w:t>La Loi</w:t>
      </w:r>
      <w:r w:rsidR="00E65056" w:rsidRPr="00840E28">
        <w:rPr>
          <w:sz w:val="24"/>
          <w:szCs w:val="24"/>
        </w:rPr>
        <w:t xml:space="preserve"> </w:t>
      </w:r>
      <w:r w:rsidR="00DD467F">
        <w:rPr>
          <w:sz w:val="24"/>
          <w:szCs w:val="24"/>
        </w:rPr>
        <w:t xml:space="preserve">doit </w:t>
      </w:r>
      <w:r w:rsidR="00E65056" w:rsidRPr="00840E28">
        <w:rPr>
          <w:sz w:val="24"/>
          <w:szCs w:val="24"/>
        </w:rPr>
        <w:t xml:space="preserve">englober </w:t>
      </w:r>
      <w:r w:rsidR="00F531D1" w:rsidRPr="00840E28">
        <w:rPr>
          <w:sz w:val="24"/>
          <w:szCs w:val="24"/>
        </w:rPr>
        <w:t>toutes</w:t>
      </w:r>
      <w:r w:rsidR="00E65056" w:rsidRPr="00840E28">
        <w:rPr>
          <w:sz w:val="24"/>
          <w:szCs w:val="24"/>
        </w:rPr>
        <w:t xml:space="preserve"> </w:t>
      </w:r>
      <w:r w:rsidR="00F531D1" w:rsidRPr="00840E28">
        <w:rPr>
          <w:sz w:val="24"/>
          <w:szCs w:val="24"/>
        </w:rPr>
        <w:t>l</w:t>
      </w:r>
      <w:r w:rsidR="00E65056" w:rsidRPr="00840E28">
        <w:rPr>
          <w:sz w:val="24"/>
          <w:szCs w:val="24"/>
        </w:rPr>
        <w:t xml:space="preserve">es actions de l’État afin de </w:t>
      </w:r>
      <w:r w:rsidR="00F531D1" w:rsidRPr="00840E28">
        <w:rPr>
          <w:sz w:val="24"/>
          <w:szCs w:val="24"/>
        </w:rPr>
        <w:t xml:space="preserve">les </w:t>
      </w:r>
      <w:r w:rsidR="00E65056" w:rsidRPr="00840E28">
        <w:rPr>
          <w:sz w:val="24"/>
          <w:szCs w:val="24"/>
        </w:rPr>
        <w:t>rendre accessible</w:t>
      </w:r>
      <w:r w:rsidR="003E27BE">
        <w:rPr>
          <w:sz w:val="24"/>
          <w:szCs w:val="24"/>
        </w:rPr>
        <w:t>s</w:t>
      </w:r>
      <w:r w:rsidR="00E65056" w:rsidRPr="00840E28">
        <w:rPr>
          <w:sz w:val="24"/>
          <w:szCs w:val="24"/>
        </w:rPr>
        <w:t xml:space="preserve"> aux personnes ayant des limitations fonctio</w:t>
      </w:r>
      <w:r w:rsidR="00314866">
        <w:rPr>
          <w:sz w:val="24"/>
          <w:szCs w:val="24"/>
        </w:rPr>
        <w:t>nnelles, dans la même mesure où</w:t>
      </w:r>
      <w:r w:rsidR="00E65056" w:rsidRPr="00840E28">
        <w:rPr>
          <w:sz w:val="24"/>
          <w:szCs w:val="24"/>
        </w:rPr>
        <w:t xml:space="preserve"> cel</w:t>
      </w:r>
      <w:r w:rsidR="00F531D1" w:rsidRPr="00840E28">
        <w:rPr>
          <w:sz w:val="24"/>
          <w:szCs w:val="24"/>
        </w:rPr>
        <w:t>a est offert aux autres citoyens</w:t>
      </w:r>
      <w:r w:rsidR="00E65056" w:rsidRPr="00840E28">
        <w:rPr>
          <w:sz w:val="24"/>
          <w:szCs w:val="24"/>
        </w:rPr>
        <w:t xml:space="preserve">. </w:t>
      </w:r>
      <w:r w:rsidR="00A05658" w:rsidRPr="00840E28">
        <w:rPr>
          <w:sz w:val="24"/>
          <w:szCs w:val="24"/>
        </w:rPr>
        <w:t>Par ce procédé, il devient certain que les personnes en situation de handicap pourront exercer concrètement leurs droits dans les sphères d’activité</w:t>
      </w:r>
      <w:r w:rsidR="005C4820">
        <w:rPr>
          <w:sz w:val="24"/>
          <w:szCs w:val="24"/>
        </w:rPr>
        <w:t>s</w:t>
      </w:r>
      <w:r w:rsidR="00A05658" w:rsidRPr="00840E28">
        <w:rPr>
          <w:sz w:val="24"/>
          <w:szCs w:val="24"/>
        </w:rPr>
        <w:t xml:space="preserve"> fédérales. </w:t>
      </w:r>
      <w:r w:rsidR="000B55FC" w:rsidRPr="00840E28">
        <w:rPr>
          <w:sz w:val="24"/>
          <w:szCs w:val="24"/>
        </w:rPr>
        <w:t>Législativement</w:t>
      </w:r>
      <w:r w:rsidR="005C4820">
        <w:rPr>
          <w:sz w:val="24"/>
          <w:szCs w:val="24"/>
        </w:rPr>
        <w:t xml:space="preserve"> parlant</w:t>
      </w:r>
      <w:r w:rsidR="000B55FC" w:rsidRPr="00840E28">
        <w:rPr>
          <w:sz w:val="24"/>
          <w:szCs w:val="24"/>
        </w:rPr>
        <w:t xml:space="preserve">, en évitant de tomber dans le trop spécifique pour </w:t>
      </w:r>
      <w:r w:rsidR="00F531D1" w:rsidRPr="00840E28">
        <w:rPr>
          <w:sz w:val="24"/>
          <w:szCs w:val="24"/>
        </w:rPr>
        <w:t>préférer</w:t>
      </w:r>
      <w:r w:rsidR="000B55FC" w:rsidRPr="00840E28">
        <w:rPr>
          <w:sz w:val="24"/>
          <w:szCs w:val="24"/>
        </w:rPr>
        <w:t xml:space="preserve"> une vis</w:t>
      </w:r>
      <w:r w:rsidR="005C4820">
        <w:rPr>
          <w:sz w:val="24"/>
          <w:szCs w:val="24"/>
        </w:rPr>
        <w:t>i</w:t>
      </w:r>
      <w:r w:rsidR="000B55FC" w:rsidRPr="00840E28">
        <w:rPr>
          <w:sz w:val="24"/>
          <w:szCs w:val="24"/>
        </w:rPr>
        <w:t xml:space="preserve">on large et libérale, on </w:t>
      </w:r>
      <w:r w:rsidR="005C4820">
        <w:rPr>
          <w:sz w:val="24"/>
          <w:szCs w:val="24"/>
        </w:rPr>
        <w:t>évite</w:t>
      </w:r>
      <w:r w:rsidR="000B55FC" w:rsidRPr="00840E28">
        <w:rPr>
          <w:sz w:val="24"/>
          <w:szCs w:val="24"/>
        </w:rPr>
        <w:t xml:space="preserve"> </w:t>
      </w:r>
      <w:r w:rsidR="005C4820">
        <w:rPr>
          <w:sz w:val="24"/>
          <w:szCs w:val="24"/>
        </w:rPr>
        <w:t>d’</w:t>
      </w:r>
      <w:r w:rsidR="000B55FC" w:rsidRPr="00840E28">
        <w:rPr>
          <w:sz w:val="24"/>
          <w:szCs w:val="24"/>
        </w:rPr>
        <w:t>omettre quelque secteur d’activités que ce soit</w:t>
      </w:r>
      <w:r w:rsidR="005C4820">
        <w:rPr>
          <w:sz w:val="24"/>
          <w:szCs w:val="24"/>
        </w:rPr>
        <w:t xml:space="preserve"> et on </w:t>
      </w:r>
      <w:r w:rsidR="00B90396" w:rsidRPr="00840E28">
        <w:rPr>
          <w:sz w:val="24"/>
          <w:szCs w:val="24"/>
        </w:rPr>
        <w:t xml:space="preserve">s’assure de se doter d’une </w:t>
      </w:r>
      <w:r w:rsidR="00C17E5C">
        <w:rPr>
          <w:sz w:val="24"/>
          <w:szCs w:val="24"/>
        </w:rPr>
        <w:t>L</w:t>
      </w:r>
      <w:r w:rsidR="00B90396" w:rsidRPr="00840E28">
        <w:rPr>
          <w:sz w:val="24"/>
          <w:szCs w:val="24"/>
        </w:rPr>
        <w:t>oi qui ré</w:t>
      </w:r>
      <w:r w:rsidR="00F531D1" w:rsidRPr="00840E28">
        <w:rPr>
          <w:sz w:val="24"/>
          <w:szCs w:val="24"/>
        </w:rPr>
        <w:t>sistera aux changements qui traversent notre société</w:t>
      </w:r>
      <w:r w:rsidR="00B90396" w:rsidRPr="00840E28">
        <w:rPr>
          <w:sz w:val="24"/>
          <w:szCs w:val="24"/>
        </w:rPr>
        <w:t>.</w:t>
      </w:r>
      <w:r w:rsidR="00B90396" w:rsidRPr="00AF2D5C">
        <w:rPr>
          <w:sz w:val="24"/>
          <w:szCs w:val="24"/>
        </w:rPr>
        <w:t xml:space="preserve"> </w:t>
      </w:r>
    </w:p>
    <w:p w:rsidR="00041B82" w:rsidRDefault="00041B82">
      <w:pPr>
        <w:ind w:firstLine="720"/>
        <w:rPr>
          <w:sz w:val="24"/>
          <w:szCs w:val="24"/>
        </w:rPr>
      </w:pPr>
    </w:p>
    <w:p w:rsidR="00B7534F" w:rsidRDefault="00AF2D5C" w:rsidP="00E10FF0">
      <w:pPr>
        <w:rPr>
          <w:sz w:val="24"/>
          <w:szCs w:val="24"/>
        </w:rPr>
      </w:pPr>
      <w:r>
        <w:rPr>
          <w:sz w:val="24"/>
          <w:szCs w:val="24"/>
        </w:rPr>
        <w:t xml:space="preserve">Pour répondre adéquatement aux attentes des membres que nous représentons, il sera nécessaire que la </w:t>
      </w:r>
      <w:r w:rsidR="00346925">
        <w:rPr>
          <w:sz w:val="24"/>
          <w:szCs w:val="24"/>
        </w:rPr>
        <w:t>L</w:t>
      </w:r>
      <w:r>
        <w:rPr>
          <w:sz w:val="24"/>
          <w:szCs w:val="24"/>
        </w:rPr>
        <w:t>oi envisagée par le gouvernement canadien soit construite selon une approche</w:t>
      </w:r>
      <w:r w:rsidR="00AB72E6">
        <w:rPr>
          <w:sz w:val="24"/>
          <w:szCs w:val="24"/>
        </w:rPr>
        <w:t xml:space="preserve"> qui soit </w:t>
      </w:r>
      <w:r>
        <w:rPr>
          <w:sz w:val="24"/>
          <w:szCs w:val="24"/>
        </w:rPr>
        <w:t xml:space="preserve">basée sur les besoins. </w:t>
      </w:r>
      <w:r w:rsidR="00C05799">
        <w:rPr>
          <w:sz w:val="24"/>
          <w:szCs w:val="24"/>
        </w:rPr>
        <w:t>N</w:t>
      </w:r>
      <w:r>
        <w:rPr>
          <w:sz w:val="24"/>
          <w:szCs w:val="24"/>
        </w:rPr>
        <w:t>otre expérience et celles de nos organismes membres démontrent que les perso</w:t>
      </w:r>
      <w:r w:rsidR="00DD467F">
        <w:rPr>
          <w:sz w:val="24"/>
          <w:szCs w:val="24"/>
        </w:rPr>
        <w:t>nnes qui sont les mieux placées pour</w:t>
      </w:r>
      <w:r>
        <w:rPr>
          <w:sz w:val="24"/>
          <w:szCs w:val="24"/>
        </w:rPr>
        <w:t xml:space="preserve"> connaître les besoins des personnes ayant des limitations fonctionnelles sont ces personnes elles-mêmes.</w:t>
      </w:r>
      <w:r w:rsidR="00452595">
        <w:rPr>
          <w:sz w:val="24"/>
          <w:szCs w:val="24"/>
        </w:rPr>
        <w:t xml:space="preserve"> </w:t>
      </w:r>
      <w:r w:rsidR="00B7534F">
        <w:rPr>
          <w:sz w:val="24"/>
          <w:szCs w:val="24"/>
        </w:rPr>
        <w:t>C’est d’ailleurs cette logique qui sous-tend l’art.1.2b) de la LAEDPH.</w:t>
      </w:r>
    </w:p>
    <w:p w:rsidR="00B7534F" w:rsidRDefault="00B7534F" w:rsidP="00E10FF0">
      <w:pPr>
        <w:rPr>
          <w:sz w:val="24"/>
          <w:szCs w:val="24"/>
        </w:rPr>
      </w:pPr>
    </w:p>
    <w:p w:rsidR="00041B82" w:rsidRDefault="00B7534F" w:rsidP="00E10FF0">
      <w:pPr>
        <w:rPr>
          <w:sz w:val="24"/>
          <w:szCs w:val="24"/>
        </w:rPr>
      </w:pPr>
      <w:r>
        <w:rPr>
          <w:sz w:val="24"/>
          <w:szCs w:val="24"/>
        </w:rPr>
        <w:t>La COPHAN est d’avis qu’</w:t>
      </w:r>
      <w:r w:rsidR="00452595">
        <w:rPr>
          <w:sz w:val="24"/>
          <w:szCs w:val="24"/>
        </w:rPr>
        <w:t>il est préférable d’éviter d’entériner une logique strictement médicale ou encore une logique ayant pour effet d’exclure la personne en situation de handicap du processus décisionnel la concernant.</w:t>
      </w:r>
      <w:r w:rsidR="00AF2D5C">
        <w:rPr>
          <w:sz w:val="24"/>
          <w:szCs w:val="24"/>
        </w:rPr>
        <w:t xml:space="preserve"> </w:t>
      </w:r>
      <w:r w:rsidR="00AF2D5C" w:rsidRPr="00452595">
        <w:rPr>
          <w:sz w:val="24"/>
          <w:szCs w:val="24"/>
        </w:rPr>
        <w:t xml:space="preserve">La multitude de diagnostics possibles et les particularités de chacun d’entre eux font en sorte qu’une solution unique peut </w:t>
      </w:r>
      <w:r w:rsidR="00AB72E6">
        <w:rPr>
          <w:sz w:val="24"/>
          <w:szCs w:val="24"/>
        </w:rPr>
        <w:t xml:space="preserve">souvent </w:t>
      </w:r>
      <w:r w:rsidR="00AF2D5C" w:rsidRPr="00452595">
        <w:rPr>
          <w:sz w:val="24"/>
          <w:szCs w:val="24"/>
        </w:rPr>
        <w:t>s’avérer ardue</w:t>
      </w:r>
      <w:r w:rsidR="00AB72E6">
        <w:rPr>
          <w:sz w:val="24"/>
          <w:szCs w:val="24"/>
        </w:rPr>
        <w:t>, voire impossible</w:t>
      </w:r>
      <w:r w:rsidR="00AF2D5C" w:rsidRPr="00452595">
        <w:rPr>
          <w:sz w:val="24"/>
          <w:szCs w:val="24"/>
        </w:rPr>
        <w:t xml:space="preserve"> à trouver. En se ba</w:t>
      </w:r>
      <w:r w:rsidR="00AF2D5C">
        <w:rPr>
          <w:sz w:val="24"/>
          <w:szCs w:val="24"/>
        </w:rPr>
        <w:t xml:space="preserve">sant sur les besoins des individus, </w:t>
      </w:r>
      <w:r w:rsidR="00975BDB">
        <w:rPr>
          <w:sz w:val="24"/>
          <w:szCs w:val="24"/>
        </w:rPr>
        <w:t xml:space="preserve">il devient envisageable de contribuer à </w:t>
      </w:r>
      <w:r w:rsidR="00975BDB">
        <w:rPr>
          <w:sz w:val="24"/>
          <w:szCs w:val="24"/>
        </w:rPr>
        <w:lastRenderedPageBreak/>
        <w:t>l’</w:t>
      </w:r>
      <w:r w:rsidR="007004D8">
        <w:rPr>
          <w:sz w:val="24"/>
          <w:szCs w:val="24"/>
        </w:rPr>
        <w:t xml:space="preserve">inclusion de tous en respectant la capacité de chacun de </w:t>
      </w:r>
      <w:r w:rsidR="00BE20B2">
        <w:rPr>
          <w:sz w:val="24"/>
          <w:szCs w:val="24"/>
        </w:rPr>
        <w:t>faire les choix qui lui conviennent</w:t>
      </w:r>
      <w:r w:rsidR="00452595">
        <w:rPr>
          <w:sz w:val="24"/>
          <w:szCs w:val="24"/>
        </w:rPr>
        <w:t>, à l’image de tous citoyens canadiens</w:t>
      </w:r>
      <w:r w:rsidR="007004D8">
        <w:rPr>
          <w:sz w:val="24"/>
          <w:szCs w:val="24"/>
        </w:rPr>
        <w:t xml:space="preserve">. </w:t>
      </w:r>
    </w:p>
    <w:p w:rsidR="00041B82" w:rsidRDefault="00041B82">
      <w:pPr>
        <w:rPr>
          <w:sz w:val="24"/>
          <w:szCs w:val="24"/>
        </w:rPr>
      </w:pPr>
    </w:p>
    <w:p w:rsidR="00041B82" w:rsidRDefault="00740757" w:rsidP="00E10FF0">
      <w:pPr>
        <w:rPr>
          <w:sz w:val="24"/>
          <w:szCs w:val="24"/>
        </w:rPr>
      </w:pPr>
      <w:r>
        <w:rPr>
          <w:sz w:val="24"/>
          <w:szCs w:val="24"/>
        </w:rPr>
        <w:t>Finalement, nous encourageons le gou</w:t>
      </w:r>
      <w:r w:rsidR="00DD467F">
        <w:rPr>
          <w:sz w:val="24"/>
          <w:szCs w:val="24"/>
        </w:rPr>
        <w:t>vernement fédéral à fixer dans l</w:t>
      </w:r>
      <w:r>
        <w:rPr>
          <w:sz w:val="24"/>
          <w:szCs w:val="24"/>
        </w:rPr>
        <w:t xml:space="preserve">a </w:t>
      </w:r>
      <w:r w:rsidR="00507FAE">
        <w:rPr>
          <w:sz w:val="24"/>
          <w:szCs w:val="24"/>
        </w:rPr>
        <w:t>L</w:t>
      </w:r>
      <w:r>
        <w:rPr>
          <w:sz w:val="24"/>
          <w:szCs w:val="24"/>
        </w:rPr>
        <w:t>oi des standards minimaux que se devront de respecter</w:t>
      </w:r>
      <w:r w:rsidR="000671B5">
        <w:rPr>
          <w:sz w:val="24"/>
          <w:szCs w:val="24"/>
        </w:rPr>
        <w:t xml:space="preserve"> les personnes </w:t>
      </w:r>
      <w:r w:rsidR="00A34D61">
        <w:rPr>
          <w:sz w:val="24"/>
          <w:szCs w:val="24"/>
        </w:rPr>
        <w:t xml:space="preserve">et entités </w:t>
      </w:r>
      <w:r w:rsidR="000671B5">
        <w:rPr>
          <w:sz w:val="24"/>
          <w:szCs w:val="24"/>
        </w:rPr>
        <w:t xml:space="preserve">assujetties à cette </w:t>
      </w:r>
      <w:r w:rsidR="00A34D61">
        <w:rPr>
          <w:sz w:val="24"/>
          <w:szCs w:val="24"/>
        </w:rPr>
        <w:t>Loi</w:t>
      </w:r>
      <w:r>
        <w:rPr>
          <w:sz w:val="24"/>
          <w:szCs w:val="24"/>
        </w:rPr>
        <w:t xml:space="preserve"> tout en les encourageant à les dépasser</w:t>
      </w:r>
      <w:r w:rsidR="00271DCB">
        <w:rPr>
          <w:sz w:val="24"/>
          <w:szCs w:val="24"/>
        </w:rPr>
        <w:t xml:space="preserve"> </w:t>
      </w:r>
      <w:r w:rsidR="00271DCB" w:rsidRPr="00A34D61">
        <w:rPr>
          <w:sz w:val="24"/>
          <w:szCs w:val="24"/>
        </w:rPr>
        <w:t>par la mise en place de mécanismes incitatifs</w:t>
      </w:r>
      <w:r w:rsidRPr="00A34D61">
        <w:rPr>
          <w:sz w:val="24"/>
          <w:szCs w:val="24"/>
        </w:rPr>
        <w:t>.</w:t>
      </w:r>
      <w:r>
        <w:rPr>
          <w:sz w:val="24"/>
          <w:szCs w:val="24"/>
        </w:rPr>
        <w:t xml:space="preserve"> </w:t>
      </w:r>
      <w:r w:rsidR="00346925">
        <w:rPr>
          <w:sz w:val="24"/>
          <w:szCs w:val="24"/>
        </w:rPr>
        <w:t>C</w:t>
      </w:r>
      <w:r>
        <w:rPr>
          <w:sz w:val="24"/>
          <w:szCs w:val="24"/>
        </w:rPr>
        <w:t xml:space="preserve">e faisant, </w:t>
      </w:r>
      <w:r w:rsidR="00507FAE">
        <w:rPr>
          <w:sz w:val="24"/>
          <w:szCs w:val="24"/>
        </w:rPr>
        <w:t>nous</w:t>
      </w:r>
      <w:r>
        <w:rPr>
          <w:sz w:val="24"/>
          <w:szCs w:val="24"/>
        </w:rPr>
        <w:t xml:space="preserve"> poursui</w:t>
      </w:r>
      <w:r w:rsidR="00507FAE">
        <w:rPr>
          <w:sz w:val="24"/>
          <w:szCs w:val="24"/>
        </w:rPr>
        <w:t>vons</w:t>
      </w:r>
      <w:r>
        <w:rPr>
          <w:sz w:val="24"/>
          <w:szCs w:val="24"/>
        </w:rPr>
        <w:t xml:space="preserve"> un double objectif, soit celui de protéger les droits des personnes en situation de handicap et de favoriser leur </w:t>
      </w:r>
      <w:r w:rsidR="00E01182">
        <w:rPr>
          <w:sz w:val="24"/>
          <w:szCs w:val="24"/>
        </w:rPr>
        <w:t>inclusion</w:t>
      </w:r>
      <w:r>
        <w:rPr>
          <w:sz w:val="24"/>
          <w:szCs w:val="24"/>
        </w:rPr>
        <w:t xml:space="preserve"> sociale. </w:t>
      </w:r>
    </w:p>
    <w:p w:rsidR="004A0F77" w:rsidRPr="00E5533D" w:rsidRDefault="004A0F77" w:rsidP="003A6213">
      <w:pPr>
        <w:rPr>
          <w:b/>
          <w:sz w:val="24"/>
          <w:szCs w:val="24"/>
        </w:rPr>
      </w:pPr>
    </w:p>
    <w:p w:rsidR="004A0F77" w:rsidRDefault="005D3650" w:rsidP="00E10FF0">
      <w:pPr>
        <w:pStyle w:val="Titre1"/>
        <w:numPr>
          <w:ilvl w:val="0"/>
          <w:numId w:val="9"/>
        </w:numPr>
        <w:rPr>
          <w:highlight w:val="white"/>
        </w:rPr>
      </w:pPr>
      <w:bookmarkStart w:id="14" w:name="_Toc487539748"/>
      <w:r w:rsidRPr="00E5533D">
        <w:rPr>
          <w:highlight w:val="white"/>
        </w:rPr>
        <w:t xml:space="preserve">Application de la </w:t>
      </w:r>
      <w:r w:rsidR="00C17E5C">
        <w:rPr>
          <w:highlight w:val="white"/>
        </w:rPr>
        <w:t>L</w:t>
      </w:r>
      <w:r w:rsidRPr="00E5533D">
        <w:rPr>
          <w:highlight w:val="white"/>
        </w:rPr>
        <w:t>oi</w:t>
      </w:r>
      <w:bookmarkEnd w:id="14"/>
    </w:p>
    <w:p w:rsidR="00041B82" w:rsidRDefault="00041B82">
      <w:pPr>
        <w:rPr>
          <w:b/>
          <w:sz w:val="24"/>
          <w:szCs w:val="24"/>
          <w:highlight w:val="white"/>
        </w:rPr>
      </w:pPr>
    </w:p>
    <w:p w:rsidR="00041B82" w:rsidRDefault="009E1A6A">
      <w:pPr>
        <w:rPr>
          <w:sz w:val="24"/>
          <w:szCs w:val="24"/>
        </w:rPr>
      </w:pPr>
      <w:r>
        <w:rPr>
          <w:sz w:val="24"/>
          <w:szCs w:val="24"/>
        </w:rPr>
        <w:t>N</w:t>
      </w:r>
      <w:r w:rsidR="007761FF">
        <w:rPr>
          <w:sz w:val="24"/>
          <w:szCs w:val="24"/>
        </w:rPr>
        <w:t xml:space="preserve">ous suggérons la mise en place de </w:t>
      </w:r>
      <w:r w:rsidR="00882859">
        <w:rPr>
          <w:sz w:val="24"/>
          <w:szCs w:val="24"/>
        </w:rPr>
        <w:t>trois</w:t>
      </w:r>
      <w:r w:rsidR="007761FF">
        <w:rPr>
          <w:sz w:val="24"/>
          <w:szCs w:val="24"/>
        </w:rPr>
        <w:t xml:space="preserve"> moyens spécifique</w:t>
      </w:r>
      <w:r>
        <w:rPr>
          <w:sz w:val="24"/>
          <w:szCs w:val="24"/>
        </w:rPr>
        <w:t>s</w:t>
      </w:r>
      <w:r w:rsidR="007761FF">
        <w:rPr>
          <w:sz w:val="24"/>
          <w:szCs w:val="24"/>
        </w:rPr>
        <w:t xml:space="preserve"> permettant de voir à une application serrée des dispositions de la </w:t>
      </w:r>
      <w:r w:rsidR="00507FAE">
        <w:rPr>
          <w:sz w:val="24"/>
          <w:szCs w:val="24"/>
        </w:rPr>
        <w:t>L</w:t>
      </w:r>
      <w:r w:rsidR="007761FF">
        <w:rPr>
          <w:sz w:val="24"/>
          <w:szCs w:val="24"/>
        </w:rPr>
        <w:t xml:space="preserve">oi. </w:t>
      </w:r>
    </w:p>
    <w:p w:rsidR="00C53362" w:rsidRPr="00C53362" w:rsidRDefault="00C53362" w:rsidP="00E10FF0">
      <w:pPr>
        <w:pStyle w:val="Titre2"/>
        <w:numPr>
          <w:ilvl w:val="1"/>
          <w:numId w:val="9"/>
        </w:numPr>
      </w:pPr>
      <w:bookmarkStart w:id="15" w:name="_Toc487539749"/>
      <w:r w:rsidRPr="00C53362">
        <w:t>Plans d’actions</w:t>
      </w:r>
      <w:bookmarkEnd w:id="15"/>
    </w:p>
    <w:p w:rsidR="00041B82" w:rsidRDefault="00626A3F">
      <w:pPr>
        <w:rPr>
          <w:sz w:val="24"/>
          <w:szCs w:val="24"/>
        </w:rPr>
      </w:pPr>
      <w:r>
        <w:rPr>
          <w:sz w:val="24"/>
          <w:szCs w:val="24"/>
        </w:rPr>
        <w:t>Selon la COPHAN, l’élaboration</w:t>
      </w:r>
      <w:r w:rsidR="007761FF">
        <w:rPr>
          <w:sz w:val="24"/>
          <w:szCs w:val="24"/>
        </w:rPr>
        <w:t xml:space="preserve"> de plans d’action</w:t>
      </w:r>
      <w:r>
        <w:rPr>
          <w:sz w:val="24"/>
          <w:szCs w:val="24"/>
        </w:rPr>
        <w:t xml:space="preserve"> visant l’accessibilité et l’inclusion</w:t>
      </w:r>
      <w:r w:rsidR="007761FF">
        <w:rPr>
          <w:sz w:val="24"/>
          <w:szCs w:val="24"/>
        </w:rPr>
        <w:t xml:space="preserve"> par les </w:t>
      </w:r>
      <w:r w:rsidR="00C53362">
        <w:rPr>
          <w:sz w:val="24"/>
          <w:szCs w:val="24"/>
        </w:rPr>
        <w:t>organisations</w:t>
      </w:r>
      <w:r w:rsidR="007761FF">
        <w:rPr>
          <w:sz w:val="24"/>
          <w:szCs w:val="24"/>
        </w:rPr>
        <w:t xml:space="preserve"> </w:t>
      </w:r>
      <w:r>
        <w:rPr>
          <w:sz w:val="24"/>
          <w:szCs w:val="24"/>
        </w:rPr>
        <w:t>assujettie</w:t>
      </w:r>
      <w:r w:rsidR="00DD467F">
        <w:rPr>
          <w:sz w:val="24"/>
          <w:szCs w:val="24"/>
        </w:rPr>
        <w:t>s à</w:t>
      </w:r>
      <w:r w:rsidR="007761FF">
        <w:rPr>
          <w:sz w:val="24"/>
          <w:szCs w:val="24"/>
        </w:rPr>
        <w:t xml:space="preserve"> la </w:t>
      </w:r>
      <w:r w:rsidR="00507FAE">
        <w:rPr>
          <w:sz w:val="24"/>
          <w:szCs w:val="24"/>
        </w:rPr>
        <w:t>L</w:t>
      </w:r>
      <w:r w:rsidR="007761FF">
        <w:rPr>
          <w:sz w:val="24"/>
          <w:szCs w:val="24"/>
        </w:rPr>
        <w:t xml:space="preserve">oi </w:t>
      </w:r>
      <w:r w:rsidR="00DD467F">
        <w:rPr>
          <w:sz w:val="24"/>
          <w:szCs w:val="24"/>
        </w:rPr>
        <w:t xml:space="preserve">mettrait </w:t>
      </w:r>
      <w:r w:rsidR="00DC1FA2">
        <w:rPr>
          <w:sz w:val="24"/>
          <w:szCs w:val="24"/>
        </w:rPr>
        <w:t>l’accent sur la réalisation concrète des droits qui y seront prévus</w:t>
      </w:r>
      <w:r w:rsidR="00DD467F">
        <w:rPr>
          <w:sz w:val="24"/>
          <w:szCs w:val="24"/>
        </w:rPr>
        <w:t xml:space="preserve"> et sur la responsabilisation des acteurs concernés</w:t>
      </w:r>
      <w:r w:rsidR="007761FF">
        <w:rPr>
          <w:sz w:val="24"/>
          <w:szCs w:val="24"/>
        </w:rPr>
        <w:t xml:space="preserve">. </w:t>
      </w:r>
      <w:r>
        <w:rPr>
          <w:sz w:val="24"/>
          <w:szCs w:val="24"/>
        </w:rPr>
        <w:t xml:space="preserve">À condition, cependant, de ne pas répéter les erreurs du Québec en cette matière. En effet, la LAEDPH oblige les organisations assujetties à produire annuellement un Plan d’action à l’égard des personnes handicapées, mais elle ne prévoit aucune sanction pour celles qui ne répondent pas à cette obligation, encore moins pour celles qui ne réalisent pas les engagements pris dans leurs plans d’action. De plus, la LAEDPH ne comporte aucune spécification quant au contenu des plans d’action, faisant en sorte que la qualité des plans produits varie énormément d’une organisation à l’autre. </w:t>
      </w:r>
    </w:p>
    <w:p w:rsidR="00041B82" w:rsidRDefault="00041B82">
      <w:pPr>
        <w:rPr>
          <w:sz w:val="24"/>
          <w:szCs w:val="24"/>
        </w:rPr>
      </w:pPr>
    </w:p>
    <w:p w:rsidR="00041B82" w:rsidRDefault="00626A3F" w:rsidP="00DD467F">
      <w:pPr>
        <w:rPr>
          <w:sz w:val="24"/>
          <w:szCs w:val="24"/>
        </w:rPr>
      </w:pPr>
      <w:r>
        <w:rPr>
          <w:sz w:val="24"/>
          <w:szCs w:val="24"/>
        </w:rPr>
        <w:t xml:space="preserve">Afin que cette mesure soit efficace, la Loi devra en </w:t>
      </w:r>
      <w:r w:rsidR="00DD467F">
        <w:rPr>
          <w:sz w:val="24"/>
          <w:szCs w:val="24"/>
        </w:rPr>
        <w:t>donc</w:t>
      </w:r>
      <w:r>
        <w:rPr>
          <w:sz w:val="24"/>
          <w:szCs w:val="24"/>
        </w:rPr>
        <w:t xml:space="preserve"> </w:t>
      </w:r>
      <w:r w:rsidR="00DD467F">
        <w:rPr>
          <w:sz w:val="24"/>
          <w:szCs w:val="24"/>
        </w:rPr>
        <w:t>contenir</w:t>
      </w:r>
      <w:r>
        <w:rPr>
          <w:sz w:val="24"/>
          <w:szCs w:val="24"/>
        </w:rPr>
        <w:t> :</w:t>
      </w:r>
    </w:p>
    <w:p w:rsidR="00453F1B" w:rsidRPr="00453F1B" w:rsidRDefault="00626A3F" w:rsidP="00453F1B">
      <w:pPr>
        <w:pStyle w:val="Paragraphedeliste"/>
        <w:numPr>
          <w:ilvl w:val="0"/>
          <w:numId w:val="8"/>
        </w:numPr>
        <w:rPr>
          <w:sz w:val="24"/>
          <w:szCs w:val="24"/>
        </w:rPr>
      </w:pPr>
      <w:r>
        <w:rPr>
          <w:sz w:val="24"/>
          <w:szCs w:val="24"/>
        </w:rPr>
        <w:t>Des indications claires par rapport au contenu des plans d’action</w:t>
      </w:r>
      <w:r w:rsidR="00453F1B">
        <w:rPr>
          <w:sz w:val="24"/>
          <w:szCs w:val="24"/>
        </w:rPr>
        <w:t>; notamment à l’effet que la majorité des mesures contenues dans les plans d’action doivent être en lien avec les attributions de l’organisation et les services qu’elle dessert et non pas avoir une portée interne seulement;</w:t>
      </w:r>
    </w:p>
    <w:p w:rsidR="00041B82" w:rsidRDefault="00626A3F">
      <w:pPr>
        <w:pStyle w:val="Paragraphedeliste"/>
        <w:numPr>
          <w:ilvl w:val="0"/>
          <w:numId w:val="8"/>
        </w:numPr>
        <w:rPr>
          <w:sz w:val="24"/>
          <w:szCs w:val="24"/>
        </w:rPr>
      </w:pPr>
      <w:r>
        <w:rPr>
          <w:sz w:val="24"/>
          <w:szCs w:val="24"/>
        </w:rPr>
        <w:t>Des sanctions dissuasives en cas de non production des plans d’action;</w:t>
      </w:r>
    </w:p>
    <w:p w:rsidR="00041B82" w:rsidRDefault="00626A3F">
      <w:pPr>
        <w:pStyle w:val="Paragraphedeliste"/>
        <w:numPr>
          <w:ilvl w:val="0"/>
          <w:numId w:val="8"/>
        </w:numPr>
        <w:rPr>
          <w:sz w:val="24"/>
          <w:szCs w:val="24"/>
        </w:rPr>
      </w:pPr>
      <w:r>
        <w:rPr>
          <w:sz w:val="24"/>
          <w:szCs w:val="24"/>
        </w:rPr>
        <w:t>Un mécanisme de reddition de comptes par rapport à la réalisation des mesures prévues aux plans d’action;</w:t>
      </w:r>
    </w:p>
    <w:p w:rsidR="00041B82" w:rsidRDefault="00041B82">
      <w:pPr>
        <w:pStyle w:val="Paragraphedeliste"/>
        <w:ind w:left="1440"/>
        <w:rPr>
          <w:sz w:val="24"/>
          <w:szCs w:val="24"/>
        </w:rPr>
      </w:pPr>
    </w:p>
    <w:p w:rsidR="00041B82" w:rsidRDefault="00626A3F" w:rsidP="00DD467F">
      <w:pPr>
        <w:rPr>
          <w:sz w:val="24"/>
          <w:szCs w:val="24"/>
        </w:rPr>
      </w:pPr>
      <w:r>
        <w:rPr>
          <w:sz w:val="24"/>
          <w:szCs w:val="24"/>
        </w:rPr>
        <w:lastRenderedPageBreak/>
        <w:t>Ce dernier point</w:t>
      </w:r>
      <w:r w:rsidR="00386208">
        <w:rPr>
          <w:sz w:val="24"/>
          <w:szCs w:val="24"/>
        </w:rPr>
        <w:t xml:space="preserve"> signifie que chaque assujetti devrait, au sortir de la période visée par le plan d’action produit précédemment, </w:t>
      </w:r>
      <w:r w:rsidR="004C3C36">
        <w:rPr>
          <w:sz w:val="24"/>
          <w:szCs w:val="24"/>
        </w:rPr>
        <w:t>procéder à</w:t>
      </w:r>
      <w:r w:rsidR="00386208">
        <w:rPr>
          <w:sz w:val="24"/>
          <w:szCs w:val="24"/>
        </w:rPr>
        <w:t xml:space="preserve"> une évaluation de la mise en œuvre de son plan d’action arrivé à échéance. De cette manière, les </w:t>
      </w:r>
      <w:r>
        <w:rPr>
          <w:sz w:val="24"/>
          <w:szCs w:val="24"/>
        </w:rPr>
        <w:t>organisations</w:t>
      </w:r>
      <w:r w:rsidR="004C3C36">
        <w:rPr>
          <w:sz w:val="24"/>
          <w:szCs w:val="24"/>
        </w:rPr>
        <w:t xml:space="preserve"> soumises à cette obligation</w:t>
      </w:r>
      <w:r w:rsidR="00386208">
        <w:rPr>
          <w:sz w:val="24"/>
          <w:szCs w:val="24"/>
        </w:rPr>
        <w:t xml:space="preserve"> seront conscientisées aux conséquences positives de la réalisation </w:t>
      </w:r>
      <w:r w:rsidR="004C3C36">
        <w:rPr>
          <w:sz w:val="24"/>
          <w:szCs w:val="24"/>
        </w:rPr>
        <w:t>de leur plan</w:t>
      </w:r>
      <w:r w:rsidR="00386208">
        <w:rPr>
          <w:sz w:val="24"/>
          <w:szCs w:val="24"/>
        </w:rPr>
        <w:t>. Inversement, elles constateront aussi d’elle</w:t>
      </w:r>
      <w:r>
        <w:rPr>
          <w:sz w:val="24"/>
          <w:szCs w:val="24"/>
        </w:rPr>
        <w:t>s</w:t>
      </w:r>
      <w:r w:rsidR="00386208">
        <w:rPr>
          <w:sz w:val="24"/>
          <w:szCs w:val="24"/>
        </w:rPr>
        <w:t>-même</w:t>
      </w:r>
      <w:r>
        <w:rPr>
          <w:sz w:val="24"/>
          <w:szCs w:val="24"/>
        </w:rPr>
        <w:t>s</w:t>
      </w:r>
      <w:r w:rsidR="00386208">
        <w:rPr>
          <w:sz w:val="24"/>
          <w:szCs w:val="24"/>
        </w:rPr>
        <w:t xml:space="preserve"> les raté</w:t>
      </w:r>
      <w:r w:rsidR="00DD467F">
        <w:rPr>
          <w:sz w:val="24"/>
          <w:szCs w:val="24"/>
        </w:rPr>
        <w:t>e</w:t>
      </w:r>
      <w:r w:rsidR="00386208">
        <w:rPr>
          <w:sz w:val="24"/>
          <w:szCs w:val="24"/>
        </w:rPr>
        <w:t xml:space="preserve">s dans l’application </w:t>
      </w:r>
      <w:r>
        <w:rPr>
          <w:sz w:val="24"/>
          <w:szCs w:val="24"/>
        </w:rPr>
        <w:t>et</w:t>
      </w:r>
      <w:r w:rsidR="004C3C36">
        <w:rPr>
          <w:sz w:val="24"/>
          <w:szCs w:val="24"/>
        </w:rPr>
        <w:t xml:space="preserve"> le chemin qu’il leur reste à parcourir afin d’assurer l’exercice des droits des personnes ayant des limitations fonctionnelles. Évidemment, elles </w:t>
      </w:r>
      <w:r w:rsidR="00D87A7B">
        <w:rPr>
          <w:sz w:val="24"/>
          <w:szCs w:val="24"/>
        </w:rPr>
        <w:t>pourront profiter</w:t>
      </w:r>
      <w:r w:rsidR="00A62B23">
        <w:rPr>
          <w:sz w:val="24"/>
          <w:szCs w:val="24"/>
        </w:rPr>
        <w:t xml:space="preserve"> </w:t>
      </w:r>
      <w:r w:rsidR="00113AC1">
        <w:rPr>
          <w:sz w:val="24"/>
          <w:szCs w:val="24"/>
        </w:rPr>
        <w:t>de cet exercice</w:t>
      </w:r>
      <w:r w:rsidR="004C3C36">
        <w:rPr>
          <w:sz w:val="24"/>
          <w:szCs w:val="24"/>
        </w:rPr>
        <w:t xml:space="preserve"> </w:t>
      </w:r>
      <w:r w:rsidR="00113AC1">
        <w:rPr>
          <w:sz w:val="24"/>
          <w:szCs w:val="24"/>
        </w:rPr>
        <w:t xml:space="preserve">d’évaluation pour </w:t>
      </w:r>
      <w:r w:rsidR="004C3C36">
        <w:rPr>
          <w:sz w:val="24"/>
          <w:szCs w:val="24"/>
        </w:rPr>
        <w:t>élaborer leur prochain</w:t>
      </w:r>
      <w:r w:rsidR="00386208">
        <w:rPr>
          <w:sz w:val="24"/>
          <w:szCs w:val="24"/>
        </w:rPr>
        <w:t xml:space="preserve"> plan d’action </w:t>
      </w:r>
      <w:r w:rsidR="004C3C36">
        <w:rPr>
          <w:sz w:val="24"/>
          <w:szCs w:val="24"/>
        </w:rPr>
        <w:t xml:space="preserve">pour </w:t>
      </w:r>
      <w:r w:rsidR="00386208">
        <w:rPr>
          <w:sz w:val="24"/>
          <w:szCs w:val="24"/>
        </w:rPr>
        <w:t xml:space="preserve">la période à venir. </w:t>
      </w:r>
    </w:p>
    <w:p w:rsidR="00C53362" w:rsidRPr="00C53362" w:rsidRDefault="00C53362" w:rsidP="00E10FF0">
      <w:pPr>
        <w:pStyle w:val="Titre2"/>
        <w:numPr>
          <w:ilvl w:val="1"/>
          <w:numId w:val="9"/>
        </w:numPr>
      </w:pPr>
      <w:bookmarkStart w:id="16" w:name="_Toc487539750"/>
      <w:r w:rsidRPr="00C53362">
        <w:t>Conférence FPT sur l’accessibilité</w:t>
      </w:r>
      <w:bookmarkEnd w:id="16"/>
    </w:p>
    <w:p w:rsidR="00041B82" w:rsidRDefault="00250187">
      <w:pPr>
        <w:rPr>
          <w:sz w:val="24"/>
          <w:szCs w:val="24"/>
        </w:rPr>
      </w:pPr>
      <w:r>
        <w:rPr>
          <w:sz w:val="24"/>
          <w:szCs w:val="24"/>
        </w:rPr>
        <w:t>L</w:t>
      </w:r>
      <w:r w:rsidR="00F25EE5">
        <w:rPr>
          <w:sz w:val="24"/>
          <w:szCs w:val="24"/>
        </w:rPr>
        <w:t xml:space="preserve">a tenue de conférences sur l’accessibilité réunissant </w:t>
      </w:r>
      <w:proofErr w:type="gramStart"/>
      <w:r w:rsidR="00F25EE5">
        <w:rPr>
          <w:sz w:val="24"/>
          <w:szCs w:val="24"/>
        </w:rPr>
        <w:t>les gouvernements fédéral</w:t>
      </w:r>
      <w:proofErr w:type="gramEnd"/>
      <w:r w:rsidR="00F25EE5">
        <w:rPr>
          <w:sz w:val="24"/>
          <w:szCs w:val="24"/>
        </w:rPr>
        <w:t>, provincia</w:t>
      </w:r>
      <w:r w:rsidR="00113AC1">
        <w:rPr>
          <w:sz w:val="24"/>
          <w:szCs w:val="24"/>
        </w:rPr>
        <w:t>ux et territoriaux faciliterai</w:t>
      </w:r>
      <w:r w:rsidR="00F25EE5">
        <w:rPr>
          <w:sz w:val="24"/>
          <w:szCs w:val="24"/>
        </w:rPr>
        <w:t xml:space="preserve">t l’harmonisation des législations et encourageraient les gouvernements provinciaux à suivre l’exemple fédéral. </w:t>
      </w:r>
      <w:r w:rsidR="00507EE7">
        <w:rPr>
          <w:sz w:val="24"/>
          <w:szCs w:val="24"/>
        </w:rPr>
        <w:t xml:space="preserve">Du même coup, cela participerait </w:t>
      </w:r>
      <w:r w:rsidR="00870C68">
        <w:rPr>
          <w:sz w:val="24"/>
          <w:szCs w:val="24"/>
        </w:rPr>
        <w:t>à un</w:t>
      </w:r>
      <w:r w:rsidR="00507EE7">
        <w:rPr>
          <w:sz w:val="24"/>
          <w:szCs w:val="24"/>
        </w:rPr>
        <w:t xml:space="preserve"> échange stimulant la création d’initiatives</w:t>
      </w:r>
      <w:r w:rsidR="00870C68">
        <w:rPr>
          <w:sz w:val="24"/>
          <w:szCs w:val="24"/>
        </w:rPr>
        <w:t xml:space="preserve"> positives sur l’accessibilité et permettrait aux autorités présentes de jouir des expériences concluantes des autres législatures. </w:t>
      </w:r>
    </w:p>
    <w:p w:rsidR="00041B82" w:rsidRDefault="00041B82">
      <w:pPr>
        <w:ind w:firstLine="720"/>
        <w:rPr>
          <w:sz w:val="24"/>
          <w:szCs w:val="24"/>
        </w:rPr>
      </w:pPr>
    </w:p>
    <w:p w:rsidR="00041B82" w:rsidRDefault="006F4876">
      <w:pPr>
        <w:ind w:firstLine="720"/>
        <w:rPr>
          <w:sz w:val="24"/>
          <w:szCs w:val="24"/>
        </w:rPr>
      </w:pPr>
      <w:r>
        <w:rPr>
          <w:sz w:val="24"/>
          <w:szCs w:val="24"/>
        </w:rPr>
        <w:t xml:space="preserve">En ce sens, nous demandons à ce que la Loi contienne une disposition </w:t>
      </w:r>
      <w:r w:rsidR="00250187">
        <w:rPr>
          <w:sz w:val="24"/>
          <w:szCs w:val="24"/>
        </w:rPr>
        <w:t xml:space="preserve">obligeant le gouvernement fédéral à entamer des discussions avec les gouvernements provinciaux et territoriaux dans le but de mettre sur pied une telle conférence. </w:t>
      </w:r>
    </w:p>
    <w:p w:rsidR="006F4876" w:rsidRPr="00250187" w:rsidRDefault="00250187" w:rsidP="006C1FB0">
      <w:pPr>
        <w:pStyle w:val="Titre2"/>
        <w:numPr>
          <w:ilvl w:val="1"/>
          <w:numId w:val="9"/>
        </w:numPr>
      </w:pPr>
      <w:bookmarkStart w:id="17" w:name="_Toc487539751"/>
      <w:r w:rsidRPr="00250187">
        <w:t>Clause d’accès-conditionnalité</w:t>
      </w:r>
      <w:bookmarkEnd w:id="17"/>
    </w:p>
    <w:p w:rsidR="00041B82" w:rsidRDefault="00250187">
      <w:pPr>
        <w:rPr>
          <w:sz w:val="24"/>
          <w:szCs w:val="24"/>
        </w:rPr>
      </w:pPr>
      <w:r>
        <w:rPr>
          <w:sz w:val="24"/>
          <w:szCs w:val="24"/>
        </w:rPr>
        <w:t>N</w:t>
      </w:r>
      <w:r w:rsidR="007260C8">
        <w:rPr>
          <w:sz w:val="24"/>
          <w:szCs w:val="24"/>
        </w:rPr>
        <w:t>ous suggérons que tout fin</w:t>
      </w:r>
      <w:r w:rsidR="00882859">
        <w:rPr>
          <w:sz w:val="24"/>
          <w:szCs w:val="24"/>
        </w:rPr>
        <w:t>ancement</w:t>
      </w:r>
      <w:r w:rsidR="00DF6DC8">
        <w:rPr>
          <w:sz w:val="24"/>
          <w:szCs w:val="24"/>
        </w:rPr>
        <w:t>,</w:t>
      </w:r>
      <w:r w:rsidR="00882859">
        <w:rPr>
          <w:sz w:val="24"/>
          <w:szCs w:val="24"/>
        </w:rPr>
        <w:t xml:space="preserve"> subvention </w:t>
      </w:r>
      <w:r w:rsidR="00DF6DC8">
        <w:rPr>
          <w:sz w:val="24"/>
          <w:szCs w:val="24"/>
        </w:rPr>
        <w:t xml:space="preserve">ou contrat de la part du gouvernement </w:t>
      </w:r>
      <w:r w:rsidR="00882859">
        <w:rPr>
          <w:sz w:val="24"/>
          <w:szCs w:val="24"/>
        </w:rPr>
        <w:t>fédéral</w:t>
      </w:r>
      <w:r w:rsidR="00DF6DC8">
        <w:rPr>
          <w:sz w:val="24"/>
          <w:szCs w:val="24"/>
        </w:rPr>
        <w:t xml:space="preserve"> soi</w:t>
      </w:r>
      <w:r w:rsidR="007260C8">
        <w:rPr>
          <w:sz w:val="24"/>
          <w:szCs w:val="24"/>
        </w:rPr>
        <w:t>t</w:t>
      </w:r>
      <w:r w:rsidR="00DF6DC8">
        <w:rPr>
          <w:sz w:val="24"/>
          <w:szCs w:val="24"/>
        </w:rPr>
        <w:t xml:space="preserve"> adjoint d’une clause d’accès-conditionnalité, c’est-à-dire </w:t>
      </w:r>
      <w:r w:rsidR="00113AC1">
        <w:rPr>
          <w:sz w:val="24"/>
          <w:szCs w:val="24"/>
        </w:rPr>
        <w:t xml:space="preserve">que l’attribution des sommes soit </w:t>
      </w:r>
      <w:r w:rsidR="00DF6DC8">
        <w:rPr>
          <w:sz w:val="24"/>
          <w:szCs w:val="24"/>
        </w:rPr>
        <w:t>conditionnel</w:t>
      </w:r>
      <w:r w:rsidR="00113AC1">
        <w:rPr>
          <w:sz w:val="24"/>
          <w:szCs w:val="24"/>
        </w:rPr>
        <w:t>le</w:t>
      </w:r>
      <w:r w:rsidR="00DF6DC8">
        <w:rPr>
          <w:sz w:val="24"/>
          <w:szCs w:val="24"/>
        </w:rPr>
        <w:t xml:space="preserve"> au respect de certaines exigences en matière d’accessibilité. Cette tactique s’inspire de celle adoptée par le gouvernement du Québec en matière d’environnement, connue sous le nom d’</w:t>
      </w:r>
      <w:proofErr w:type="spellStart"/>
      <w:r w:rsidR="00DF6DC8">
        <w:rPr>
          <w:sz w:val="24"/>
          <w:szCs w:val="24"/>
        </w:rPr>
        <w:t>écoconditionnalité</w:t>
      </w:r>
      <w:proofErr w:type="spellEnd"/>
      <w:r w:rsidR="00DF6DC8">
        <w:rPr>
          <w:rStyle w:val="Appelnotedebasdep"/>
          <w:sz w:val="24"/>
          <w:szCs w:val="24"/>
        </w:rPr>
        <w:footnoteReference w:id="7"/>
      </w:r>
      <w:r w:rsidR="00393955">
        <w:rPr>
          <w:sz w:val="24"/>
          <w:szCs w:val="24"/>
        </w:rPr>
        <w:t>.</w:t>
      </w:r>
      <w:r w:rsidR="00DF6DC8">
        <w:rPr>
          <w:sz w:val="24"/>
          <w:szCs w:val="24"/>
        </w:rPr>
        <w:t xml:space="preserve"> Il s’agirait d’un puissant incitatif pour entraîner le secteur privé et possiblement des gouvernements provinciaux, territoriaux et municipaux à s’engager dans une démarche d’accessibilité et d’inclusion. </w:t>
      </w:r>
    </w:p>
    <w:p w:rsidR="00890060" w:rsidRDefault="00890060">
      <w:pPr>
        <w:rPr>
          <w:sz w:val="24"/>
          <w:szCs w:val="24"/>
        </w:rPr>
      </w:pPr>
    </w:p>
    <w:p w:rsidR="00890060" w:rsidRDefault="00890060">
      <w:pPr>
        <w:rPr>
          <w:sz w:val="24"/>
          <w:szCs w:val="24"/>
        </w:rPr>
      </w:pPr>
      <w:r>
        <w:rPr>
          <w:sz w:val="24"/>
          <w:szCs w:val="24"/>
        </w:rPr>
        <w:t>De l’avis de la COPHAN, la clause d’accès-</w:t>
      </w:r>
      <w:proofErr w:type="spellStart"/>
      <w:r>
        <w:rPr>
          <w:sz w:val="24"/>
          <w:szCs w:val="24"/>
        </w:rPr>
        <w:t>conditionnalitè</w:t>
      </w:r>
      <w:proofErr w:type="spellEnd"/>
      <w:r>
        <w:rPr>
          <w:sz w:val="24"/>
          <w:szCs w:val="24"/>
        </w:rPr>
        <w:t xml:space="preserve"> devrait également s’appliquer à tous les </w:t>
      </w:r>
      <w:r w:rsidR="00DF3F30">
        <w:rPr>
          <w:sz w:val="24"/>
          <w:szCs w:val="24"/>
        </w:rPr>
        <w:t>programmes provinciaux financés via des transferts de fonds de la part du gouvernement fédéral.</w:t>
      </w:r>
    </w:p>
    <w:p w:rsidR="007173EE" w:rsidRPr="00250187" w:rsidRDefault="005D3650" w:rsidP="006C1FB0">
      <w:pPr>
        <w:pStyle w:val="Titre1"/>
        <w:numPr>
          <w:ilvl w:val="0"/>
          <w:numId w:val="9"/>
        </w:numPr>
      </w:pPr>
      <w:bookmarkStart w:id="18" w:name="_2ulxm5thytg4" w:colFirst="0" w:colLast="0"/>
      <w:bookmarkStart w:id="19" w:name="_Toc487539752"/>
      <w:bookmarkEnd w:id="18"/>
      <w:r w:rsidRPr="00E5533D">
        <w:lastRenderedPageBreak/>
        <w:t>Mécanismes de surveillance</w:t>
      </w:r>
      <w:r w:rsidR="00626A3F">
        <w:t>, plaintes</w:t>
      </w:r>
      <w:r w:rsidRPr="00E5533D">
        <w:t xml:space="preserve"> et sanctions</w:t>
      </w:r>
      <w:bookmarkEnd w:id="19"/>
    </w:p>
    <w:p w:rsidR="00041B82" w:rsidRDefault="00A77D3C">
      <w:pPr>
        <w:rPr>
          <w:sz w:val="24"/>
          <w:szCs w:val="24"/>
        </w:rPr>
      </w:pPr>
      <w:r>
        <w:rPr>
          <w:sz w:val="24"/>
          <w:szCs w:val="24"/>
        </w:rPr>
        <w:t xml:space="preserve">Dans le but d’assurer la bonne mise en œuvre </w:t>
      </w:r>
      <w:r w:rsidR="006A4567">
        <w:rPr>
          <w:sz w:val="24"/>
          <w:szCs w:val="24"/>
        </w:rPr>
        <w:t>de la</w:t>
      </w:r>
      <w:r>
        <w:rPr>
          <w:sz w:val="24"/>
          <w:szCs w:val="24"/>
        </w:rPr>
        <w:t xml:space="preserve"> </w:t>
      </w:r>
      <w:r w:rsidR="00393955">
        <w:rPr>
          <w:sz w:val="24"/>
          <w:szCs w:val="24"/>
        </w:rPr>
        <w:t>L</w:t>
      </w:r>
      <w:r>
        <w:rPr>
          <w:sz w:val="24"/>
          <w:szCs w:val="24"/>
        </w:rPr>
        <w:t xml:space="preserve">oi, </w:t>
      </w:r>
      <w:r w:rsidR="006A4567">
        <w:rPr>
          <w:sz w:val="24"/>
          <w:szCs w:val="24"/>
        </w:rPr>
        <w:t>cette dernière</w:t>
      </w:r>
      <w:r>
        <w:rPr>
          <w:sz w:val="24"/>
          <w:szCs w:val="24"/>
        </w:rPr>
        <w:t xml:space="preserve"> devra prévoir des mécanismes de surveillance veillant à son application et des sanctions pour les personnes</w:t>
      </w:r>
      <w:r w:rsidR="00250187">
        <w:rPr>
          <w:sz w:val="24"/>
          <w:szCs w:val="24"/>
        </w:rPr>
        <w:t xml:space="preserve"> et les organisations</w:t>
      </w:r>
      <w:r>
        <w:rPr>
          <w:sz w:val="24"/>
          <w:szCs w:val="24"/>
        </w:rPr>
        <w:t xml:space="preserve"> </w:t>
      </w:r>
      <w:r w:rsidR="00250187">
        <w:rPr>
          <w:sz w:val="24"/>
          <w:szCs w:val="24"/>
        </w:rPr>
        <w:t>contrevenant</w:t>
      </w:r>
      <w:r>
        <w:rPr>
          <w:sz w:val="24"/>
          <w:szCs w:val="24"/>
        </w:rPr>
        <w:t xml:space="preserve"> </w:t>
      </w:r>
      <w:r w:rsidR="00250187">
        <w:rPr>
          <w:sz w:val="24"/>
          <w:szCs w:val="24"/>
        </w:rPr>
        <w:t xml:space="preserve">aux </w:t>
      </w:r>
      <w:r>
        <w:rPr>
          <w:sz w:val="24"/>
          <w:szCs w:val="24"/>
        </w:rPr>
        <w:t>obligations qui y seront prévues</w:t>
      </w:r>
      <w:r w:rsidRPr="0027279E">
        <w:rPr>
          <w:sz w:val="24"/>
          <w:szCs w:val="24"/>
        </w:rPr>
        <w:t xml:space="preserve">. </w:t>
      </w:r>
    </w:p>
    <w:p w:rsidR="00041B82" w:rsidRDefault="00041B82">
      <w:pPr>
        <w:rPr>
          <w:sz w:val="24"/>
          <w:szCs w:val="24"/>
        </w:rPr>
      </w:pPr>
    </w:p>
    <w:p w:rsidR="00041B82" w:rsidRDefault="00626A3F">
      <w:pPr>
        <w:ind w:firstLine="720"/>
        <w:rPr>
          <w:sz w:val="24"/>
          <w:szCs w:val="24"/>
        </w:rPr>
      </w:pPr>
      <w:r>
        <w:rPr>
          <w:sz w:val="24"/>
          <w:szCs w:val="24"/>
        </w:rPr>
        <w:t xml:space="preserve">Nous croyons que la Loi devrait prévoir différents mécanismes de surveillance, plaintes et sanctions </w:t>
      </w:r>
      <w:r w:rsidR="005F0AFE">
        <w:rPr>
          <w:sz w:val="24"/>
          <w:szCs w:val="24"/>
        </w:rPr>
        <w:t>selon le</w:t>
      </w:r>
      <w:r>
        <w:rPr>
          <w:sz w:val="24"/>
          <w:szCs w:val="24"/>
        </w:rPr>
        <w:t xml:space="preserve"> caractère individuel ou collectif de l’enjeu soulevé. </w:t>
      </w:r>
      <w:r w:rsidR="008F63C6">
        <w:rPr>
          <w:sz w:val="24"/>
          <w:szCs w:val="24"/>
        </w:rPr>
        <w:t xml:space="preserve">Ainsi, pour les questions d’ordre collectif, nous proposons la création d’un poste de commissaire indépendant à l’accessibilité et à l’inclusion. En ce qui concerne les questions d’ordre davantage individuel, les tribunaux judiciaires déjà existants devraient être compétents. </w:t>
      </w:r>
    </w:p>
    <w:p w:rsidR="008F63C6" w:rsidRPr="008F63C6" w:rsidRDefault="002C6302" w:rsidP="006C1FB0">
      <w:pPr>
        <w:pStyle w:val="Titre2"/>
        <w:numPr>
          <w:ilvl w:val="1"/>
          <w:numId w:val="9"/>
        </w:numPr>
      </w:pPr>
      <w:bookmarkStart w:id="20" w:name="_Toc487539753"/>
      <w:r>
        <w:t>C</w:t>
      </w:r>
      <w:r w:rsidR="00F87719">
        <w:t>ommissaire à l’accessibilité et à l’inclusion</w:t>
      </w:r>
      <w:bookmarkEnd w:id="20"/>
    </w:p>
    <w:p w:rsidR="00041B82" w:rsidRDefault="00F87719">
      <w:pPr>
        <w:rPr>
          <w:sz w:val="24"/>
          <w:szCs w:val="24"/>
        </w:rPr>
      </w:pPr>
      <w:r>
        <w:rPr>
          <w:sz w:val="24"/>
          <w:szCs w:val="24"/>
        </w:rPr>
        <w:t xml:space="preserve">Pour les questions d’ordre collectif, </w:t>
      </w:r>
      <w:r w:rsidR="00AC6D20">
        <w:rPr>
          <w:sz w:val="24"/>
          <w:szCs w:val="24"/>
        </w:rPr>
        <w:t xml:space="preserve">nous proposons la création d’un poste de commissaire </w:t>
      </w:r>
      <w:r>
        <w:rPr>
          <w:sz w:val="24"/>
          <w:szCs w:val="24"/>
        </w:rPr>
        <w:t>à l’accessibilité et à l’inclusion</w:t>
      </w:r>
      <w:r w:rsidR="00AC6D20">
        <w:rPr>
          <w:sz w:val="24"/>
          <w:szCs w:val="24"/>
        </w:rPr>
        <w:t xml:space="preserve">. </w:t>
      </w:r>
      <w:r w:rsidR="00715554">
        <w:rPr>
          <w:sz w:val="24"/>
          <w:szCs w:val="24"/>
        </w:rPr>
        <w:t xml:space="preserve">Dans le but </w:t>
      </w:r>
      <w:r w:rsidR="00393955">
        <w:rPr>
          <w:sz w:val="24"/>
          <w:szCs w:val="24"/>
        </w:rPr>
        <w:t xml:space="preserve">d’assurer </w:t>
      </w:r>
      <w:r w:rsidR="00715554">
        <w:rPr>
          <w:sz w:val="24"/>
          <w:szCs w:val="24"/>
        </w:rPr>
        <w:t xml:space="preserve">les principes démocratiques fondamentaux </w:t>
      </w:r>
      <w:r w:rsidR="00246C49">
        <w:rPr>
          <w:sz w:val="24"/>
          <w:szCs w:val="24"/>
        </w:rPr>
        <w:t xml:space="preserve">chers </w:t>
      </w:r>
      <w:r w:rsidR="00715554">
        <w:rPr>
          <w:sz w:val="24"/>
          <w:szCs w:val="24"/>
        </w:rPr>
        <w:t xml:space="preserve">à notre </w:t>
      </w:r>
      <w:r w:rsidR="00321651">
        <w:rPr>
          <w:sz w:val="24"/>
          <w:szCs w:val="24"/>
        </w:rPr>
        <w:t>tradition politique</w:t>
      </w:r>
      <w:r w:rsidR="00715554">
        <w:rPr>
          <w:sz w:val="24"/>
          <w:szCs w:val="24"/>
        </w:rPr>
        <w:t xml:space="preserve">, </w:t>
      </w:r>
      <w:r w:rsidR="0027279E">
        <w:rPr>
          <w:sz w:val="24"/>
          <w:szCs w:val="24"/>
        </w:rPr>
        <w:t>nous sommes d’avis que ce commissaire devrait relever de la Chambre des Communes.</w:t>
      </w:r>
      <w:r w:rsidR="00715554">
        <w:rPr>
          <w:sz w:val="24"/>
          <w:szCs w:val="24"/>
        </w:rPr>
        <w:t xml:space="preserve"> </w:t>
      </w:r>
      <w:r w:rsidR="0027279E">
        <w:rPr>
          <w:sz w:val="24"/>
          <w:szCs w:val="24"/>
        </w:rPr>
        <w:t>Il</w:t>
      </w:r>
      <w:r w:rsidR="00B14483">
        <w:rPr>
          <w:sz w:val="24"/>
          <w:szCs w:val="24"/>
        </w:rPr>
        <w:t xml:space="preserve"> </w:t>
      </w:r>
      <w:r>
        <w:rPr>
          <w:sz w:val="24"/>
          <w:szCs w:val="24"/>
        </w:rPr>
        <w:t>serait chargé</w:t>
      </w:r>
      <w:r w:rsidR="00B14483">
        <w:rPr>
          <w:sz w:val="24"/>
          <w:szCs w:val="24"/>
        </w:rPr>
        <w:t xml:space="preserve"> de surveiller l’application globale de la </w:t>
      </w:r>
      <w:r w:rsidR="00393955">
        <w:rPr>
          <w:sz w:val="24"/>
          <w:szCs w:val="24"/>
        </w:rPr>
        <w:t>L</w:t>
      </w:r>
      <w:r w:rsidR="00B14483">
        <w:rPr>
          <w:sz w:val="24"/>
          <w:szCs w:val="24"/>
        </w:rPr>
        <w:t>oi et d’évaluer ses impact</w:t>
      </w:r>
      <w:r w:rsidR="005F0AFE">
        <w:rPr>
          <w:sz w:val="24"/>
          <w:szCs w:val="24"/>
        </w:rPr>
        <w:t>s sur la société canadienne et l</w:t>
      </w:r>
      <w:r w:rsidR="00B14483">
        <w:rPr>
          <w:sz w:val="24"/>
          <w:szCs w:val="24"/>
        </w:rPr>
        <w:t>es citoyens en situation de handicap. Ce faisant, il sera</w:t>
      </w:r>
      <w:r w:rsidR="00DB1F74">
        <w:rPr>
          <w:sz w:val="24"/>
          <w:szCs w:val="24"/>
        </w:rPr>
        <w:t>it</w:t>
      </w:r>
      <w:r w:rsidR="00B14483">
        <w:rPr>
          <w:sz w:val="24"/>
          <w:szCs w:val="24"/>
        </w:rPr>
        <w:t xml:space="preserve"> en mesure d’identifier les tares dans l’application de la </w:t>
      </w:r>
      <w:r w:rsidR="00393955">
        <w:rPr>
          <w:sz w:val="24"/>
          <w:szCs w:val="24"/>
        </w:rPr>
        <w:t>L</w:t>
      </w:r>
      <w:r w:rsidR="00B14483">
        <w:rPr>
          <w:sz w:val="24"/>
          <w:szCs w:val="24"/>
        </w:rPr>
        <w:t>oi afin que le</w:t>
      </w:r>
      <w:r w:rsidR="00350D11">
        <w:rPr>
          <w:sz w:val="24"/>
          <w:szCs w:val="24"/>
        </w:rPr>
        <w:t>s</w:t>
      </w:r>
      <w:r w:rsidR="00B14483">
        <w:rPr>
          <w:sz w:val="24"/>
          <w:szCs w:val="24"/>
        </w:rPr>
        <w:t xml:space="preserve"> correctifs qui s’imposent puissent être apportés. Ultimement, cette responsabilité devrait culminer par la production d’un rapport annuel présenté en chambre et qui comprendrait les différentes</w:t>
      </w:r>
      <w:r w:rsidR="00422B0B">
        <w:rPr>
          <w:sz w:val="24"/>
          <w:szCs w:val="24"/>
        </w:rPr>
        <w:t xml:space="preserve"> recommandations du commissaire</w:t>
      </w:r>
      <w:r w:rsidR="00B14483">
        <w:rPr>
          <w:sz w:val="24"/>
          <w:szCs w:val="24"/>
        </w:rPr>
        <w:t xml:space="preserve"> aux élus. </w:t>
      </w:r>
    </w:p>
    <w:p w:rsidR="00041B82" w:rsidRDefault="00041B82">
      <w:pPr>
        <w:ind w:firstLine="720"/>
        <w:rPr>
          <w:sz w:val="24"/>
          <w:szCs w:val="24"/>
        </w:rPr>
      </w:pPr>
    </w:p>
    <w:p w:rsidR="00041B82" w:rsidRDefault="00F87719" w:rsidP="006C1FB0">
      <w:pPr>
        <w:rPr>
          <w:sz w:val="24"/>
          <w:szCs w:val="24"/>
        </w:rPr>
      </w:pPr>
      <w:r>
        <w:rPr>
          <w:sz w:val="24"/>
          <w:szCs w:val="24"/>
        </w:rPr>
        <w:t>Le commissaire devrait également être responsable du suivi des plans d’action</w:t>
      </w:r>
      <w:r w:rsidR="009D280F">
        <w:rPr>
          <w:sz w:val="24"/>
          <w:szCs w:val="24"/>
        </w:rPr>
        <w:t xml:space="preserve">. Nous référons ici à notre recommandation précédente selon laquelle chaque personne morale assujettie à la </w:t>
      </w:r>
      <w:r w:rsidR="00393955">
        <w:rPr>
          <w:sz w:val="24"/>
          <w:szCs w:val="24"/>
        </w:rPr>
        <w:t>L</w:t>
      </w:r>
      <w:r w:rsidR="009D280F">
        <w:rPr>
          <w:sz w:val="24"/>
          <w:szCs w:val="24"/>
        </w:rPr>
        <w:t xml:space="preserve">oi devrait produire un plan d’action expliquant </w:t>
      </w:r>
      <w:r w:rsidR="00DB1F74">
        <w:rPr>
          <w:sz w:val="24"/>
          <w:szCs w:val="24"/>
        </w:rPr>
        <w:t>la mise en place d</w:t>
      </w:r>
      <w:r w:rsidR="009D280F">
        <w:rPr>
          <w:sz w:val="24"/>
          <w:szCs w:val="24"/>
        </w:rPr>
        <w:t xml:space="preserve">es moyens qu’elle compte employer afin de répondre aux obligations législatives qui lui incombent. </w:t>
      </w:r>
      <w:r w:rsidR="000A0858">
        <w:rPr>
          <w:sz w:val="24"/>
          <w:szCs w:val="24"/>
        </w:rPr>
        <w:t>A</w:t>
      </w:r>
      <w:r w:rsidR="00403E8F">
        <w:rPr>
          <w:sz w:val="24"/>
          <w:szCs w:val="24"/>
        </w:rPr>
        <w:t xml:space="preserve">ttribuer cette tâche au commissaire ne ferait qu’ajouter à la cohérence du système ainsi mis en œuvre. </w:t>
      </w:r>
      <w:r w:rsidR="00AB5A56">
        <w:rPr>
          <w:sz w:val="24"/>
          <w:szCs w:val="24"/>
        </w:rPr>
        <w:t>Le suivi des plan</w:t>
      </w:r>
      <w:r w:rsidR="00386208">
        <w:rPr>
          <w:sz w:val="24"/>
          <w:szCs w:val="24"/>
        </w:rPr>
        <w:t>s</w:t>
      </w:r>
      <w:r w:rsidR="00AB5A56">
        <w:rPr>
          <w:sz w:val="24"/>
          <w:szCs w:val="24"/>
        </w:rPr>
        <w:t xml:space="preserve"> d’action devrait </w:t>
      </w:r>
      <w:r w:rsidR="006C010F">
        <w:rPr>
          <w:sz w:val="24"/>
          <w:szCs w:val="24"/>
        </w:rPr>
        <w:t>concerner principalement</w:t>
      </w:r>
      <w:r w:rsidR="00AB5A56">
        <w:rPr>
          <w:sz w:val="24"/>
          <w:szCs w:val="24"/>
        </w:rPr>
        <w:t xml:space="preserve"> </w:t>
      </w:r>
      <w:r w:rsidR="00386208">
        <w:rPr>
          <w:sz w:val="24"/>
          <w:szCs w:val="24"/>
        </w:rPr>
        <w:t>trois</w:t>
      </w:r>
      <w:r w:rsidR="000A0858">
        <w:rPr>
          <w:sz w:val="24"/>
          <w:szCs w:val="24"/>
        </w:rPr>
        <w:t xml:space="preserve"> aspects</w:t>
      </w:r>
      <w:r w:rsidR="006C010F">
        <w:rPr>
          <w:sz w:val="24"/>
          <w:szCs w:val="24"/>
        </w:rPr>
        <w:t>, soit</w:t>
      </w:r>
      <w:r w:rsidR="000A0858">
        <w:rPr>
          <w:sz w:val="24"/>
          <w:szCs w:val="24"/>
        </w:rPr>
        <w:t> :</w:t>
      </w:r>
      <w:r w:rsidR="00AB5A56">
        <w:rPr>
          <w:sz w:val="24"/>
          <w:szCs w:val="24"/>
        </w:rPr>
        <w:t xml:space="preserve"> </w:t>
      </w:r>
    </w:p>
    <w:p w:rsidR="00041B82" w:rsidRDefault="00041B82">
      <w:pPr>
        <w:ind w:firstLine="720"/>
        <w:rPr>
          <w:sz w:val="24"/>
          <w:szCs w:val="24"/>
        </w:rPr>
      </w:pPr>
    </w:p>
    <w:p w:rsidR="00041B82" w:rsidRDefault="00AB5A56">
      <w:pPr>
        <w:pStyle w:val="Paragraphedeliste"/>
        <w:numPr>
          <w:ilvl w:val="0"/>
          <w:numId w:val="6"/>
        </w:numPr>
        <w:rPr>
          <w:sz w:val="24"/>
          <w:szCs w:val="24"/>
        </w:rPr>
      </w:pPr>
      <w:r w:rsidRPr="00BB2E62">
        <w:rPr>
          <w:sz w:val="24"/>
          <w:szCs w:val="24"/>
        </w:rPr>
        <w:t xml:space="preserve">la production </w:t>
      </w:r>
      <w:r w:rsidR="006C010F" w:rsidRPr="00BB2E62">
        <w:rPr>
          <w:sz w:val="24"/>
          <w:szCs w:val="24"/>
        </w:rPr>
        <w:t xml:space="preserve">effective </w:t>
      </w:r>
      <w:r w:rsidR="004A63C7" w:rsidRPr="00BB2E62">
        <w:rPr>
          <w:sz w:val="24"/>
          <w:szCs w:val="24"/>
        </w:rPr>
        <w:t>des plans d’action</w:t>
      </w:r>
      <w:r w:rsidR="00626A3F">
        <w:rPr>
          <w:sz w:val="24"/>
          <w:szCs w:val="24"/>
        </w:rPr>
        <w:t>;</w:t>
      </w:r>
    </w:p>
    <w:p w:rsidR="00041B82" w:rsidRDefault="006C010F">
      <w:pPr>
        <w:pStyle w:val="Paragraphedeliste"/>
        <w:numPr>
          <w:ilvl w:val="0"/>
          <w:numId w:val="6"/>
        </w:numPr>
        <w:rPr>
          <w:sz w:val="24"/>
          <w:szCs w:val="24"/>
        </w:rPr>
      </w:pPr>
      <w:r w:rsidRPr="00BB2E62">
        <w:rPr>
          <w:sz w:val="24"/>
          <w:szCs w:val="24"/>
        </w:rPr>
        <w:t>la qualit</w:t>
      </w:r>
      <w:r w:rsidR="00626A3F">
        <w:rPr>
          <w:sz w:val="24"/>
          <w:szCs w:val="24"/>
        </w:rPr>
        <w:t>é du contenu des plans d’action, incluant un rôle conseil;</w:t>
      </w:r>
    </w:p>
    <w:p w:rsidR="00041B82" w:rsidRDefault="008024FF">
      <w:pPr>
        <w:pStyle w:val="Paragraphedeliste"/>
        <w:numPr>
          <w:ilvl w:val="0"/>
          <w:numId w:val="6"/>
        </w:numPr>
        <w:rPr>
          <w:sz w:val="24"/>
          <w:szCs w:val="24"/>
        </w:rPr>
      </w:pPr>
      <w:r w:rsidRPr="00BB2E62">
        <w:rPr>
          <w:sz w:val="24"/>
          <w:szCs w:val="24"/>
        </w:rPr>
        <w:t>la reddition de compte</w:t>
      </w:r>
      <w:r w:rsidR="00BB2E62" w:rsidRPr="00BB2E62">
        <w:rPr>
          <w:sz w:val="24"/>
          <w:szCs w:val="24"/>
        </w:rPr>
        <w:t xml:space="preserve"> (bilans des plans d’action)</w:t>
      </w:r>
      <w:r w:rsidR="00626A3F">
        <w:rPr>
          <w:sz w:val="24"/>
          <w:szCs w:val="24"/>
        </w:rPr>
        <w:t>.</w:t>
      </w:r>
    </w:p>
    <w:p w:rsidR="00041B82" w:rsidRDefault="00041B82">
      <w:pPr>
        <w:ind w:firstLine="720"/>
        <w:rPr>
          <w:sz w:val="24"/>
          <w:szCs w:val="24"/>
        </w:rPr>
      </w:pPr>
    </w:p>
    <w:p w:rsidR="00041B82" w:rsidRDefault="00F21BFB">
      <w:pPr>
        <w:rPr>
          <w:sz w:val="24"/>
          <w:szCs w:val="24"/>
        </w:rPr>
      </w:pPr>
      <w:r>
        <w:rPr>
          <w:sz w:val="24"/>
          <w:szCs w:val="24"/>
        </w:rPr>
        <w:t>Au regard de ces multiples tâches,</w:t>
      </w:r>
      <w:r w:rsidR="003D74E2">
        <w:rPr>
          <w:sz w:val="24"/>
          <w:szCs w:val="24"/>
        </w:rPr>
        <w:t xml:space="preserve"> il serait opportun de doter</w:t>
      </w:r>
      <w:r w:rsidR="004A63C7">
        <w:rPr>
          <w:sz w:val="24"/>
          <w:szCs w:val="24"/>
        </w:rPr>
        <w:t xml:space="preserve"> le commissaire</w:t>
      </w:r>
      <w:r w:rsidR="003D74E2">
        <w:rPr>
          <w:sz w:val="24"/>
          <w:szCs w:val="24"/>
        </w:rPr>
        <w:t xml:space="preserve"> </w:t>
      </w:r>
      <w:r w:rsidR="00626A3F">
        <w:rPr>
          <w:sz w:val="24"/>
          <w:szCs w:val="24"/>
        </w:rPr>
        <w:t xml:space="preserve">des ressources humaines et financières suffisantes afin qu’il puisse s’en acquitter. Il serait également nécessaire que le Commissaire dispose </w:t>
      </w:r>
      <w:r w:rsidR="003D74E2">
        <w:rPr>
          <w:sz w:val="24"/>
          <w:szCs w:val="24"/>
        </w:rPr>
        <w:t xml:space="preserve">d’un pouvoir de sanction afin </w:t>
      </w:r>
      <w:r w:rsidR="004A63C7">
        <w:rPr>
          <w:sz w:val="24"/>
          <w:szCs w:val="24"/>
        </w:rPr>
        <w:t xml:space="preserve">de faire respecter les exigences de la </w:t>
      </w:r>
      <w:r w:rsidR="00C17E5C">
        <w:rPr>
          <w:sz w:val="24"/>
          <w:szCs w:val="24"/>
        </w:rPr>
        <w:t>L</w:t>
      </w:r>
      <w:r w:rsidR="004A63C7">
        <w:rPr>
          <w:sz w:val="24"/>
          <w:szCs w:val="24"/>
        </w:rPr>
        <w:t>oi</w:t>
      </w:r>
      <w:r w:rsidR="00626A3F">
        <w:rPr>
          <w:sz w:val="24"/>
          <w:szCs w:val="24"/>
        </w:rPr>
        <w:t xml:space="preserve"> en ce qui concerne les plans d’action</w:t>
      </w:r>
      <w:r w:rsidR="004A63C7">
        <w:rPr>
          <w:sz w:val="24"/>
          <w:szCs w:val="24"/>
        </w:rPr>
        <w:t xml:space="preserve">. </w:t>
      </w:r>
    </w:p>
    <w:p w:rsidR="00041B82" w:rsidRDefault="00041B82">
      <w:pPr>
        <w:ind w:firstLine="720"/>
        <w:rPr>
          <w:sz w:val="24"/>
          <w:szCs w:val="24"/>
        </w:rPr>
      </w:pPr>
    </w:p>
    <w:p w:rsidR="00041B82" w:rsidRDefault="005F0AFE" w:rsidP="006C1FB0">
      <w:pPr>
        <w:rPr>
          <w:sz w:val="24"/>
          <w:szCs w:val="24"/>
        </w:rPr>
      </w:pPr>
      <w:r>
        <w:rPr>
          <w:sz w:val="24"/>
          <w:szCs w:val="24"/>
        </w:rPr>
        <w:t>Tel que mentionné</w:t>
      </w:r>
      <w:r w:rsidR="00626A3F">
        <w:rPr>
          <w:sz w:val="24"/>
          <w:szCs w:val="24"/>
        </w:rPr>
        <w:t xml:space="preserve"> précédemment, c</w:t>
      </w:r>
      <w:r w:rsidR="00A84150">
        <w:rPr>
          <w:sz w:val="24"/>
          <w:szCs w:val="24"/>
        </w:rPr>
        <w:t xml:space="preserve">ette recommandation à l’effet de prévoir des sanctions pour les contrevenants </w:t>
      </w:r>
      <w:r w:rsidR="00F23C04">
        <w:rPr>
          <w:sz w:val="24"/>
          <w:szCs w:val="24"/>
        </w:rPr>
        <w:t xml:space="preserve">est pleinement justifiée </w:t>
      </w:r>
      <w:r w:rsidR="00A84150">
        <w:rPr>
          <w:sz w:val="24"/>
          <w:szCs w:val="24"/>
        </w:rPr>
        <w:t>par l’expérience québécoise.</w:t>
      </w:r>
      <w:r w:rsidR="003D74E2">
        <w:rPr>
          <w:sz w:val="24"/>
          <w:szCs w:val="24"/>
        </w:rPr>
        <w:t xml:space="preserve"> </w:t>
      </w:r>
      <w:r w:rsidR="00A84150">
        <w:rPr>
          <w:sz w:val="24"/>
          <w:szCs w:val="24"/>
        </w:rPr>
        <w:t xml:space="preserve">En effet, </w:t>
      </w:r>
      <w:r>
        <w:rPr>
          <w:sz w:val="24"/>
          <w:szCs w:val="24"/>
        </w:rPr>
        <w:t xml:space="preserve">tel que souligné précédemment, </w:t>
      </w:r>
      <w:r w:rsidR="00A13F5F">
        <w:rPr>
          <w:sz w:val="24"/>
          <w:szCs w:val="24"/>
        </w:rPr>
        <w:t xml:space="preserve">en l’absence de dispositions pénales, de nombreux assujettis à la LAEDPH se soucient peu de rencontrer leurs obligations ou le font sans véritable engagement.  </w:t>
      </w:r>
    </w:p>
    <w:p w:rsidR="00A13F5F" w:rsidRPr="00A13F5F" w:rsidRDefault="00626A3F" w:rsidP="006C1FB0">
      <w:pPr>
        <w:pStyle w:val="Titre2"/>
        <w:numPr>
          <w:ilvl w:val="1"/>
          <w:numId w:val="9"/>
        </w:numPr>
      </w:pPr>
      <w:bookmarkStart w:id="21" w:name="_Toc487539754"/>
      <w:r>
        <w:t xml:space="preserve">Commission </w:t>
      </w:r>
      <w:r w:rsidR="00A13F5F" w:rsidRPr="00A13F5F">
        <w:t>canadien</w:t>
      </w:r>
      <w:r>
        <w:t>ne</w:t>
      </w:r>
      <w:r w:rsidR="00A13F5F" w:rsidRPr="00A13F5F">
        <w:t xml:space="preserve"> des droits de la personne</w:t>
      </w:r>
      <w:bookmarkEnd w:id="21"/>
    </w:p>
    <w:p w:rsidR="00041B82" w:rsidRDefault="00D272A8">
      <w:pPr>
        <w:rPr>
          <w:sz w:val="24"/>
          <w:szCs w:val="24"/>
        </w:rPr>
      </w:pPr>
      <w:r>
        <w:rPr>
          <w:sz w:val="24"/>
          <w:szCs w:val="24"/>
        </w:rPr>
        <w:t>Malgré l’importance d</w:t>
      </w:r>
      <w:r w:rsidR="00274E95">
        <w:rPr>
          <w:sz w:val="24"/>
          <w:szCs w:val="24"/>
        </w:rPr>
        <w:t>’une prise en compte systémique de l’accessibilité, il demeure que la Loi doit prévoir</w:t>
      </w:r>
      <w:r w:rsidR="00791BA2">
        <w:rPr>
          <w:sz w:val="24"/>
          <w:szCs w:val="24"/>
        </w:rPr>
        <w:t xml:space="preserve"> </w:t>
      </w:r>
      <w:r>
        <w:rPr>
          <w:sz w:val="24"/>
          <w:szCs w:val="24"/>
        </w:rPr>
        <w:t xml:space="preserve">un </w:t>
      </w:r>
      <w:r w:rsidR="00626A3F">
        <w:rPr>
          <w:sz w:val="24"/>
          <w:szCs w:val="24"/>
        </w:rPr>
        <w:t>recours lorsque les</w:t>
      </w:r>
      <w:r>
        <w:rPr>
          <w:sz w:val="24"/>
          <w:szCs w:val="24"/>
        </w:rPr>
        <w:t xml:space="preserve"> droits individu</w:t>
      </w:r>
      <w:r w:rsidR="00626A3F">
        <w:rPr>
          <w:sz w:val="24"/>
          <w:szCs w:val="24"/>
        </w:rPr>
        <w:t>el</w:t>
      </w:r>
      <w:r>
        <w:rPr>
          <w:sz w:val="24"/>
          <w:szCs w:val="24"/>
        </w:rPr>
        <w:t>s</w:t>
      </w:r>
      <w:r w:rsidR="00626A3F">
        <w:rPr>
          <w:sz w:val="24"/>
          <w:szCs w:val="24"/>
        </w:rPr>
        <w:t xml:space="preserve"> sont lésés</w:t>
      </w:r>
      <w:r>
        <w:rPr>
          <w:sz w:val="24"/>
          <w:szCs w:val="24"/>
        </w:rPr>
        <w:t xml:space="preserve">. </w:t>
      </w:r>
      <w:r w:rsidR="00791BA2">
        <w:rPr>
          <w:sz w:val="24"/>
          <w:szCs w:val="24"/>
        </w:rPr>
        <w:t xml:space="preserve">Dans le but de greffer la </w:t>
      </w:r>
      <w:r w:rsidR="00C17E5C">
        <w:rPr>
          <w:sz w:val="24"/>
          <w:szCs w:val="24"/>
        </w:rPr>
        <w:t>L</w:t>
      </w:r>
      <w:r w:rsidR="00791BA2">
        <w:rPr>
          <w:sz w:val="24"/>
          <w:szCs w:val="24"/>
        </w:rPr>
        <w:t xml:space="preserve">oi au système judiciaire existant, nous pensons qu’il serait opportun de </w:t>
      </w:r>
      <w:r w:rsidR="00A84150">
        <w:rPr>
          <w:sz w:val="24"/>
          <w:szCs w:val="24"/>
        </w:rPr>
        <w:t xml:space="preserve">conférer </w:t>
      </w:r>
      <w:r w:rsidR="00626A3F">
        <w:rPr>
          <w:sz w:val="24"/>
          <w:szCs w:val="24"/>
        </w:rPr>
        <w:t>à la Commission</w:t>
      </w:r>
      <w:r w:rsidR="00791BA2">
        <w:rPr>
          <w:sz w:val="24"/>
          <w:szCs w:val="24"/>
        </w:rPr>
        <w:t xml:space="preserve"> canadien</w:t>
      </w:r>
      <w:r w:rsidR="00626A3F">
        <w:rPr>
          <w:sz w:val="24"/>
          <w:szCs w:val="24"/>
        </w:rPr>
        <w:t>ne</w:t>
      </w:r>
      <w:r w:rsidR="00791BA2">
        <w:rPr>
          <w:sz w:val="24"/>
          <w:szCs w:val="24"/>
        </w:rPr>
        <w:t xml:space="preserve"> des droits de la personne</w:t>
      </w:r>
      <w:r w:rsidR="009474E2">
        <w:rPr>
          <w:sz w:val="24"/>
          <w:szCs w:val="24"/>
        </w:rPr>
        <w:t xml:space="preserve"> (</w:t>
      </w:r>
      <w:r w:rsidR="00626A3F">
        <w:rPr>
          <w:sz w:val="24"/>
          <w:szCs w:val="24"/>
        </w:rPr>
        <w:t>CCDP)</w:t>
      </w:r>
      <w:r w:rsidR="00791BA2">
        <w:rPr>
          <w:sz w:val="24"/>
          <w:szCs w:val="24"/>
        </w:rPr>
        <w:t xml:space="preserve"> </w:t>
      </w:r>
      <w:r w:rsidR="00626A3F">
        <w:rPr>
          <w:sz w:val="24"/>
          <w:szCs w:val="24"/>
        </w:rPr>
        <w:t>compétence</w:t>
      </w:r>
      <w:r w:rsidR="00791BA2">
        <w:rPr>
          <w:sz w:val="24"/>
          <w:szCs w:val="24"/>
        </w:rPr>
        <w:t xml:space="preserve"> quant à l’application des dispositions imposant</w:t>
      </w:r>
      <w:r w:rsidR="00A84150">
        <w:rPr>
          <w:sz w:val="24"/>
          <w:szCs w:val="24"/>
        </w:rPr>
        <w:t xml:space="preserve"> des obligations aux assujettis. Cette compétence devrait être exercée dans la mesure où une contravention aux exigences législatives aurait </w:t>
      </w:r>
      <w:r w:rsidR="00791BA2">
        <w:rPr>
          <w:sz w:val="24"/>
          <w:szCs w:val="24"/>
        </w:rPr>
        <w:t xml:space="preserve">le potentiel de créer préjudice aux individus. </w:t>
      </w:r>
      <w:r w:rsidR="009474E2">
        <w:rPr>
          <w:sz w:val="24"/>
          <w:szCs w:val="24"/>
        </w:rPr>
        <w:t xml:space="preserve">Autrement exprimé, </w:t>
      </w:r>
      <w:r w:rsidR="00A84150">
        <w:rPr>
          <w:sz w:val="24"/>
          <w:szCs w:val="24"/>
        </w:rPr>
        <w:t>si un assujetti en venait à déroger à</w:t>
      </w:r>
      <w:r w:rsidR="009474E2">
        <w:rPr>
          <w:sz w:val="24"/>
          <w:szCs w:val="24"/>
        </w:rPr>
        <w:t xml:space="preserve"> une obligation </w:t>
      </w:r>
      <w:r w:rsidR="00A84150">
        <w:rPr>
          <w:sz w:val="24"/>
          <w:szCs w:val="24"/>
        </w:rPr>
        <w:t>lui incombant</w:t>
      </w:r>
      <w:r w:rsidR="009474E2">
        <w:rPr>
          <w:sz w:val="24"/>
          <w:szCs w:val="24"/>
        </w:rPr>
        <w:t xml:space="preserve"> et que ce défaut caus</w:t>
      </w:r>
      <w:r w:rsidR="00A84150">
        <w:rPr>
          <w:sz w:val="24"/>
          <w:szCs w:val="24"/>
        </w:rPr>
        <w:t>ait</w:t>
      </w:r>
      <w:r w:rsidR="009474E2">
        <w:rPr>
          <w:sz w:val="24"/>
          <w:szCs w:val="24"/>
        </w:rPr>
        <w:t xml:space="preserve"> préjudice à une personne devant normalement profiter de l’application de la </w:t>
      </w:r>
      <w:r w:rsidR="00393955">
        <w:rPr>
          <w:sz w:val="24"/>
          <w:szCs w:val="24"/>
        </w:rPr>
        <w:t>L</w:t>
      </w:r>
      <w:r w:rsidR="009474E2">
        <w:rPr>
          <w:sz w:val="24"/>
          <w:szCs w:val="24"/>
        </w:rPr>
        <w:t xml:space="preserve">oi, </w:t>
      </w:r>
      <w:r w:rsidR="00626A3F">
        <w:rPr>
          <w:sz w:val="24"/>
          <w:szCs w:val="24"/>
        </w:rPr>
        <w:t>la CCDP et, par extension, le Tribunal canadien des droits de la personne (TCDP)</w:t>
      </w:r>
      <w:r w:rsidR="00393955">
        <w:rPr>
          <w:sz w:val="24"/>
          <w:szCs w:val="24"/>
        </w:rPr>
        <w:t>,</w:t>
      </w:r>
      <w:r w:rsidR="009474E2">
        <w:rPr>
          <w:sz w:val="24"/>
          <w:szCs w:val="24"/>
        </w:rPr>
        <w:t xml:space="preserve"> aurait la comp</w:t>
      </w:r>
      <w:r w:rsidR="00A84150">
        <w:rPr>
          <w:sz w:val="24"/>
          <w:szCs w:val="24"/>
        </w:rPr>
        <w:t>étence de sanctionner</w:t>
      </w:r>
      <w:r w:rsidR="009474E2">
        <w:rPr>
          <w:sz w:val="24"/>
          <w:szCs w:val="24"/>
        </w:rPr>
        <w:t xml:space="preserve"> un tel défaut. </w:t>
      </w:r>
    </w:p>
    <w:p w:rsidR="00041B82" w:rsidRDefault="00041B82">
      <w:pPr>
        <w:rPr>
          <w:sz w:val="24"/>
          <w:szCs w:val="24"/>
        </w:rPr>
      </w:pPr>
    </w:p>
    <w:p w:rsidR="00041B82" w:rsidRDefault="00726CB3">
      <w:pPr>
        <w:rPr>
          <w:sz w:val="24"/>
          <w:szCs w:val="24"/>
        </w:rPr>
      </w:pPr>
      <w:r>
        <w:rPr>
          <w:sz w:val="24"/>
          <w:szCs w:val="24"/>
        </w:rPr>
        <w:t>Cela</w:t>
      </w:r>
      <w:r w:rsidR="00274E95">
        <w:rPr>
          <w:sz w:val="24"/>
          <w:szCs w:val="24"/>
        </w:rPr>
        <w:t xml:space="preserve"> donnerait</w:t>
      </w:r>
      <w:r>
        <w:rPr>
          <w:sz w:val="24"/>
          <w:szCs w:val="24"/>
        </w:rPr>
        <w:t xml:space="preserve"> l’opportunité au</w:t>
      </w:r>
      <w:r w:rsidR="00CF3D33">
        <w:rPr>
          <w:sz w:val="24"/>
          <w:szCs w:val="24"/>
        </w:rPr>
        <w:t>x</w:t>
      </w:r>
      <w:r>
        <w:rPr>
          <w:sz w:val="24"/>
          <w:szCs w:val="24"/>
        </w:rPr>
        <w:t xml:space="preserve"> personne</w:t>
      </w:r>
      <w:r w:rsidR="00CF3D33">
        <w:rPr>
          <w:sz w:val="24"/>
          <w:szCs w:val="24"/>
        </w:rPr>
        <w:t>s</w:t>
      </w:r>
      <w:r>
        <w:rPr>
          <w:sz w:val="24"/>
          <w:szCs w:val="24"/>
        </w:rPr>
        <w:t xml:space="preserve"> désirant se prévaloir </w:t>
      </w:r>
      <w:r w:rsidR="00CF3D33">
        <w:rPr>
          <w:sz w:val="24"/>
          <w:szCs w:val="24"/>
        </w:rPr>
        <w:t>de leur droit de recours de profiter des services de médiation offert</w:t>
      </w:r>
      <w:r w:rsidR="00274E95">
        <w:rPr>
          <w:sz w:val="24"/>
          <w:szCs w:val="24"/>
        </w:rPr>
        <w:t>s</w:t>
      </w:r>
      <w:r w:rsidR="00CF3D33">
        <w:rPr>
          <w:sz w:val="24"/>
          <w:szCs w:val="24"/>
        </w:rPr>
        <w:t xml:space="preserve"> par la C</w:t>
      </w:r>
      <w:r w:rsidR="00626A3F">
        <w:rPr>
          <w:sz w:val="24"/>
          <w:szCs w:val="24"/>
        </w:rPr>
        <w:t>CDP</w:t>
      </w:r>
      <w:r w:rsidR="00A84150">
        <w:rPr>
          <w:sz w:val="24"/>
          <w:szCs w:val="24"/>
        </w:rPr>
        <w:t>,</w:t>
      </w:r>
      <w:r w:rsidR="00143640">
        <w:rPr>
          <w:sz w:val="24"/>
          <w:szCs w:val="24"/>
        </w:rPr>
        <w:t xml:space="preserve"> </w:t>
      </w:r>
      <w:r w:rsidR="00274E95">
        <w:rPr>
          <w:sz w:val="24"/>
          <w:szCs w:val="24"/>
        </w:rPr>
        <w:t>favorisant</w:t>
      </w:r>
      <w:r w:rsidR="00143640">
        <w:rPr>
          <w:sz w:val="24"/>
          <w:szCs w:val="24"/>
        </w:rPr>
        <w:t xml:space="preserve"> l’accès à la justice et </w:t>
      </w:r>
      <w:r w:rsidR="00274E95">
        <w:rPr>
          <w:sz w:val="24"/>
          <w:szCs w:val="24"/>
        </w:rPr>
        <w:t>les modes alternatifs de résolution des différends</w:t>
      </w:r>
      <w:r w:rsidR="00143640">
        <w:rPr>
          <w:sz w:val="24"/>
          <w:szCs w:val="24"/>
        </w:rPr>
        <w:t>.</w:t>
      </w:r>
      <w:r w:rsidR="00CF3D33">
        <w:rPr>
          <w:sz w:val="24"/>
          <w:szCs w:val="24"/>
        </w:rPr>
        <w:t xml:space="preserve"> </w:t>
      </w:r>
      <w:r w:rsidR="00626A3F">
        <w:rPr>
          <w:sz w:val="24"/>
          <w:szCs w:val="24"/>
        </w:rPr>
        <w:t>De plus, la CCDP possède déjà une large expertise en matière de droit du handicap, considérant que 60% des plaintes qu’elle a reçues en 2016 avait la déficience comme motif de discrimination allégué</w:t>
      </w:r>
      <w:r w:rsidR="00626A3F">
        <w:rPr>
          <w:rStyle w:val="Appelnotedebasdep"/>
          <w:sz w:val="24"/>
          <w:szCs w:val="24"/>
        </w:rPr>
        <w:footnoteReference w:id="8"/>
      </w:r>
      <w:r w:rsidR="00626A3F">
        <w:rPr>
          <w:sz w:val="24"/>
          <w:szCs w:val="24"/>
        </w:rPr>
        <w:t>.</w:t>
      </w:r>
    </w:p>
    <w:p w:rsidR="00041B82" w:rsidRDefault="00041B82">
      <w:pPr>
        <w:rPr>
          <w:sz w:val="24"/>
          <w:szCs w:val="24"/>
        </w:rPr>
      </w:pPr>
    </w:p>
    <w:p w:rsidR="00041B82" w:rsidRDefault="009869C1">
      <w:pPr>
        <w:rPr>
          <w:rFonts w:ascii="Times New Roman" w:eastAsia="Times New Roman" w:hAnsi="Times New Roman" w:cs="Times New Roman"/>
          <w:sz w:val="24"/>
          <w:szCs w:val="24"/>
        </w:rPr>
      </w:pPr>
      <w:r>
        <w:rPr>
          <w:sz w:val="24"/>
          <w:szCs w:val="24"/>
        </w:rPr>
        <w:t>Finalement</w:t>
      </w:r>
      <w:r w:rsidR="00CD3318">
        <w:rPr>
          <w:sz w:val="24"/>
          <w:szCs w:val="24"/>
        </w:rPr>
        <w:t xml:space="preserve">, la </w:t>
      </w:r>
      <w:r w:rsidR="00626A3F">
        <w:rPr>
          <w:sz w:val="24"/>
          <w:szCs w:val="24"/>
        </w:rPr>
        <w:t>CCDP</w:t>
      </w:r>
      <w:r w:rsidR="00CD3318">
        <w:rPr>
          <w:sz w:val="24"/>
          <w:szCs w:val="24"/>
        </w:rPr>
        <w:t xml:space="preserve"> </w:t>
      </w:r>
      <w:r w:rsidR="00626A3F">
        <w:rPr>
          <w:sz w:val="24"/>
          <w:szCs w:val="24"/>
        </w:rPr>
        <w:t>devrait</w:t>
      </w:r>
      <w:r w:rsidR="00CF3D33">
        <w:rPr>
          <w:sz w:val="24"/>
          <w:szCs w:val="24"/>
        </w:rPr>
        <w:t xml:space="preserve"> </w:t>
      </w:r>
      <w:r w:rsidR="005F0AFE">
        <w:rPr>
          <w:sz w:val="24"/>
          <w:szCs w:val="24"/>
        </w:rPr>
        <w:t>faire</w:t>
      </w:r>
      <w:r w:rsidR="00CF3D33">
        <w:rPr>
          <w:sz w:val="24"/>
          <w:szCs w:val="24"/>
        </w:rPr>
        <w:t xml:space="preserve"> rapport </w:t>
      </w:r>
      <w:r w:rsidR="00180195">
        <w:rPr>
          <w:sz w:val="24"/>
          <w:szCs w:val="24"/>
        </w:rPr>
        <w:t>de s</w:t>
      </w:r>
      <w:r w:rsidR="00AD7F5C">
        <w:rPr>
          <w:sz w:val="24"/>
          <w:szCs w:val="24"/>
        </w:rPr>
        <w:t xml:space="preserve">es activités </w:t>
      </w:r>
      <w:r w:rsidR="00CF3D33">
        <w:rPr>
          <w:sz w:val="24"/>
          <w:szCs w:val="24"/>
        </w:rPr>
        <w:t xml:space="preserve">au parlement face à ses interventions concernant la </w:t>
      </w:r>
      <w:r w:rsidR="00C17E5C">
        <w:rPr>
          <w:sz w:val="24"/>
          <w:szCs w:val="24"/>
        </w:rPr>
        <w:t>L</w:t>
      </w:r>
      <w:r w:rsidR="00CF3D33">
        <w:rPr>
          <w:sz w:val="24"/>
          <w:szCs w:val="24"/>
        </w:rPr>
        <w:t>oi. Ainsi, le gouvernement canadien pourrait profiter d’un portrait d’ensemble, soit une vision collec</w:t>
      </w:r>
      <w:r w:rsidR="00AD7F5C">
        <w:rPr>
          <w:sz w:val="24"/>
          <w:szCs w:val="24"/>
        </w:rPr>
        <w:t xml:space="preserve">tive fournie par le commissaire, </w:t>
      </w:r>
      <w:r w:rsidR="00CF3D33">
        <w:rPr>
          <w:sz w:val="24"/>
          <w:szCs w:val="24"/>
        </w:rPr>
        <w:t>et une vision individualisée fournie</w:t>
      </w:r>
      <w:r w:rsidR="00AD7F5C">
        <w:rPr>
          <w:sz w:val="24"/>
          <w:szCs w:val="24"/>
        </w:rPr>
        <w:t xml:space="preserve"> quant à elle</w:t>
      </w:r>
      <w:r w:rsidR="00CF3D33">
        <w:rPr>
          <w:sz w:val="24"/>
          <w:szCs w:val="24"/>
        </w:rPr>
        <w:t xml:space="preserve"> par la C</w:t>
      </w:r>
      <w:r w:rsidR="005F0AFE">
        <w:rPr>
          <w:sz w:val="24"/>
          <w:szCs w:val="24"/>
        </w:rPr>
        <w:t>CDP</w:t>
      </w:r>
      <w:r w:rsidR="00CF3D33">
        <w:rPr>
          <w:sz w:val="24"/>
          <w:szCs w:val="24"/>
        </w:rPr>
        <w:t xml:space="preserve">. </w:t>
      </w:r>
      <w:r w:rsidR="0068325A">
        <w:rPr>
          <w:sz w:val="24"/>
          <w:szCs w:val="24"/>
        </w:rPr>
        <w:t xml:space="preserve">Agir ainsi contribuerait notamment à </w:t>
      </w:r>
      <w:r w:rsidR="00143640">
        <w:rPr>
          <w:sz w:val="24"/>
          <w:szCs w:val="24"/>
        </w:rPr>
        <w:t>dresser un portrait statistique plus complet en ce qui concerne la situation d</w:t>
      </w:r>
      <w:r w:rsidR="00AD7F5C">
        <w:rPr>
          <w:sz w:val="24"/>
          <w:szCs w:val="24"/>
        </w:rPr>
        <w:t>u</w:t>
      </w:r>
      <w:r w:rsidR="00143640">
        <w:rPr>
          <w:sz w:val="24"/>
          <w:szCs w:val="24"/>
        </w:rPr>
        <w:t xml:space="preserve"> handicap au Canada. </w:t>
      </w:r>
    </w:p>
    <w:p w:rsidR="004A0F77" w:rsidRPr="00E5533D" w:rsidRDefault="004A0F77" w:rsidP="003A6213">
      <w:pPr>
        <w:rPr>
          <w:sz w:val="24"/>
          <w:szCs w:val="24"/>
        </w:rPr>
      </w:pPr>
    </w:p>
    <w:p w:rsidR="00453F1B" w:rsidRDefault="00453F1B">
      <w:pPr>
        <w:rPr>
          <w:sz w:val="40"/>
          <w:szCs w:val="40"/>
        </w:rPr>
      </w:pPr>
      <w:r>
        <w:br w:type="page"/>
      </w:r>
    </w:p>
    <w:p w:rsidR="00872DE5" w:rsidRDefault="005D3650" w:rsidP="006C1FB0">
      <w:pPr>
        <w:pStyle w:val="Titre1"/>
        <w:numPr>
          <w:ilvl w:val="0"/>
          <w:numId w:val="9"/>
        </w:numPr>
      </w:pPr>
      <w:bookmarkStart w:id="22" w:name="_Toc487539755"/>
      <w:r w:rsidRPr="00E5533D">
        <w:lastRenderedPageBreak/>
        <w:t>Suivi et évaluation</w:t>
      </w:r>
      <w:r w:rsidR="006519FF">
        <w:t xml:space="preserve"> de la Loi</w:t>
      </w:r>
      <w:bookmarkEnd w:id="22"/>
    </w:p>
    <w:p w:rsidR="00A05415" w:rsidRDefault="00A05415" w:rsidP="00A05415">
      <w:pPr>
        <w:pStyle w:val="Titre2"/>
        <w:numPr>
          <w:ilvl w:val="1"/>
          <w:numId w:val="9"/>
        </w:numPr>
        <w:rPr>
          <w:highlight w:val="white"/>
        </w:rPr>
      </w:pPr>
      <w:bookmarkStart w:id="23" w:name="_Toc487539756"/>
      <w:r w:rsidRPr="00A05415">
        <w:rPr>
          <w:highlight w:val="white"/>
        </w:rPr>
        <w:t>Évaluation indépendante</w:t>
      </w:r>
      <w:bookmarkEnd w:id="23"/>
      <w:r w:rsidRPr="00A05415">
        <w:rPr>
          <w:highlight w:val="white"/>
        </w:rPr>
        <w:t xml:space="preserve"> </w:t>
      </w:r>
    </w:p>
    <w:p w:rsidR="00A05415" w:rsidRPr="00A05415" w:rsidRDefault="00A05415" w:rsidP="00A05415">
      <w:pPr>
        <w:rPr>
          <w:rFonts w:eastAsia="Times New Roman"/>
          <w:sz w:val="24"/>
          <w:szCs w:val="24"/>
        </w:rPr>
      </w:pPr>
      <w:r w:rsidRPr="00A05415">
        <w:rPr>
          <w:rFonts w:eastAsia="Times New Roman"/>
          <w:sz w:val="24"/>
          <w:szCs w:val="24"/>
        </w:rPr>
        <w:t xml:space="preserve">Nous recommandons que la Loi fasse l’objet d’une évaluation indépendante tous les cinq ans. Un comité consultatif formé entre autres de personnes ayant des limitations et de leurs représentant doit participer à cet exercice d’évaluation. Nous pensons qu’une échéance de cinq ans est à la fois réaliste et permet un suivi rapproché de l’application législative. Un suivi serré nous apparait d’autant plus important dans les premières années d’existence de la Loi, puisque toute nouveauté exige une période d’adaptation.  Nous tenons à préciser ici qu’il ne s’agit pas simplement d’évaluer la mise en œuvre de la Loi, mais bien d’analyser les résultats concrets de la Loi en termes d’effets sur la participation sociale des personnes ayant des limitations. </w:t>
      </w:r>
    </w:p>
    <w:p w:rsidR="00A05415" w:rsidRPr="00A05415" w:rsidRDefault="00A05415" w:rsidP="00A05415">
      <w:pPr>
        <w:pStyle w:val="Paragraphedeliste"/>
        <w:rPr>
          <w:rFonts w:eastAsia="Times New Roman"/>
          <w:sz w:val="24"/>
          <w:szCs w:val="24"/>
        </w:rPr>
      </w:pPr>
    </w:p>
    <w:p w:rsidR="00A05415" w:rsidRPr="00A05415" w:rsidRDefault="00A05415" w:rsidP="00A05415">
      <w:pPr>
        <w:rPr>
          <w:rFonts w:eastAsia="Times New Roman"/>
          <w:sz w:val="24"/>
          <w:szCs w:val="24"/>
        </w:rPr>
      </w:pPr>
      <w:r w:rsidRPr="00A05415">
        <w:rPr>
          <w:rFonts w:eastAsia="Times New Roman"/>
          <w:sz w:val="24"/>
          <w:szCs w:val="24"/>
        </w:rPr>
        <w:t>Dans l’optique de connaître la réalité des personnes en situation de handicap dans chacune des régions du pays, nous pensons que le comité consultatif devrait être composé de représentants des milieux communautaires et associatifs de chacune des provinces et territoires. Cette façon de faire s’inscrit dans la philosophie du « pour et par », c’est-à-dire que les gens directement visés par les décisions doivent être partie prenante du processus qui vise à les élaborer et à les mettre en place. Le milieu de la défense des droits des personnes en situation de handicap est un acteur qui est d’une part concerné par l’application de la Loi, mais qui détient aussi une expertise sur les réalités vécues sur le terrain. Pour ces raisons, il se doit d’avoir un poids significatif dans la constitution d’un comité consultatif s’intéressant à l’application de la Loi et ses effets sociaux.</w:t>
      </w:r>
      <w:r w:rsidRPr="00A05415">
        <w:rPr>
          <w:sz w:val="24"/>
          <w:szCs w:val="24"/>
        </w:rPr>
        <w:t xml:space="preserve"> </w:t>
      </w:r>
    </w:p>
    <w:p w:rsidR="00A05415" w:rsidRPr="00A05415" w:rsidRDefault="00A05415" w:rsidP="00A05415">
      <w:pPr>
        <w:pStyle w:val="Titre2"/>
        <w:numPr>
          <w:ilvl w:val="1"/>
          <w:numId w:val="9"/>
        </w:numPr>
        <w:rPr>
          <w:highlight w:val="white"/>
        </w:rPr>
      </w:pPr>
      <w:bookmarkStart w:id="24" w:name="_Toc487539757"/>
      <w:r w:rsidRPr="00A05415">
        <w:rPr>
          <w:highlight w:val="white"/>
        </w:rPr>
        <w:t>Données et statistiques</w:t>
      </w:r>
      <w:bookmarkEnd w:id="24"/>
      <w:r w:rsidR="00022DE5" w:rsidRPr="00A05415">
        <w:rPr>
          <w:highlight w:val="white"/>
        </w:rPr>
        <w:tab/>
      </w:r>
    </w:p>
    <w:p w:rsidR="00890060" w:rsidRPr="00890060" w:rsidRDefault="00890060" w:rsidP="00890060">
      <w:pPr>
        <w:rPr>
          <w:rFonts w:eastAsia="Times New Roman"/>
          <w:sz w:val="24"/>
          <w:szCs w:val="24"/>
        </w:rPr>
      </w:pPr>
      <w:r w:rsidRPr="00890060">
        <w:rPr>
          <w:rFonts w:eastAsia="Times New Roman"/>
          <w:sz w:val="24"/>
          <w:szCs w:val="24"/>
        </w:rPr>
        <w:t>Afin de mesurer l’inclusion des personnes ayant des limitations fonctionnelles au sein de notre société et de bien cerner leurs besoins, il importe de colliger des informations à ce sujet. Ainsi, il faut inclure, comme c’est fait dans l’analyse différenciée selon les sexes, dans toutes les recherches ou études statistiques, une analyse différenciée selon les capacités, c’est-à-dire faire ressortir la spécificité des personnes ayant des limitations fonctionnelles dans l’ensemble des données collectées.</w:t>
      </w:r>
      <w:r>
        <w:rPr>
          <w:rFonts w:eastAsia="Times New Roman"/>
          <w:sz w:val="24"/>
          <w:szCs w:val="24"/>
        </w:rPr>
        <w:t xml:space="preserve"> Une telle pratique s’inscrirait en conformité avec l’article 31 de la CDPH.</w:t>
      </w:r>
    </w:p>
    <w:p w:rsidR="004A0F77" w:rsidRPr="00E5533D" w:rsidRDefault="004A0F77" w:rsidP="003A6213">
      <w:pPr>
        <w:rPr>
          <w:b/>
          <w:sz w:val="24"/>
          <w:szCs w:val="24"/>
          <w:highlight w:val="white"/>
        </w:rPr>
      </w:pPr>
    </w:p>
    <w:p w:rsidR="00453F1B" w:rsidRDefault="00453F1B">
      <w:pPr>
        <w:rPr>
          <w:sz w:val="40"/>
          <w:szCs w:val="40"/>
          <w:highlight w:val="white"/>
        </w:rPr>
      </w:pPr>
      <w:r>
        <w:rPr>
          <w:highlight w:val="white"/>
        </w:rPr>
        <w:br w:type="page"/>
      </w:r>
    </w:p>
    <w:p w:rsidR="004A0F77" w:rsidRDefault="005D3650" w:rsidP="006C1FB0">
      <w:pPr>
        <w:pStyle w:val="Titre1"/>
        <w:numPr>
          <w:ilvl w:val="0"/>
          <w:numId w:val="9"/>
        </w:numPr>
        <w:rPr>
          <w:highlight w:val="white"/>
        </w:rPr>
      </w:pPr>
      <w:bookmarkStart w:id="25" w:name="_Toc487539758"/>
      <w:r w:rsidRPr="00E5533D">
        <w:rPr>
          <w:highlight w:val="white"/>
        </w:rPr>
        <w:lastRenderedPageBreak/>
        <w:t>Dispositions spécifiques à certains domaines</w:t>
      </w:r>
      <w:bookmarkEnd w:id="25"/>
    </w:p>
    <w:p w:rsidR="007173EE" w:rsidRDefault="007173EE" w:rsidP="003A6213">
      <w:pPr>
        <w:rPr>
          <w:b/>
          <w:sz w:val="24"/>
          <w:szCs w:val="24"/>
          <w:highlight w:val="white"/>
        </w:rPr>
      </w:pPr>
    </w:p>
    <w:p w:rsidR="00041B82" w:rsidRDefault="00B5123E">
      <w:pPr>
        <w:rPr>
          <w:sz w:val="24"/>
          <w:szCs w:val="24"/>
          <w:highlight w:val="white"/>
        </w:rPr>
      </w:pPr>
      <w:r>
        <w:rPr>
          <w:sz w:val="24"/>
          <w:szCs w:val="24"/>
          <w:highlight w:val="white"/>
        </w:rPr>
        <w:t xml:space="preserve">Nous consacrerons cette rubrique au traitement que devrait à notre avis réserver la </w:t>
      </w:r>
      <w:r w:rsidR="00393955">
        <w:rPr>
          <w:sz w:val="24"/>
          <w:szCs w:val="24"/>
          <w:highlight w:val="white"/>
        </w:rPr>
        <w:t>L</w:t>
      </w:r>
      <w:r>
        <w:rPr>
          <w:sz w:val="24"/>
          <w:szCs w:val="24"/>
          <w:highlight w:val="white"/>
        </w:rPr>
        <w:t xml:space="preserve">oi </w:t>
      </w:r>
      <w:r w:rsidR="00E13632">
        <w:rPr>
          <w:sz w:val="24"/>
          <w:szCs w:val="24"/>
          <w:highlight w:val="white"/>
        </w:rPr>
        <w:t>à certains domaines spécifiques. Nous aborderons donc</w:t>
      </w:r>
      <w:r>
        <w:rPr>
          <w:sz w:val="24"/>
          <w:szCs w:val="24"/>
          <w:highlight w:val="white"/>
        </w:rPr>
        <w:t xml:space="preserve"> les droits linguistiques, l’emploi et le soutien au revenu, le</w:t>
      </w:r>
      <w:r w:rsidR="00052357">
        <w:rPr>
          <w:sz w:val="24"/>
          <w:szCs w:val="24"/>
          <w:highlight w:val="white"/>
        </w:rPr>
        <w:t xml:space="preserve"> transport,</w:t>
      </w:r>
      <w:r>
        <w:rPr>
          <w:sz w:val="24"/>
          <w:szCs w:val="24"/>
          <w:highlight w:val="white"/>
        </w:rPr>
        <w:t xml:space="preserve"> l’environnement bâti, </w:t>
      </w:r>
      <w:r w:rsidR="00052357">
        <w:rPr>
          <w:sz w:val="24"/>
          <w:szCs w:val="24"/>
          <w:highlight w:val="white"/>
        </w:rPr>
        <w:t>les loisirs et la technologie.</w:t>
      </w:r>
    </w:p>
    <w:p w:rsidR="00C541C3" w:rsidRDefault="00C541C3" w:rsidP="006C1FB0">
      <w:pPr>
        <w:pStyle w:val="Titre2"/>
        <w:numPr>
          <w:ilvl w:val="1"/>
          <w:numId w:val="9"/>
        </w:numPr>
        <w:rPr>
          <w:highlight w:val="white"/>
        </w:rPr>
      </w:pPr>
      <w:bookmarkStart w:id="26" w:name="_Toc487539759"/>
      <w:r>
        <w:rPr>
          <w:highlight w:val="white"/>
        </w:rPr>
        <w:t>Les droits linguistiques</w:t>
      </w:r>
      <w:bookmarkEnd w:id="26"/>
    </w:p>
    <w:p w:rsidR="00041B82" w:rsidRDefault="00C541C3">
      <w:pPr>
        <w:rPr>
          <w:sz w:val="24"/>
          <w:szCs w:val="24"/>
          <w:highlight w:val="white"/>
        </w:rPr>
      </w:pPr>
      <w:r>
        <w:rPr>
          <w:sz w:val="24"/>
          <w:szCs w:val="24"/>
          <w:highlight w:val="white"/>
        </w:rPr>
        <w:t>Il nous apparaît essentiel et primordial que le Canada reconnaisse comme langues officielles la Langue des Signes Québécoise (</w:t>
      </w:r>
      <w:r w:rsidR="00052357">
        <w:rPr>
          <w:sz w:val="24"/>
          <w:szCs w:val="24"/>
          <w:highlight w:val="white"/>
        </w:rPr>
        <w:t>LSQ</w:t>
      </w:r>
      <w:r>
        <w:rPr>
          <w:sz w:val="24"/>
          <w:szCs w:val="24"/>
          <w:highlight w:val="white"/>
        </w:rPr>
        <w:t xml:space="preserve">) </w:t>
      </w:r>
      <w:r w:rsidR="00052357">
        <w:rPr>
          <w:sz w:val="24"/>
          <w:szCs w:val="24"/>
          <w:highlight w:val="white"/>
        </w:rPr>
        <w:t xml:space="preserve">et </w:t>
      </w:r>
      <w:r>
        <w:rPr>
          <w:sz w:val="24"/>
          <w:szCs w:val="24"/>
          <w:highlight w:val="white"/>
        </w:rPr>
        <w:t xml:space="preserve">l’American </w:t>
      </w:r>
      <w:proofErr w:type="spellStart"/>
      <w:r>
        <w:rPr>
          <w:sz w:val="24"/>
          <w:szCs w:val="24"/>
          <w:highlight w:val="white"/>
        </w:rPr>
        <w:t>Sign</w:t>
      </w:r>
      <w:proofErr w:type="spellEnd"/>
      <w:r>
        <w:rPr>
          <w:sz w:val="24"/>
          <w:szCs w:val="24"/>
          <w:highlight w:val="white"/>
        </w:rPr>
        <w:t xml:space="preserve"> </w:t>
      </w:r>
      <w:proofErr w:type="spellStart"/>
      <w:r>
        <w:rPr>
          <w:sz w:val="24"/>
          <w:szCs w:val="24"/>
          <w:highlight w:val="white"/>
        </w:rPr>
        <w:t>Language</w:t>
      </w:r>
      <w:proofErr w:type="spellEnd"/>
      <w:r>
        <w:rPr>
          <w:sz w:val="24"/>
          <w:szCs w:val="24"/>
          <w:highlight w:val="white"/>
        </w:rPr>
        <w:t xml:space="preserve"> (</w:t>
      </w:r>
      <w:r w:rsidR="00052357">
        <w:rPr>
          <w:sz w:val="24"/>
          <w:szCs w:val="24"/>
          <w:highlight w:val="white"/>
        </w:rPr>
        <w:t>ASL</w:t>
      </w:r>
      <w:r>
        <w:rPr>
          <w:sz w:val="24"/>
          <w:szCs w:val="24"/>
          <w:highlight w:val="white"/>
        </w:rPr>
        <w:t xml:space="preserve">). </w:t>
      </w:r>
      <w:r w:rsidR="00550E8C">
        <w:rPr>
          <w:sz w:val="24"/>
          <w:szCs w:val="24"/>
          <w:highlight w:val="white"/>
        </w:rPr>
        <w:t>Puisque 3,6</w:t>
      </w:r>
      <w:r w:rsidR="00E11800">
        <w:rPr>
          <w:sz w:val="24"/>
          <w:szCs w:val="24"/>
          <w:highlight w:val="white"/>
        </w:rPr>
        <w:t xml:space="preserve">% de la population canadienne </w:t>
      </w:r>
      <w:r w:rsidR="00550E8C">
        <w:rPr>
          <w:sz w:val="24"/>
          <w:szCs w:val="24"/>
          <w:highlight w:val="white"/>
        </w:rPr>
        <w:t xml:space="preserve">vivant avec </w:t>
      </w:r>
      <w:r w:rsidR="00E11800">
        <w:rPr>
          <w:sz w:val="24"/>
          <w:szCs w:val="24"/>
          <w:highlight w:val="white"/>
        </w:rPr>
        <w:t>une incapacité relative à l’ouïe</w:t>
      </w:r>
      <w:r w:rsidR="00550E8C">
        <w:rPr>
          <w:sz w:val="24"/>
          <w:szCs w:val="24"/>
          <w:highlight w:val="white"/>
        </w:rPr>
        <w:t xml:space="preserve"> utilise une langue signée</w:t>
      </w:r>
      <w:r w:rsidR="00E11800">
        <w:rPr>
          <w:rStyle w:val="Appelnotedebasdep"/>
          <w:sz w:val="24"/>
          <w:szCs w:val="24"/>
          <w:highlight w:val="white"/>
        </w:rPr>
        <w:footnoteReference w:id="9"/>
      </w:r>
      <w:r w:rsidR="00E11800">
        <w:rPr>
          <w:sz w:val="24"/>
          <w:szCs w:val="24"/>
          <w:highlight w:val="white"/>
        </w:rPr>
        <w:t xml:space="preserve">, le pays se doit de faire preuve d’ouverture et </w:t>
      </w:r>
      <w:r w:rsidR="00550E8C">
        <w:rPr>
          <w:sz w:val="24"/>
          <w:szCs w:val="24"/>
          <w:highlight w:val="white"/>
        </w:rPr>
        <w:t xml:space="preserve">de </w:t>
      </w:r>
      <w:r w:rsidR="00E11800">
        <w:rPr>
          <w:sz w:val="24"/>
          <w:szCs w:val="24"/>
          <w:highlight w:val="white"/>
        </w:rPr>
        <w:t xml:space="preserve">reconnaître les langues </w:t>
      </w:r>
      <w:r w:rsidR="00550E8C">
        <w:rPr>
          <w:sz w:val="24"/>
          <w:szCs w:val="24"/>
          <w:highlight w:val="white"/>
        </w:rPr>
        <w:t>employées</w:t>
      </w:r>
      <w:r w:rsidR="00550E8C" w:rsidRPr="00550E8C">
        <w:rPr>
          <w:sz w:val="24"/>
          <w:szCs w:val="24"/>
          <w:highlight w:val="white"/>
        </w:rPr>
        <w:t xml:space="preserve"> </w:t>
      </w:r>
      <w:r w:rsidR="00550E8C">
        <w:rPr>
          <w:sz w:val="24"/>
          <w:szCs w:val="24"/>
          <w:highlight w:val="white"/>
        </w:rPr>
        <w:t xml:space="preserve">au quotidien par </w:t>
      </w:r>
      <w:r w:rsidR="00E11800">
        <w:rPr>
          <w:sz w:val="24"/>
          <w:szCs w:val="24"/>
          <w:highlight w:val="white"/>
        </w:rPr>
        <w:t>plusieurs de ses citoyens. Cette reconnaissance permettrait notamment d’assurer aux personnes s’exprimant en LSQ ou en ASL d’avoir une éducation dans une langue qu’ils sont en mesure de comprendre</w:t>
      </w:r>
      <w:r w:rsidR="00550E8C">
        <w:rPr>
          <w:sz w:val="24"/>
          <w:szCs w:val="24"/>
          <w:highlight w:val="white"/>
        </w:rPr>
        <w:t xml:space="preserve"> et </w:t>
      </w:r>
      <w:r w:rsidR="00B83426">
        <w:rPr>
          <w:sz w:val="24"/>
          <w:szCs w:val="24"/>
          <w:highlight w:val="white"/>
        </w:rPr>
        <w:t>de</w:t>
      </w:r>
      <w:r w:rsidR="00550E8C">
        <w:rPr>
          <w:sz w:val="24"/>
          <w:szCs w:val="24"/>
          <w:highlight w:val="white"/>
        </w:rPr>
        <w:t xml:space="preserve"> maîtrise</w:t>
      </w:r>
      <w:r w:rsidR="00B83426">
        <w:rPr>
          <w:sz w:val="24"/>
          <w:szCs w:val="24"/>
          <w:highlight w:val="white"/>
        </w:rPr>
        <w:t>r.</w:t>
      </w:r>
      <w:r w:rsidR="00E11800">
        <w:rPr>
          <w:sz w:val="24"/>
          <w:szCs w:val="24"/>
          <w:highlight w:val="white"/>
        </w:rPr>
        <w:t xml:space="preserve"> </w:t>
      </w:r>
      <w:r w:rsidR="00785647">
        <w:rPr>
          <w:sz w:val="24"/>
          <w:szCs w:val="24"/>
          <w:highlight w:val="white"/>
        </w:rPr>
        <w:t>En ce sens, les statistiques qui démontrent que les personnes ayant une limitatio</w:t>
      </w:r>
      <w:r w:rsidR="00052357">
        <w:rPr>
          <w:sz w:val="24"/>
          <w:szCs w:val="24"/>
          <w:highlight w:val="white"/>
        </w:rPr>
        <w:t>n fonctionnelle d’ordre auditif</w:t>
      </w:r>
      <w:r w:rsidR="00785647">
        <w:rPr>
          <w:sz w:val="24"/>
          <w:szCs w:val="24"/>
          <w:highlight w:val="white"/>
        </w:rPr>
        <w:t xml:space="preserve"> ont en proportion un niveau de scolarité inférieur aux personnes sans limitation attestent de la nécessité </w:t>
      </w:r>
      <w:r w:rsidR="00550E8C">
        <w:rPr>
          <w:sz w:val="24"/>
          <w:szCs w:val="24"/>
          <w:highlight w:val="white"/>
        </w:rPr>
        <w:t xml:space="preserve">pratique </w:t>
      </w:r>
      <w:r w:rsidR="00785647">
        <w:rPr>
          <w:sz w:val="24"/>
          <w:szCs w:val="24"/>
          <w:highlight w:val="white"/>
        </w:rPr>
        <w:t>de reconnaître officiellement ces langues</w:t>
      </w:r>
      <w:r w:rsidR="00785647">
        <w:rPr>
          <w:rStyle w:val="Appelnotedebasdep"/>
          <w:sz w:val="24"/>
          <w:szCs w:val="24"/>
          <w:highlight w:val="white"/>
        </w:rPr>
        <w:footnoteReference w:id="10"/>
      </w:r>
      <w:r w:rsidR="00785647">
        <w:rPr>
          <w:sz w:val="24"/>
          <w:szCs w:val="24"/>
          <w:highlight w:val="white"/>
        </w:rPr>
        <w:t>.</w:t>
      </w:r>
      <w:r w:rsidR="00550E8C">
        <w:rPr>
          <w:sz w:val="24"/>
          <w:szCs w:val="24"/>
          <w:highlight w:val="white"/>
        </w:rPr>
        <w:t xml:space="preserve"> </w:t>
      </w:r>
      <w:r w:rsidR="00E11800">
        <w:rPr>
          <w:sz w:val="24"/>
          <w:szCs w:val="24"/>
          <w:highlight w:val="white"/>
        </w:rPr>
        <w:t>Par le fait même, cette reconnaissance emporterait avec</w:t>
      </w:r>
      <w:r w:rsidR="00B83426">
        <w:rPr>
          <w:sz w:val="24"/>
          <w:szCs w:val="24"/>
          <w:highlight w:val="white"/>
        </w:rPr>
        <w:t xml:space="preserve"> elle</w:t>
      </w:r>
      <w:r w:rsidR="00E11800">
        <w:rPr>
          <w:sz w:val="24"/>
          <w:szCs w:val="24"/>
          <w:highlight w:val="white"/>
        </w:rPr>
        <w:t xml:space="preserve"> un symbole fort d’inclusion et d’ouverture </w:t>
      </w:r>
      <w:r w:rsidR="00720CB7">
        <w:rPr>
          <w:sz w:val="24"/>
          <w:szCs w:val="24"/>
          <w:highlight w:val="white"/>
        </w:rPr>
        <w:t xml:space="preserve">à la différence </w:t>
      </w:r>
      <w:r w:rsidR="00E11800">
        <w:rPr>
          <w:sz w:val="24"/>
          <w:szCs w:val="24"/>
          <w:highlight w:val="white"/>
        </w:rPr>
        <w:t xml:space="preserve">en provenance du gouvernement canadien. </w:t>
      </w:r>
    </w:p>
    <w:p w:rsidR="00550E8C" w:rsidRDefault="00550E8C" w:rsidP="006C1FB0">
      <w:pPr>
        <w:pStyle w:val="Titre2"/>
        <w:numPr>
          <w:ilvl w:val="1"/>
          <w:numId w:val="9"/>
        </w:numPr>
      </w:pPr>
      <w:bookmarkStart w:id="27" w:name="_Toc487539760"/>
      <w:r>
        <w:t>L’emploi et le soutien du revenu</w:t>
      </w:r>
      <w:bookmarkEnd w:id="27"/>
    </w:p>
    <w:p w:rsidR="00041B82" w:rsidRDefault="00550E8C">
      <w:pPr>
        <w:pStyle w:val="Paragraphedeliste"/>
        <w:ind w:left="0"/>
        <w:rPr>
          <w:sz w:val="24"/>
          <w:szCs w:val="24"/>
        </w:rPr>
      </w:pPr>
      <w:r>
        <w:rPr>
          <w:sz w:val="24"/>
          <w:szCs w:val="24"/>
        </w:rPr>
        <w:t>La lutte à la pauvreté est un enjeu social qui doit faire partie des premières préoccupations du gouvernement du Canada. Cette problématique sociale frappe de plein fouet les personnes en sit</w:t>
      </w:r>
      <w:r w:rsidR="00ED1BF8">
        <w:rPr>
          <w:sz w:val="24"/>
          <w:szCs w:val="24"/>
        </w:rPr>
        <w:t xml:space="preserve">uation de handicap. Au Québec, 55% de la population </w:t>
      </w:r>
      <w:r w:rsidR="00312402">
        <w:rPr>
          <w:sz w:val="24"/>
          <w:szCs w:val="24"/>
        </w:rPr>
        <w:t xml:space="preserve">ayant des limitations fonctionnelles </w:t>
      </w:r>
      <w:r w:rsidR="00ED1BF8">
        <w:rPr>
          <w:sz w:val="24"/>
          <w:szCs w:val="24"/>
        </w:rPr>
        <w:t>âgée entre 15 et 64 ans a des revenus annuels inférieurs à 15 000$</w:t>
      </w:r>
      <w:r w:rsidR="00961BA6">
        <w:rPr>
          <w:rStyle w:val="Appelnotedebasdep"/>
          <w:sz w:val="24"/>
          <w:szCs w:val="24"/>
        </w:rPr>
        <w:footnoteReference w:id="11"/>
      </w:r>
      <w:r w:rsidR="00ED1BF8">
        <w:rPr>
          <w:sz w:val="24"/>
          <w:szCs w:val="24"/>
        </w:rPr>
        <w:t xml:space="preserve">. </w:t>
      </w:r>
      <w:r w:rsidR="00961BA6">
        <w:rPr>
          <w:sz w:val="24"/>
          <w:szCs w:val="24"/>
        </w:rPr>
        <w:t xml:space="preserve">Pour pallier à cette situation, le gouvernement canadien se doit </w:t>
      </w:r>
      <w:r w:rsidR="00312402">
        <w:rPr>
          <w:sz w:val="24"/>
          <w:szCs w:val="24"/>
        </w:rPr>
        <w:t>de montrer l’exemple et d’employer plus de</w:t>
      </w:r>
      <w:r w:rsidR="008E463D">
        <w:rPr>
          <w:sz w:val="24"/>
          <w:szCs w:val="24"/>
        </w:rPr>
        <w:t xml:space="preserve"> personnes ayant des limitations fonctionnelles</w:t>
      </w:r>
      <w:r w:rsidR="00312402">
        <w:rPr>
          <w:sz w:val="24"/>
          <w:szCs w:val="24"/>
        </w:rPr>
        <w:t>,</w:t>
      </w:r>
      <w:r w:rsidR="008E463D">
        <w:rPr>
          <w:sz w:val="24"/>
          <w:szCs w:val="24"/>
        </w:rPr>
        <w:t xml:space="preserve"> notamment en mettant en œuvre le principe de discrimination positive et </w:t>
      </w:r>
      <w:r w:rsidR="00646CF3">
        <w:rPr>
          <w:sz w:val="24"/>
          <w:szCs w:val="24"/>
        </w:rPr>
        <w:t xml:space="preserve">en </w:t>
      </w:r>
      <w:r w:rsidR="00312402">
        <w:rPr>
          <w:sz w:val="24"/>
          <w:szCs w:val="24"/>
        </w:rPr>
        <w:t>prom</w:t>
      </w:r>
      <w:r w:rsidR="00813815">
        <w:rPr>
          <w:sz w:val="24"/>
          <w:szCs w:val="24"/>
        </w:rPr>
        <w:t>ouvant</w:t>
      </w:r>
      <w:r w:rsidR="00B3497B">
        <w:rPr>
          <w:sz w:val="24"/>
          <w:szCs w:val="24"/>
        </w:rPr>
        <w:t xml:space="preserve"> des mesures incitant </w:t>
      </w:r>
      <w:r w:rsidR="00CA79FA">
        <w:rPr>
          <w:sz w:val="24"/>
          <w:szCs w:val="24"/>
        </w:rPr>
        <w:t xml:space="preserve">fortement </w:t>
      </w:r>
      <w:r w:rsidR="00B3497B">
        <w:rPr>
          <w:sz w:val="24"/>
          <w:szCs w:val="24"/>
        </w:rPr>
        <w:t>l’emploi des personnes en situation</w:t>
      </w:r>
      <w:r w:rsidR="00CA79FA">
        <w:rPr>
          <w:sz w:val="24"/>
          <w:szCs w:val="24"/>
        </w:rPr>
        <w:t xml:space="preserve"> de handicap par les assujettis. L’objectif devrait être d’atteindre la représentation réelle des personnes en situation de handicap au nive</w:t>
      </w:r>
      <w:r w:rsidR="00982D00">
        <w:rPr>
          <w:sz w:val="24"/>
          <w:szCs w:val="24"/>
        </w:rPr>
        <w:t xml:space="preserve">au de la population canadienne, qui s’élève à </w:t>
      </w:r>
      <w:r w:rsidR="00CA79FA">
        <w:rPr>
          <w:sz w:val="24"/>
          <w:szCs w:val="24"/>
        </w:rPr>
        <w:t>13,7%</w:t>
      </w:r>
      <w:r w:rsidR="00CA79FA">
        <w:rPr>
          <w:rStyle w:val="Appelnotedebasdep"/>
          <w:sz w:val="24"/>
          <w:szCs w:val="24"/>
        </w:rPr>
        <w:footnoteReference w:id="12"/>
      </w:r>
      <w:r w:rsidR="00CA79FA">
        <w:rPr>
          <w:sz w:val="24"/>
          <w:szCs w:val="24"/>
        </w:rPr>
        <w:t>,</w:t>
      </w:r>
      <w:r w:rsidR="00B3497B">
        <w:rPr>
          <w:sz w:val="24"/>
          <w:szCs w:val="24"/>
        </w:rPr>
        <w:t xml:space="preserve"> </w:t>
      </w:r>
      <w:r w:rsidR="00CA79FA">
        <w:rPr>
          <w:sz w:val="24"/>
          <w:szCs w:val="24"/>
        </w:rPr>
        <w:t xml:space="preserve">dans le milieu de l’emploi. </w:t>
      </w:r>
      <w:r w:rsidR="00456093">
        <w:rPr>
          <w:sz w:val="24"/>
          <w:szCs w:val="24"/>
          <w:highlight w:val="white"/>
        </w:rPr>
        <w:t xml:space="preserve">De même, il est important de prévoir un soutien au revenu pour les </w:t>
      </w:r>
      <w:r w:rsidR="00456093">
        <w:rPr>
          <w:sz w:val="24"/>
          <w:szCs w:val="24"/>
          <w:highlight w:val="white"/>
        </w:rPr>
        <w:lastRenderedPageBreak/>
        <w:t>personnes ayant des limitations fonctionnelles dans le but de compenser les dépenses qu’elles doivent engager a</w:t>
      </w:r>
      <w:r w:rsidR="00982D00">
        <w:rPr>
          <w:sz w:val="24"/>
          <w:szCs w:val="24"/>
          <w:highlight w:val="white"/>
        </w:rPr>
        <w:t>fin de pallier à leur handicap</w:t>
      </w:r>
      <w:r w:rsidR="00982D00">
        <w:rPr>
          <w:sz w:val="24"/>
          <w:szCs w:val="24"/>
        </w:rPr>
        <w:t xml:space="preserve"> et de ne pas laisser perdurer un état de pauvreté systémique pour cette portion de la population. </w:t>
      </w:r>
    </w:p>
    <w:p w:rsidR="004A0F77" w:rsidRDefault="00BB50D0" w:rsidP="006C1FB0">
      <w:pPr>
        <w:pStyle w:val="Titre2"/>
        <w:numPr>
          <w:ilvl w:val="1"/>
          <w:numId w:val="9"/>
        </w:numPr>
        <w:rPr>
          <w:highlight w:val="white"/>
        </w:rPr>
      </w:pPr>
      <w:bookmarkStart w:id="28" w:name="_Toc487539761"/>
      <w:r>
        <w:rPr>
          <w:highlight w:val="white"/>
        </w:rPr>
        <w:t>Transport</w:t>
      </w:r>
      <w:bookmarkEnd w:id="28"/>
      <w:r w:rsidR="005D3650" w:rsidRPr="00E5533D">
        <w:rPr>
          <w:highlight w:val="white"/>
        </w:rPr>
        <w:t xml:space="preserve"> </w:t>
      </w:r>
    </w:p>
    <w:p w:rsidR="00041B82" w:rsidRDefault="004F008D">
      <w:pPr>
        <w:rPr>
          <w:sz w:val="24"/>
          <w:szCs w:val="24"/>
          <w:highlight w:val="white"/>
        </w:rPr>
      </w:pPr>
      <w:r>
        <w:rPr>
          <w:sz w:val="24"/>
          <w:szCs w:val="24"/>
          <w:highlight w:val="white"/>
        </w:rPr>
        <w:t xml:space="preserve">La </w:t>
      </w:r>
      <w:r w:rsidR="00C17E5C">
        <w:rPr>
          <w:sz w:val="24"/>
          <w:szCs w:val="24"/>
          <w:highlight w:val="white"/>
        </w:rPr>
        <w:t>L</w:t>
      </w:r>
      <w:r>
        <w:rPr>
          <w:sz w:val="24"/>
          <w:szCs w:val="24"/>
          <w:highlight w:val="white"/>
        </w:rPr>
        <w:t xml:space="preserve">oi envisagée par le parlement canadien </w:t>
      </w:r>
      <w:r w:rsidR="005E5D36">
        <w:rPr>
          <w:sz w:val="24"/>
          <w:szCs w:val="24"/>
          <w:highlight w:val="white"/>
        </w:rPr>
        <w:t xml:space="preserve">est entre autres l’occasion </w:t>
      </w:r>
      <w:r w:rsidR="005A302E">
        <w:rPr>
          <w:sz w:val="24"/>
          <w:szCs w:val="24"/>
          <w:highlight w:val="white"/>
        </w:rPr>
        <w:t xml:space="preserve">d’aborder les problématiques vécues par les personnes en situation de handicap dans le domaine du transport interprovincial et </w:t>
      </w:r>
      <w:r w:rsidR="00490EC5">
        <w:rPr>
          <w:sz w:val="24"/>
          <w:szCs w:val="24"/>
          <w:highlight w:val="white"/>
        </w:rPr>
        <w:t>international</w:t>
      </w:r>
      <w:r w:rsidR="005A302E">
        <w:rPr>
          <w:sz w:val="24"/>
          <w:szCs w:val="24"/>
          <w:highlight w:val="white"/>
        </w:rPr>
        <w:t xml:space="preserve">. </w:t>
      </w:r>
      <w:r w:rsidR="00327E59">
        <w:rPr>
          <w:sz w:val="24"/>
          <w:szCs w:val="24"/>
          <w:highlight w:val="white"/>
        </w:rPr>
        <w:t xml:space="preserve">Ainsi, nous pensons qu’il est nécessaire que les normes d’accessibilité </w:t>
      </w:r>
      <w:r w:rsidR="00982D00">
        <w:rPr>
          <w:sz w:val="24"/>
          <w:szCs w:val="24"/>
          <w:highlight w:val="white"/>
        </w:rPr>
        <w:t xml:space="preserve">en matière de transport </w:t>
      </w:r>
      <w:r w:rsidR="00327E59">
        <w:rPr>
          <w:sz w:val="24"/>
          <w:szCs w:val="24"/>
          <w:highlight w:val="white"/>
        </w:rPr>
        <w:t xml:space="preserve">soient contraignantes et que les usagers </w:t>
      </w:r>
      <w:r w:rsidR="00982D00">
        <w:rPr>
          <w:sz w:val="24"/>
          <w:szCs w:val="24"/>
          <w:highlight w:val="white"/>
        </w:rPr>
        <w:t xml:space="preserve">en situation de handicap </w:t>
      </w:r>
      <w:r w:rsidR="00327E59">
        <w:rPr>
          <w:sz w:val="24"/>
          <w:szCs w:val="24"/>
          <w:highlight w:val="white"/>
        </w:rPr>
        <w:t xml:space="preserve">puissent obtenir un service équivalent aux personnes </w:t>
      </w:r>
      <w:r w:rsidR="00813815">
        <w:rPr>
          <w:sz w:val="24"/>
          <w:szCs w:val="24"/>
          <w:highlight w:val="white"/>
        </w:rPr>
        <w:t>sans incapacités</w:t>
      </w:r>
      <w:r w:rsidR="00327E59">
        <w:rPr>
          <w:sz w:val="24"/>
          <w:szCs w:val="24"/>
          <w:highlight w:val="white"/>
        </w:rPr>
        <w:t xml:space="preserve"> et ce, peu importe le mode de transport qu’ils </w:t>
      </w:r>
      <w:r w:rsidR="00022DE5">
        <w:rPr>
          <w:sz w:val="24"/>
          <w:szCs w:val="24"/>
          <w:highlight w:val="white"/>
        </w:rPr>
        <w:t>choisissent.</w:t>
      </w:r>
      <w:r w:rsidR="00327E59">
        <w:rPr>
          <w:sz w:val="24"/>
          <w:szCs w:val="24"/>
          <w:highlight w:val="white"/>
        </w:rPr>
        <w:t xml:space="preserve"> </w:t>
      </w:r>
      <w:r w:rsidR="00A62BB4">
        <w:rPr>
          <w:sz w:val="24"/>
          <w:szCs w:val="24"/>
          <w:highlight w:val="white"/>
        </w:rPr>
        <w:t>Faire autrement aurait pour effet de négliger l’applica</w:t>
      </w:r>
      <w:r w:rsidR="00982D00">
        <w:rPr>
          <w:sz w:val="24"/>
          <w:szCs w:val="24"/>
          <w:highlight w:val="white"/>
        </w:rPr>
        <w:t xml:space="preserve">bilité des normes législatives et de ne pas permettre une pleine et entière liberté de choix aux personnes ayant des limitations fonctionnelles. </w:t>
      </w:r>
    </w:p>
    <w:p w:rsidR="00041B82" w:rsidRDefault="00041B82">
      <w:pPr>
        <w:rPr>
          <w:sz w:val="24"/>
          <w:szCs w:val="24"/>
          <w:highlight w:val="yellow"/>
        </w:rPr>
      </w:pPr>
    </w:p>
    <w:p w:rsidR="00041B82" w:rsidRDefault="00022DE5" w:rsidP="006C1FB0">
      <w:pPr>
        <w:rPr>
          <w:sz w:val="24"/>
          <w:szCs w:val="24"/>
        </w:rPr>
      </w:pPr>
      <w:r w:rsidRPr="00022DE5">
        <w:rPr>
          <w:sz w:val="24"/>
          <w:szCs w:val="24"/>
        </w:rPr>
        <w:t xml:space="preserve">Nous vous invitons à consulter les recommandations que nous avions émises dans le cadre de notre mémoire </w:t>
      </w:r>
      <w:hyperlink r:id="rId10" w:history="1">
        <w:r w:rsidRPr="00027333">
          <w:rPr>
            <w:rStyle w:val="Lienhypertexte"/>
            <w:i/>
            <w:sz w:val="24"/>
            <w:szCs w:val="24"/>
          </w:rPr>
          <w:t>Avis sur l’initiative de modernisation de la réglementation de l’Office des transports du Canada – Transports accessibles</w:t>
        </w:r>
      </w:hyperlink>
      <w:r w:rsidRPr="00022DE5">
        <w:rPr>
          <w:sz w:val="24"/>
          <w:szCs w:val="24"/>
        </w:rPr>
        <w:t xml:space="preserve"> remis </w:t>
      </w:r>
      <w:r w:rsidR="00813815">
        <w:rPr>
          <w:sz w:val="24"/>
          <w:szCs w:val="24"/>
        </w:rPr>
        <w:t xml:space="preserve">à l’Office des transports du Canada </w:t>
      </w:r>
      <w:r w:rsidRPr="00022DE5">
        <w:rPr>
          <w:sz w:val="24"/>
          <w:szCs w:val="24"/>
        </w:rPr>
        <w:t>en septembre 2016</w:t>
      </w:r>
      <w:r w:rsidRPr="00022DE5">
        <w:rPr>
          <w:rStyle w:val="Appelnotedebasdep"/>
          <w:sz w:val="24"/>
          <w:szCs w:val="24"/>
        </w:rPr>
        <w:footnoteReference w:id="13"/>
      </w:r>
      <w:r w:rsidRPr="00022DE5">
        <w:rPr>
          <w:sz w:val="24"/>
          <w:szCs w:val="24"/>
        </w:rPr>
        <w:t>.</w:t>
      </w:r>
    </w:p>
    <w:p w:rsidR="00D00351" w:rsidRDefault="00D00351" w:rsidP="006C1FB0">
      <w:pPr>
        <w:pStyle w:val="Titre2"/>
        <w:numPr>
          <w:ilvl w:val="1"/>
          <w:numId w:val="9"/>
        </w:numPr>
        <w:rPr>
          <w:highlight w:val="white"/>
        </w:rPr>
      </w:pPr>
      <w:bookmarkStart w:id="29" w:name="_Toc487539762"/>
      <w:r>
        <w:rPr>
          <w:highlight w:val="white"/>
        </w:rPr>
        <w:t>Environnement bâti</w:t>
      </w:r>
      <w:bookmarkEnd w:id="29"/>
    </w:p>
    <w:p w:rsidR="00041B82" w:rsidRDefault="00C6481E">
      <w:pPr>
        <w:rPr>
          <w:sz w:val="24"/>
          <w:szCs w:val="24"/>
          <w:highlight w:val="white"/>
        </w:rPr>
      </w:pPr>
      <w:r>
        <w:rPr>
          <w:sz w:val="24"/>
          <w:szCs w:val="24"/>
          <w:highlight w:val="white"/>
        </w:rPr>
        <w:t xml:space="preserve">Plusieurs revendications ont déjà été portées par </w:t>
      </w:r>
      <w:r w:rsidR="001B3897">
        <w:rPr>
          <w:sz w:val="24"/>
          <w:szCs w:val="24"/>
          <w:highlight w:val="white"/>
        </w:rPr>
        <w:t>la COPHAN</w:t>
      </w:r>
      <w:r>
        <w:rPr>
          <w:sz w:val="24"/>
          <w:szCs w:val="24"/>
          <w:highlight w:val="white"/>
        </w:rPr>
        <w:t xml:space="preserve"> dans le domaine de l’accessibilité architecturale. Nous indiquerons donc les éléments </w:t>
      </w:r>
      <w:r w:rsidR="00393955">
        <w:rPr>
          <w:sz w:val="24"/>
          <w:szCs w:val="24"/>
          <w:highlight w:val="white"/>
        </w:rPr>
        <w:t>qui doivent être inclus dans</w:t>
      </w:r>
      <w:r>
        <w:rPr>
          <w:sz w:val="24"/>
          <w:szCs w:val="24"/>
          <w:highlight w:val="white"/>
        </w:rPr>
        <w:t xml:space="preserve"> la </w:t>
      </w:r>
      <w:r w:rsidR="00393955">
        <w:rPr>
          <w:sz w:val="24"/>
          <w:szCs w:val="24"/>
          <w:highlight w:val="white"/>
        </w:rPr>
        <w:t>L</w:t>
      </w:r>
      <w:r>
        <w:rPr>
          <w:sz w:val="24"/>
          <w:szCs w:val="24"/>
          <w:highlight w:val="white"/>
        </w:rPr>
        <w:t>oi. Nous encourageons cependant les lecteurs à consulter les</w:t>
      </w:r>
      <w:r w:rsidR="00754A04">
        <w:rPr>
          <w:sz w:val="24"/>
          <w:szCs w:val="24"/>
          <w:highlight w:val="white"/>
        </w:rPr>
        <w:t xml:space="preserve"> autres mémoires rédigés par notre organisme </w:t>
      </w:r>
      <w:r>
        <w:rPr>
          <w:sz w:val="24"/>
          <w:szCs w:val="24"/>
          <w:highlight w:val="white"/>
        </w:rPr>
        <w:t>dans ce champ d’activité</w:t>
      </w:r>
      <w:r w:rsidR="00754A04">
        <w:rPr>
          <w:sz w:val="24"/>
          <w:szCs w:val="24"/>
          <w:highlight w:val="white"/>
        </w:rPr>
        <w:t xml:space="preserve"> afin de profiter de davantage de détails</w:t>
      </w:r>
      <w:r w:rsidR="00813815">
        <w:rPr>
          <w:rStyle w:val="Appelnotedebasdep"/>
          <w:sz w:val="24"/>
          <w:szCs w:val="24"/>
          <w:highlight w:val="white"/>
        </w:rPr>
        <w:footnoteReference w:id="14"/>
      </w:r>
      <w:r>
        <w:rPr>
          <w:sz w:val="24"/>
          <w:szCs w:val="24"/>
          <w:highlight w:val="white"/>
        </w:rPr>
        <w:t>.</w:t>
      </w:r>
      <w:r w:rsidR="00754A04">
        <w:rPr>
          <w:sz w:val="24"/>
          <w:szCs w:val="24"/>
          <w:highlight w:val="white"/>
        </w:rPr>
        <w:t xml:space="preserve"> </w:t>
      </w:r>
      <w:r>
        <w:rPr>
          <w:sz w:val="24"/>
          <w:szCs w:val="24"/>
          <w:highlight w:val="white"/>
        </w:rPr>
        <w:t xml:space="preserve"> </w:t>
      </w:r>
    </w:p>
    <w:p w:rsidR="00041B82" w:rsidRDefault="00041B82">
      <w:pPr>
        <w:rPr>
          <w:sz w:val="24"/>
          <w:szCs w:val="24"/>
          <w:highlight w:val="white"/>
        </w:rPr>
      </w:pPr>
    </w:p>
    <w:p w:rsidR="00041B82" w:rsidRDefault="00646CF3" w:rsidP="006C1FB0">
      <w:pPr>
        <w:rPr>
          <w:sz w:val="24"/>
          <w:szCs w:val="24"/>
          <w:highlight w:val="white"/>
        </w:rPr>
      </w:pPr>
      <w:r>
        <w:rPr>
          <w:sz w:val="24"/>
          <w:szCs w:val="24"/>
          <w:highlight w:val="white"/>
        </w:rPr>
        <w:t>En ce qui a trait à</w:t>
      </w:r>
      <w:r w:rsidR="00C6481E">
        <w:rPr>
          <w:sz w:val="24"/>
          <w:szCs w:val="24"/>
          <w:highlight w:val="white"/>
        </w:rPr>
        <w:t xml:space="preserve"> l’environnement bâti</w:t>
      </w:r>
      <w:r>
        <w:rPr>
          <w:sz w:val="24"/>
          <w:szCs w:val="24"/>
          <w:highlight w:val="white"/>
        </w:rPr>
        <w:t>, nous pensons que</w:t>
      </w:r>
      <w:r w:rsidR="00C6481E">
        <w:rPr>
          <w:sz w:val="24"/>
          <w:szCs w:val="24"/>
          <w:highlight w:val="white"/>
        </w:rPr>
        <w:t xml:space="preserve"> les </w:t>
      </w:r>
      <w:r w:rsidR="00FF26D8">
        <w:rPr>
          <w:sz w:val="24"/>
          <w:szCs w:val="24"/>
          <w:highlight w:val="white"/>
        </w:rPr>
        <w:t>personnes morales assujetties</w:t>
      </w:r>
      <w:r w:rsidR="00C6481E">
        <w:rPr>
          <w:sz w:val="24"/>
          <w:szCs w:val="24"/>
          <w:highlight w:val="white"/>
        </w:rPr>
        <w:t xml:space="preserve"> </w:t>
      </w:r>
      <w:r>
        <w:rPr>
          <w:sz w:val="24"/>
          <w:szCs w:val="24"/>
          <w:highlight w:val="white"/>
        </w:rPr>
        <w:t>dev</w:t>
      </w:r>
      <w:r w:rsidR="00393955">
        <w:rPr>
          <w:sz w:val="24"/>
          <w:szCs w:val="24"/>
          <w:highlight w:val="white"/>
        </w:rPr>
        <w:t>r</w:t>
      </w:r>
      <w:r>
        <w:rPr>
          <w:sz w:val="24"/>
          <w:szCs w:val="24"/>
          <w:highlight w:val="white"/>
        </w:rPr>
        <w:t>ai</w:t>
      </w:r>
      <w:r w:rsidR="00393955">
        <w:rPr>
          <w:sz w:val="24"/>
          <w:szCs w:val="24"/>
          <w:highlight w:val="white"/>
        </w:rPr>
        <w:t>en</w:t>
      </w:r>
      <w:r>
        <w:rPr>
          <w:sz w:val="24"/>
          <w:szCs w:val="24"/>
          <w:highlight w:val="white"/>
        </w:rPr>
        <w:t xml:space="preserve">t avoir l’obligation de </w:t>
      </w:r>
      <w:r w:rsidR="00C6481E">
        <w:rPr>
          <w:sz w:val="24"/>
          <w:szCs w:val="24"/>
          <w:highlight w:val="white"/>
        </w:rPr>
        <w:t>produire une déclaration d’accessibilité. Cette d</w:t>
      </w:r>
      <w:r w:rsidR="00A25076">
        <w:rPr>
          <w:sz w:val="24"/>
          <w:szCs w:val="24"/>
          <w:highlight w:val="white"/>
        </w:rPr>
        <w:t xml:space="preserve">éclaration aurait pour objet d’attester publiquement des éléments d’accessibilité que la personne morale compte </w:t>
      </w:r>
      <w:r>
        <w:rPr>
          <w:sz w:val="24"/>
          <w:szCs w:val="24"/>
          <w:highlight w:val="white"/>
        </w:rPr>
        <w:t>dans le cadre</w:t>
      </w:r>
      <w:r w:rsidR="00A25076">
        <w:rPr>
          <w:sz w:val="24"/>
          <w:szCs w:val="24"/>
          <w:highlight w:val="white"/>
        </w:rPr>
        <w:t xml:space="preserve"> de ses activités. Concrètement, nous encourageons le gouvernement à produire une liste d’éléments déterminés qui permettrait aux entreprises soumises à la </w:t>
      </w:r>
      <w:r w:rsidR="00393955">
        <w:rPr>
          <w:sz w:val="24"/>
          <w:szCs w:val="24"/>
          <w:highlight w:val="white"/>
        </w:rPr>
        <w:t>L</w:t>
      </w:r>
      <w:r w:rsidR="00A25076">
        <w:rPr>
          <w:sz w:val="24"/>
          <w:szCs w:val="24"/>
          <w:highlight w:val="white"/>
        </w:rPr>
        <w:t>oi d’indiq</w:t>
      </w:r>
      <w:r>
        <w:rPr>
          <w:sz w:val="24"/>
          <w:szCs w:val="24"/>
          <w:highlight w:val="white"/>
        </w:rPr>
        <w:t xml:space="preserve">uer si elles possèdent ou non les </w:t>
      </w:r>
      <w:r w:rsidR="00A25076">
        <w:rPr>
          <w:sz w:val="24"/>
          <w:szCs w:val="24"/>
          <w:highlight w:val="white"/>
        </w:rPr>
        <w:t>élément</w:t>
      </w:r>
      <w:r>
        <w:rPr>
          <w:sz w:val="24"/>
          <w:szCs w:val="24"/>
          <w:highlight w:val="white"/>
        </w:rPr>
        <w:t>s</w:t>
      </w:r>
      <w:r w:rsidR="00A25076">
        <w:rPr>
          <w:sz w:val="24"/>
          <w:szCs w:val="24"/>
          <w:highlight w:val="white"/>
        </w:rPr>
        <w:t xml:space="preserve"> en question. </w:t>
      </w:r>
      <w:r w:rsidR="000C0480">
        <w:rPr>
          <w:sz w:val="24"/>
          <w:szCs w:val="24"/>
          <w:highlight w:val="white"/>
        </w:rPr>
        <w:t>En guise d’exemple, nous pourrions évoquer la présence de capsule LSQ</w:t>
      </w:r>
      <w:r w:rsidR="00FF26D8">
        <w:rPr>
          <w:sz w:val="24"/>
          <w:szCs w:val="24"/>
          <w:highlight w:val="white"/>
        </w:rPr>
        <w:t xml:space="preserve"> sur le site web de l’entreprise</w:t>
      </w:r>
      <w:r w:rsidR="000C0480">
        <w:rPr>
          <w:sz w:val="24"/>
          <w:szCs w:val="24"/>
          <w:highlight w:val="white"/>
        </w:rPr>
        <w:t>, la présence d’ascenseur</w:t>
      </w:r>
      <w:r w:rsidR="009453DA">
        <w:rPr>
          <w:sz w:val="24"/>
          <w:szCs w:val="24"/>
          <w:highlight w:val="white"/>
        </w:rPr>
        <w:t xml:space="preserve"> dans se</w:t>
      </w:r>
      <w:r w:rsidR="00FF26D8">
        <w:rPr>
          <w:sz w:val="24"/>
          <w:szCs w:val="24"/>
          <w:highlight w:val="white"/>
        </w:rPr>
        <w:t>s infrastructures</w:t>
      </w:r>
      <w:r w:rsidR="000C0480">
        <w:rPr>
          <w:sz w:val="24"/>
          <w:szCs w:val="24"/>
          <w:highlight w:val="white"/>
        </w:rPr>
        <w:t xml:space="preserve">, l’existence de salles de toilette accessibles, la disponibilité de documents en braille, etc… Une fois cet </w:t>
      </w:r>
      <w:r w:rsidR="00A25076">
        <w:rPr>
          <w:sz w:val="24"/>
          <w:szCs w:val="24"/>
          <w:highlight w:val="white"/>
        </w:rPr>
        <w:t xml:space="preserve">exercice complété, </w:t>
      </w:r>
      <w:r w:rsidR="000C0480">
        <w:rPr>
          <w:sz w:val="24"/>
          <w:szCs w:val="24"/>
          <w:highlight w:val="white"/>
        </w:rPr>
        <w:t xml:space="preserve">la liste des éléments favorisant l’accessibilité devrait être affiché publiquement, notamment </w:t>
      </w:r>
      <w:r w:rsidR="000C0480">
        <w:rPr>
          <w:sz w:val="24"/>
          <w:szCs w:val="24"/>
          <w:highlight w:val="white"/>
        </w:rPr>
        <w:lastRenderedPageBreak/>
        <w:t xml:space="preserve">sur le site web de l’assujetti. Ainsi, le public serait prévenu du niveau d’accessibilité </w:t>
      </w:r>
      <w:r w:rsidR="009E1E42">
        <w:rPr>
          <w:sz w:val="24"/>
          <w:szCs w:val="24"/>
          <w:highlight w:val="white"/>
        </w:rPr>
        <w:t>de la personne</w:t>
      </w:r>
      <w:r w:rsidR="000C0480">
        <w:rPr>
          <w:sz w:val="24"/>
          <w:szCs w:val="24"/>
          <w:highlight w:val="white"/>
        </w:rPr>
        <w:t xml:space="preserve"> </w:t>
      </w:r>
      <w:r w:rsidR="00C17E5C">
        <w:rPr>
          <w:sz w:val="24"/>
          <w:szCs w:val="24"/>
          <w:highlight w:val="white"/>
        </w:rPr>
        <w:t xml:space="preserve">morale </w:t>
      </w:r>
      <w:r w:rsidR="000C0480">
        <w:rPr>
          <w:sz w:val="24"/>
          <w:szCs w:val="24"/>
          <w:highlight w:val="white"/>
        </w:rPr>
        <w:t xml:space="preserve">en question. </w:t>
      </w:r>
    </w:p>
    <w:p w:rsidR="00041B82" w:rsidRDefault="00041B82">
      <w:pPr>
        <w:rPr>
          <w:sz w:val="24"/>
          <w:szCs w:val="24"/>
          <w:highlight w:val="white"/>
        </w:rPr>
      </w:pPr>
    </w:p>
    <w:p w:rsidR="00041B82" w:rsidRDefault="000C0480">
      <w:pPr>
        <w:rPr>
          <w:sz w:val="24"/>
          <w:szCs w:val="24"/>
          <w:highlight w:val="white"/>
        </w:rPr>
      </w:pPr>
      <w:r>
        <w:rPr>
          <w:sz w:val="24"/>
          <w:szCs w:val="24"/>
          <w:highlight w:val="white"/>
        </w:rPr>
        <w:t>Sur la base des informations ainsi collectées, une certification d’accessibilité pourrait être octroyée aux entreprises remplissant l’ensemble des critères édictés par le gouvernement. Cette certification ferait à la fois office de preuve du caractère exemplaire de l’assujetti en plus de servir de moyen de sensibilisation auprès de la population</w:t>
      </w:r>
      <w:r w:rsidR="00FF26D8">
        <w:rPr>
          <w:sz w:val="24"/>
          <w:szCs w:val="24"/>
          <w:highlight w:val="white"/>
        </w:rPr>
        <w:t xml:space="preserve"> en général</w:t>
      </w:r>
      <w:r>
        <w:rPr>
          <w:sz w:val="24"/>
          <w:szCs w:val="24"/>
          <w:highlight w:val="white"/>
        </w:rPr>
        <w:t xml:space="preserve"> et du milieu commercial</w:t>
      </w:r>
      <w:r w:rsidR="00FF26D8">
        <w:rPr>
          <w:sz w:val="24"/>
          <w:szCs w:val="24"/>
          <w:highlight w:val="white"/>
        </w:rPr>
        <w:t xml:space="preserve"> en particulier</w:t>
      </w:r>
      <w:r>
        <w:rPr>
          <w:sz w:val="24"/>
          <w:szCs w:val="24"/>
          <w:highlight w:val="white"/>
        </w:rPr>
        <w:t xml:space="preserve">. </w:t>
      </w:r>
    </w:p>
    <w:p w:rsidR="00041B82" w:rsidRDefault="00041B82">
      <w:pPr>
        <w:rPr>
          <w:sz w:val="24"/>
          <w:szCs w:val="24"/>
          <w:highlight w:val="white"/>
        </w:rPr>
      </w:pPr>
    </w:p>
    <w:p w:rsidR="00041B82" w:rsidRDefault="00FF26D8">
      <w:pPr>
        <w:rPr>
          <w:sz w:val="24"/>
          <w:szCs w:val="24"/>
          <w:highlight w:val="white"/>
        </w:rPr>
      </w:pPr>
      <w:r>
        <w:rPr>
          <w:sz w:val="24"/>
          <w:szCs w:val="24"/>
          <w:highlight w:val="white"/>
        </w:rPr>
        <w:t>Cependant, l</w:t>
      </w:r>
      <w:r w:rsidR="000C0480">
        <w:rPr>
          <w:sz w:val="24"/>
          <w:szCs w:val="24"/>
          <w:highlight w:val="white"/>
        </w:rPr>
        <w:t>a COPHAN</w:t>
      </w:r>
      <w:r w:rsidR="00C17E5C">
        <w:rPr>
          <w:sz w:val="24"/>
          <w:szCs w:val="24"/>
          <w:highlight w:val="white"/>
        </w:rPr>
        <w:t>,</w:t>
      </w:r>
      <w:r w:rsidR="000C0480">
        <w:rPr>
          <w:sz w:val="24"/>
          <w:szCs w:val="24"/>
          <w:highlight w:val="white"/>
        </w:rPr>
        <w:t xml:space="preserve"> consciente du fardeau que ces obligations pourraient faire peser </w:t>
      </w:r>
      <w:r>
        <w:rPr>
          <w:sz w:val="24"/>
          <w:szCs w:val="24"/>
          <w:highlight w:val="white"/>
        </w:rPr>
        <w:t xml:space="preserve">indument </w:t>
      </w:r>
      <w:r w:rsidR="000C0480">
        <w:rPr>
          <w:sz w:val="24"/>
          <w:szCs w:val="24"/>
          <w:highlight w:val="white"/>
        </w:rPr>
        <w:t>sur les petites et moyenne</w:t>
      </w:r>
      <w:r w:rsidR="00973BAC">
        <w:rPr>
          <w:sz w:val="24"/>
          <w:szCs w:val="24"/>
          <w:highlight w:val="white"/>
        </w:rPr>
        <w:t>s entreprises (PME</w:t>
      </w:r>
      <w:r w:rsidR="000C0480">
        <w:rPr>
          <w:sz w:val="24"/>
          <w:szCs w:val="24"/>
          <w:highlight w:val="white"/>
        </w:rPr>
        <w:t>), sugg</w:t>
      </w:r>
      <w:r w:rsidR="00C17E5C">
        <w:rPr>
          <w:sz w:val="24"/>
          <w:szCs w:val="24"/>
          <w:highlight w:val="white"/>
        </w:rPr>
        <w:t>è</w:t>
      </w:r>
      <w:r w:rsidR="00677D6E">
        <w:rPr>
          <w:sz w:val="24"/>
          <w:szCs w:val="24"/>
          <w:highlight w:val="white"/>
        </w:rPr>
        <w:t>r</w:t>
      </w:r>
      <w:r w:rsidR="00C17E5C">
        <w:rPr>
          <w:sz w:val="24"/>
          <w:szCs w:val="24"/>
          <w:highlight w:val="white"/>
        </w:rPr>
        <w:t>e</w:t>
      </w:r>
      <w:r w:rsidR="00677D6E">
        <w:rPr>
          <w:sz w:val="24"/>
          <w:szCs w:val="24"/>
          <w:highlight w:val="white"/>
        </w:rPr>
        <w:t xml:space="preserve"> au gouvernement fédéral </w:t>
      </w:r>
      <w:r w:rsidR="00973BAC">
        <w:rPr>
          <w:sz w:val="24"/>
          <w:szCs w:val="24"/>
          <w:highlight w:val="white"/>
        </w:rPr>
        <w:t>d’élargir la portée et de bonifier le financement du fonds pour l</w:t>
      </w:r>
      <w:r w:rsidR="00677D6E">
        <w:rPr>
          <w:sz w:val="24"/>
          <w:szCs w:val="24"/>
          <w:highlight w:val="white"/>
        </w:rPr>
        <w:t>’accessibilité</w:t>
      </w:r>
      <w:r w:rsidR="00973BAC">
        <w:rPr>
          <w:sz w:val="24"/>
          <w:szCs w:val="24"/>
          <w:highlight w:val="white"/>
        </w:rPr>
        <w:t>.</w:t>
      </w:r>
      <w:r w:rsidR="00677D6E">
        <w:rPr>
          <w:sz w:val="24"/>
          <w:szCs w:val="24"/>
          <w:highlight w:val="white"/>
        </w:rPr>
        <w:t xml:space="preserve"> </w:t>
      </w:r>
      <w:r w:rsidR="00973BAC">
        <w:rPr>
          <w:sz w:val="24"/>
          <w:szCs w:val="24"/>
          <w:highlight w:val="white"/>
        </w:rPr>
        <w:t>Un accès facilité et plus généreux à cette aide financière leur permettrait</w:t>
      </w:r>
      <w:r>
        <w:rPr>
          <w:sz w:val="24"/>
          <w:szCs w:val="24"/>
          <w:highlight w:val="white"/>
        </w:rPr>
        <w:t xml:space="preserve"> de répondre à</w:t>
      </w:r>
      <w:r w:rsidR="00677D6E">
        <w:rPr>
          <w:sz w:val="24"/>
          <w:szCs w:val="24"/>
          <w:highlight w:val="white"/>
        </w:rPr>
        <w:t xml:space="preserve"> leur</w:t>
      </w:r>
      <w:r w:rsidR="00973BAC">
        <w:rPr>
          <w:sz w:val="24"/>
          <w:szCs w:val="24"/>
          <w:highlight w:val="white"/>
        </w:rPr>
        <w:t>s</w:t>
      </w:r>
      <w:r w:rsidR="00677D6E">
        <w:rPr>
          <w:sz w:val="24"/>
          <w:szCs w:val="24"/>
          <w:highlight w:val="white"/>
        </w:rPr>
        <w:t xml:space="preserve"> obligations lég</w:t>
      </w:r>
      <w:r w:rsidR="00973BAC">
        <w:rPr>
          <w:sz w:val="24"/>
          <w:szCs w:val="24"/>
          <w:highlight w:val="white"/>
        </w:rPr>
        <w:t>ales</w:t>
      </w:r>
      <w:r w:rsidR="00677D6E">
        <w:rPr>
          <w:sz w:val="24"/>
          <w:szCs w:val="24"/>
          <w:highlight w:val="white"/>
        </w:rPr>
        <w:t xml:space="preserve"> et d’ainsi éviter la présence d’une disposition</w:t>
      </w:r>
      <w:r w:rsidR="00677D6E" w:rsidRPr="00677D6E">
        <w:rPr>
          <w:sz w:val="24"/>
          <w:szCs w:val="24"/>
          <w:highlight w:val="white"/>
        </w:rPr>
        <w:t xml:space="preserve"> </w:t>
      </w:r>
      <w:r w:rsidR="00677D6E">
        <w:rPr>
          <w:sz w:val="24"/>
          <w:szCs w:val="24"/>
          <w:highlight w:val="white"/>
        </w:rPr>
        <w:t xml:space="preserve">au sein de la </w:t>
      </w:r>
      <w:r w:rsidR="00C17E5C">
        <w:rPr>
          <w:sz w:val="24"/>
          <w:szCs w:val="24"/>
          <w:highlight w:val="white"/>
        </w:rPr>
        <w:t>L</w:t>
      </w:r>
      <w:r w:rsidR="00677D6E">
        <w:rPr>
          <w:sz w:val="24"/>
          <w:szCs w:val="24"/>
          <w:highlight w:val="white"/>
        </w:rPr>
        <w:t xml:space="preserve">oi qui viserait leur exclusion. </w:t>
      </w:r>
      <w:r>
        <w:rPr>
          <w:sz w:val="24"/>
          <w:szCs w:val="24"/>
          <w:highlight w:val="white"/>
        </w:rPr>
        <w:t xml:space="preserve">Une part des sommes </w:t>
      </w:r>
      <w:r w:rsidR="00973BAC">
        <w:rPr>
          <w:sz w:val="24"/>
          <w:szCs w:val="24"/>
          <w:highlight w:val="white"/>
        </w:rPr>
        <w:t>recueillies par le biais</w:t>
      </w:r>
      <w:r>
        <w:rPr>
          <w:sz w:val="24"/>
          <w:szCs w:val="24"/>
          <w:highlight w:val="white"/>
        </w:rPr>
        <w:t xml:space="preserve"> des pénalités et sanctions imposées aux entités contrevenant aux dispositions de la </w:t>
      </w:r>
      <w:r w:rsidR="00C17E5C">
        <w:rPr>
          <w:sz w:val="24"/>
          <w:szCs w:val="24"/>
          <w:highlight w:val="white"/>
        </w:rPr>
        <w:t>L</w:t>
      </w:r>
      <w:r>
        <w:rPr>
          <w:sz w:val="24"/>
          <w:szCs w:val="24"/>
          <w:highlight w:val="white"/>
        </w:rPr>
        <w:t>oi</w:t>
      </w:r>
      <w:r w:rsidR="00973BAC">
        <w:rPr>
          <w:sz w:val="24"/>
          <w:szCs w:val="24"/>
          <w:highlight w:val="white"/>
        </w:rPr>
        <w:t xml:space="preserve"> pourrait être dirigée vers ce fonds</w:t>
      </w:r>
      <w:r>
        <w:rPr>
          <w:sz w:val="24"/>
          <w:szCs w:val="24"/>
          <w:highlight w:val="white"/>
        </w:rPr>
        <w:t>.</w:t>
      </w:r>
    </w:p>
    <w:p w:rsidR="006F6FF8" w:rsidRDefault="004A7F18" w:rsidP="006C1FB0">
      <w:pPr>
        <w:pStyle w:val="Titre2"/>
        <w:numPr>
          <w:ilvl w:val="1"/>
          <w:numId w:val="9"/>
        </w:numPr>
        <w:rPr>
          <w:highlight w:val="white"/>
        </w:rPr>
      </w:pPr>
      <w:bookmarkStart w:id="30" w:name="_Toc487539763"/>
      <w:r>
        <w:rPr>
          <w:highlight w:val="white"/>
        </w:rPr>
        <w:t>Culture, sports, tourisme et l</w:t>
      </w:r>
      <w:r w:rsidR="006F6FF8">
        <w:rPr>
          <w:highlight w:val="white"/>
        </w:rPr>
        <w:t>oisir</w:t>
      </w:r>
      <w:bookmarkEnd w:id="30"/>
    </w:p>
    <w:p w:rsidR="00041B82" w:rsidRDefault="00DD773B">
      <w:pPr>
        <w:rPr>
          <w:sz w:val="24"/>
          <w:szCs w:val="24"/>
          <w:highlight w:val="white"/>
        </w:rPr>
      </w:pPr>
      <w:r>
        <w:rPr>
          <w:sz w:val="24"/>
          <w:szCs w:val="24"/>
          <w:highlight w:val="white"/>
        </w:rPr>
        <w:t xml:space="preserve">La </w:t>
      </w:r>
      <w:r w:rsidR="00C17E5C">
        <w:rPr>
          <w:sz w:val="24"/>
          <w:szCs w:val="24"/>
          <w:highlight w:val="white"/>
        </w:rPr>
        <w:t>L</w:t>
      </w:r>
      <w:r>
        <w:rPr>
          <w:sz w:val="24"/>
          <w:szCs w:val="24"/>
          <w:highlight w:val="white"/>
        </w:rPr>
        <w:t>oi devra favoriser l’accès à la culture, aux sports, au tourisme e</w:t>
      </w:r>
      <w:r w:rsidR="002D1EEF">
        <w:rPr>
          <w:sz w:val="24"/>
          <w:szCs w:val="24"/>
          <w:highlight w:val="white"/>
        </w:rPr>
        <w:t>t, plus largement, aux loisirs puisque la participation des personnes en situation de handicap à ces différentes activité</w:t>
      </w:r>
      <w:r w:rsidR="00EC0FF8">
        <w:rPr>
          <w:sz w:val="24"/>
          <w:szCs w:val="24"/>
          <w:highlight w:val="white"/>
        </w:rPr>
        <w:t>s</w:t>
      </w:r>
      <w:r w:rsidR="002D1EEF">
        <w:rPr>
          <w:sz w:val="24"/>
          <w:szCs w:val="24"/>
          <w:highlight w:val="white"/>
        </w:rPr>
        <w:t xml:space="preserve"> contribue à leur inclusion sociale. Nous avons donc la conviction qu’il est de la responsabilité du gouvernement de s’assurer de l’accessibilité des initiatives fédérales en matière de loisir, de sports et de culture. Favoriser un tourisme accessible s’inscrit dans cette même vision inclusive en plus de stimuler un marché sous-estimé par le </w:t>
      </w:r>
      <w:r w:rsidR="0063612B">
        <w:rPr>
          <w:sz w:val="24"/>
          <w:szCs w:val="24"/>
          <w:highlight w:val="white"/>
        </w:rPr>
        <w:t>milieu</w:t>
      </w:r>
      <w:r w:rsidR="002D1EEF">
        <w:rPr>
          <w:sz w:val="24"/>
          <w:szCs w:val="24"/>
          <w:highlight w:val="white"/>
        </w:rPr>
        <w:t xml:space="preserve"> touristique. </w:t>
      </w:r>
      <w:r w:rsidR="005A02F5">
        <w:rPr>
          <w:sz w:val="24"/>
          <w:szCs w:val="24"/>
          <w:highlight w:val="white"/>
        </w:rPr>
        <w:t xml:space="preserve"> À ce sujet, nous vous invitons à consulter le </w:t>
      </w:r>
      <w:r w:rsidR="005A02F5" w:rsidRPr="004F4FBD">
        <w:rPr>
          <w:sz w:val="24"/>
          <w:szCs w:val="24"/>
          <w:highlight w:val="white"/>
        </w:rPr>
        <w:t>mémoire de Kéroul</w:t>
      </w:r>
      <w:r w:rsidR="005A02F5">
        <w:rPr>
          <w:rStyle w:val="Appelnotedebasdep"/>
          <w:sz w:val="24"/>
          <w:szCs w:val="24"/>
          <w:highlight w:val="white"/>
        </w:rPr>
        <w:footnoteReference w:id="15"/>
      </w:r>
      <w:r w:rsidR="005A02F5">
        <w:rPr>
          <w:sz w:val="24"/>
          <w:szCs w:val="24"/>
          <w:highlight w:val="white"/>
        </w:rPr>
        <w:t xml:space="preserve">, organisme membre de la COPHAN spécialisé en tourisme et culture accessibles. </w:t>
      </w:r>
    </w:p>
    <w:p w:rsidR="002D1EEF" w:rsidRDefault="002D1EEF" w:rsidP="006C1FB0">
      <w:pPr>
        <w:pStyle w:val="Titre2"/>
        <w:numPr>
          <w:ilvl w:val="1"/>
          <w:numId w:val="9"/>
        </w:numPr>
        <w:rPr>
          <w:highlight w:val="white"/>
        </w:rPr>
      </w:pPr>
      <w:bookmarkStart w:id="31" w:name="_Toc487539764"/>
      <w:r>
        <w:rPr>
          <w:highlight w:val="white"/>
        </w:rPr>
        <w:t>Technologie</w:t>
      </w:r>
      <w:bookmarkEnd w:id="31"/>
    </w:p>
    <w:p w:rsidR="00041B82" w:rsidRDefault="002D1EEF">
      <w:pPr>
        <w:rPr>
          <w:sz w:val="24"/>
          <w:szCs w:val="24"/>
          <w:highlight w:val="white"/>
        </w:rPr>
      </w:pPr>
      <w:r>
        <w:rPr>
          <w:sz w:val="24"/>
          <w:szCs w:val="24"/>
          <w:highlight w:val="white"/>
        </w:rPr>
        <w:t xml:space="preserve">À l’ère où la technologie prend une place grandissante dans la vie de la grande majorité des canadiens, </w:t>
      </w:r>
      <w:r w:rsidR="00925ABF">
        <w:rPr>
          <w:sz w:val="24"/>
          <w:szCs w:val="24"/>
          <w:highlight w:val="white"/>
        </w:rPr>
        <w:t xml:space="preserve">il est primordial de porter une attention spéciale à l’accessibilité lorsque vient le temps de mettre en place de nouvelles technologies. En ce sens, nous sommes persuadés que les diverses avancées technologiques peuvent s’avérer être un atout à l’inclusion et à l’autonomie des personnes ayant des limitations fonctionnelles. Or, pour ce faire, il faut s’assurer que les différents outils qui émergent répondent à des critères d’accessibilité. En réfléchissant l’accessibilité à l’étape de la création, il est plus aisé de l’intégrer à l’outil envisagé et d’ainsi en faire un vecteur d’inclusion sociale plutôt que de transformer la technologie en un obstacle pour les personnes en situation de handicap. </w:t>
      </w:r>
      <w:r w:rsidR="00E516DA">
        <w:rPr>
          <w:sz w:val="24"/>
          <w:szCs w:val="24"/>
          <w:highlight w:val="white"/>
        </w:rPr>
        <w:t xml:space="preserve">Dans cette optique, il est </w:t>
      </w:r>
      <w:r w:rsidR="00E516DA">
        <w:rPr>
          <w:sz w:val="24"/>
          <w:szCs w:val="24"/>
          <w:highlight w:val="white"/>
        </w:rPr>
        <w:lastRenderedPageBreak/>
        <w:t xml:space="preserve">incontournable que des représentants des personnes ayant des limitations soient consultés lors de l’élaboration </w:t>
      </w:r>
      <w:r w:rsidR="00B97E6F">
        <w:rPr>
          <w:sz w:val="24"/>
          <w:szCs w:val="24"/>
          <w:highlight w:val="white"/>
        </w:rPr>
        <w:t xml:space="preserve">et de la mise à jour </w:t>
      </w:r>
      <w:r w:rsidR="00E516DA">
        <w:rPr>
          <w:sz w:val="24"/>
          <w:szCs w:val="24"/>
          <w:highlight w:val="white"/>
        </w:rPr>
        <w:t xml:space="preserve">des standards d’accessibilité, notamment au niveau du Conseil canadien des normes. </w:t>
      </w:r>
    </w:p>
    <w:p w:rsidR="003A6164" w:rsidRDefault="003A6164">
      <w:pPr>
        <w:rPr>
          <w:sz w:val="24"/>
          <w:szCs w:val="24"/>
          <w:highlight w:val="white"/>
        </w:rPr>
      </w:pPr>
    </w:p>
    <w:p w:rsidR="003A6164" w:rsidRDefault="003A6164">
      <w:pPr>
        <w:rPr>
          <w:sz w:val="24"/>
          <w:szCs w:val="24"/>
          <w:highlight w:val="white"/>
        </w:rPr>
      </w:pPr>
      <w:r>
        <w:rPr>
          <w:sz w:val="24"/>
          <w:szCs w:val="24"/>
          <w:highlight w:val="white"/>
        </w:rPr>
        <w:t xml:space="preserve">De plus, comme nos travaux l’ont démontré, l’application de standards d’accessibilité pour le Web n’est pas garante à elle seule de l’utilisabilité des sites pour les personnes ayant des limitations. Afin d’assurer une véritable accessibilité, il est nécessaire de procéder à des tests d’utilisabilité exécutés par de véritables utilisateurs ayant diverses limitations. Nous vous invitons à consulter notre rapport </w:t>
      </w:r>
      <w:r w:rsidRPr="003A6164">
        <w:rPr>
          <w:i/>
          <w:sz w:val="24"/>
          <w:szCs w:val="24"/>
          <w:highlight w:val="white"/>
        </w:rPr>
        <w:t>L’accessibilité du Web : de la standardisation à l’utilisabilité</w:t>
      </w:r>
      <w:r>
        <w:rPr>
          <w:sz w:val="24"/>
          <w:szCs w:val="24"/>
          <w:highlight w:val="white"/>
        </w:rPr>
        <w:t xml:space="preserve"> pour plus de détails à ce sujet.</w:t>
      </w:r>
      <w:r>
        <w:rPr>
          <w:rStyle w:val="Appelnotedebasdep"/>
          <w:sz w:val="24"/>
          <w:szCs w:val="24"/>
          <w:highlight w:val="white"/>
        </w:rPr>
        <w:footnoteReference w:id="16"/>
      </w:r>
    </w:p>
    <w:p w:rsidR="00453F1B" w:rsidRDefault="00453F1B">
      <w:pPr>
        <w:rPr>
          <w:sz w:val="24"/>
          <w:szCs w:val="24"/>
          <w:highlight w:val="white"/>
        </w:rPr>
      </w:pPr>
    </w:p>
    <w:p w:rsidR="004A0F77" w:rsidRPr="00C159C2" w:rsidRDefault="005D3650" w:rsidP="006C1FB0">
      <w:pPr>
        <w:pStyle w:val="Titre1"/>
        <w:numPr>
          <w:ilvl w:val="0"/>
          <w:numId w:val="9"/>
        </w:numPr>
      </w:pPr>
      <w:bookmarkStart w:id="32" w:name="_atvveyn60icp" w:colFirst="0" w:colLast="0"/>
      <w:bookmarkStart w:id="33" w:name="_Toc487539765"/>
      <w:bookmarkEnd w:id="32"/>
      <w:r w:rsidRPr="00C159C2">
        <w:t>Conclusion</w:t>
      </w:r>
      <w:bookmarkEnd w:id="33"/>
    </w:p>
    <w:p w:rsidR="00760186" w:rsidRDefault="00760186" w:rsidP="002C6302">
      <w:pPr>
        <w:pStyle w:val="Sansinterligne"/>
        <w:spacing w:line="276" w:lineRule="auto"/>
        <w:rPr>
          <w:sz w:val="24"/>
          <w:szCs w:val="24"/>
          <w:highlight w:val="white"/>
        </w:rPr>
      </w:pPr>
      <w:bookmarkStart w:id="34" w:name="_78nnv9w4woko" w:colFirst="0" w:colLast="0"/>
      <w:bookmarkEnd w:id="34"/>
    </w:p>
    <w:p w:rsidR="00760186" w:rsidRDefault="0063612B" w:rsidP="002C6302">
      <w:pPr>
        <w:pStyle w:val="Sansinterligne"/>
        <w:spacing w:line="276" w:lineRule="auto"/>
        <w:rPr>
          <w:sz w:val="24"/>
          <w:szCs w:val="24"/>
          <w:highlight w:val="white"/>
        </w:rPr>
      </w:pPr>
      <w:r w:rsidRPr="002C6302">
        <w:rPr>
          <w:sz w:val="24"/>
          <w:szCs w:val="24"/>
          <w:highlight w:val="white"/>
        </w:rPr>
        <w:t xml:space="preserve">En terminant, </w:t>
      </w:r>
      <w:r w:rsidR="00C159C2" w:rsidRPr="002C6302">
        <w:rPr>
          <w:sz w:val="24"/>
          <w:szCs w:val="24"/>
          <w:highlight w:val="white"/>
        </w:rPr>
        <w:t>nous tenons à réitérer que nous saluons l’</w:t>
      </w:r>
      <w:r w:rsidR="0003566C" w:rsidRPr="002C6302">
        <w:rPr>
          <w:sz w:val="24"/>
          <w:szCs w:val="24"/>
          <w:highlight w:val="white"/>
        </w:rPr>
        <w:t xml:space="preserve">élaboration d’une </w:t>
      </w:r>
      <w:r w:rsidR="00C17E5C">
        <w:rPr>
          <w:sz w:val="24"/>
          <w:szCs w:val="24"/>
          <w:highlight w:val="white"/>
        </w:rPr>
        <w:t>L</w:t>
      </w:r>
      <w:r w:rsidR="0003566C" w:rsidRPr="002C6302">
        <w:rPr>
          <w:sz w:val="24"/>
          <w:szCs w:val="24"/>
          <w:highlight w:val="white"/>
        </w:rPr>
        <w:t>oi visant</w:t>
      </w:r>
      <w:r w:rsidR="00C159C2" w:rsidRPr="002C6302">
        <w:rPr>
          <w:sz w:val="24"/>
          <w:szCs w:val="24"/>
          <w:highlight w:val="white"/>
        </w:rPr>
        <w:t xml:space="preserve"> l’accessibilité et l’inclusion sociale </w:t>
      </w:r>
      <w:r w:rsidR="0003566C" w:rsidRPr="002C6302">
        <w:rPr>
          <w:sz w:val="24"/>
          <w:szCs w:val="24"/>
          <w:highlight w:val="white"/>
        </w:rPr>
        <w:t xml:space="preserve">par le gouvernement fédéral. </w:t>
      </w:r>
      <w:r w:rsidR="00C159C2" w:rsidRPr="002C6302">
        <w:rPr>
          <w:sz w:val="24"/>
          <w:szCs w:val="24"/>
          <w:highlight w:val="white"/>
        </w:rPr>
        <w:t>L</w:t>
      </w:r>
      <w:r w:rsidRPr="002C6302">
        <w:rPr>
          <w:sz w:val="24"/>
          <w:szCs w:val="24"/>
          <w:highlight w:val="white"/>
        </w:rPr>
        <w:t xml:space="preserve">a COPHAN a voulu </w:t>
      </w:r>
      <w:r w:rsidR="00760186">
        <w:rPr>
          <w:sz w:val="24"/>
          <w:szCs w:val="24"/>
          <w:highlight w:val="white"/>
        </w:rPr>
        <w:t>présenter les enjeux qu’elle considère incontournables de même que formuler d</w:t>
      </w:r>
      <w:r w:rsidRPr="002C6302">
        <w:rPr>
          <w:sz w:val="24"/>
          <w:szCs w:val="24"/>
          <w:highlight w:val="white"/>
        </w:rPr>
        <w:t xml:space="preserve">es </w:t>
      </w:r>
      <w:r w:rsidR="00760186">
        <w:rPr>
          <w:sz w:val="24"/>
          <w:szCs w:val="24"/>
          <w:highlight w:val="white"/>
        </w:rPr>
        <w:t xml:space="preserve">pistes de </w:t>
      </w:r>
      <w:r w:rsidRPr="002C6302">
        <w:rPr>
          <w:sz w:val="24"/>
          <w:szCs w:val="24"/>
          <w:highlight w:val="white"/>
        </w:rPr>
        <w:t xml:space="preserve">recommandations qui lui paraissaient essentielles à l’élaboration </w:t>
      </w:r>
      <w:r w:rsidR="00C159C2" w:rsidRPr="002C6302">
        <w:rPr>
          <w:sz w:val="24"/>
          <w:szCs w:val="24"/>
          <w:highlight w:val="white"/>
        </w:rPr>
        <w:t xml:space="preserve">de cette </w:t>
      </w:r>
      <w:r w:rsidR="00C17E5C">
        <w:rPr>
          <w:sz w:val="24"/>
          <w:szCs w:val="24"/>
          <w:highlight w:val="white"/>
        </w:rPr>
        <w:t>L</w:t>
      </w:r>
      <w:r w:rsidR="00C159C2" w:rsidRPr="002C6302">
        <w:rPr>
          <w:sz w:val="24"/>
          <w:szCs w:val="24"/>
          <w:highlight w:val="white"/>
        </w:rPr>
        <w:t>oi</w:t>
      </w:r>
      <w:r w:rsidRPr="002C6302">
        <w:rPr>
          <w:sz w:val="24"/>
          <w:szCs w:val="24"/>
          <w:highlight w:val="white"/>
        </w:rPr>
        <w:t xml:space="preserve">. </w:t>
      </w:r>
    </w:p>
    <w:p w:rsidR="00760186" w:rsidRDefault="00760186" w:rsidP="002C6302">
      <w:pPr>
        <w:pStyle w:val="Sansinterligne"/>
        <w:spacing w:line="276" w:lineRule="auto"/>
        <w:rPr>
          <w:sz w:val="24"/>
          <w:szCs w:val="24"/>
          <w:highlight w:val="white"/>
        </w:rPr>
      </w:pPr>
    </w:p>
    <w:p w:rsidR="007A6B09" w:rsidRDefault="00C159C2" w:rsidP="002C6302">
      <w:pPr>
        <w:pStyle w:val="Sansinterligne"/>
        <w:spacing w:line="276" w:lineRule="auto"/>
        <w:rPr>
          <w:sz w:val="24"/>
          <w:szCs w:val="24"/>
          <w:highlight w:val="white"/>
        </w:rPr>
      </w:pPr>
      <w:r w:rsidRPr="002C6302">
        <w:rPr>
          <w:sz w:val="24"/>
          <w:szCs w:val="24"/>
          <w:highlight w:val="white"/>
        </w:rPr>
        <w:t>Nous sommes convaincus qu</w:t>
      </w:r>
      <w:r w:rsidR="00760186">
        <w:rPr>
          <w:sz w:val="24"/>
          <w:szCs w:val="24"/>
          <w:highlight w:val="white"/>
        </w:rPr>
        <w:t xml:space="preserve">’il est nécessaire que la Loi ait une approche transversale englobant </w:t>
      </w:r>
      <w:r w:rsidR="007A6B09">
        <w:rPr>
          <w:sz w:val="24"/>
          <w:szCs w:val="24"/>
          <w:highlight w:val="white"/>
        </w:rPr>
        <w:t>tous les domaines de compétence fédérale</w:t>
      </w:r>
      <w:r w:rsidR="00760186">
        <w:rPr>
          <w:sz w:val="24"/>
          <w:szCs w:val="24"/>
          <w:highlight w:val="white"/>
        </w:rPr>
        <w:t>. Pour véritablement améliorer l’accessibilité, l’inclusion et l</w:t>
      </w:r>
      <w:r w:rsidRPr="002C6302">
        <w:rPr>
          <w:sz w:val="24"/>
          <w:szCs w:val="24"/>
          <w:highlight w:val="white"/>
        </w:rPr>
        <w:t>es</w:t>
      </w:r>
      <w:bookmarkStart w:id="35" w:name="_GoBack"/>
      <w:bookmarkEnd w:id="35"/>
      <w:r w:rsidRPr="002C6302">
        <w:rPr>
          <w:sz w:val="24"/>
          <w:szCs w:val="24"/>
          <w:highlight w:val="white"/>
        </w:rPr>
        <w:t xml:space="preserve"> conditions de vie des personnes </w:t>
      </w:r>
      <w:r w:rsidR="00760186">
        <w:rPr>
          <w:sz w:val="24"/>
          <w:szCs w:val="24"/>
          <w:highlight w:val="white"/>
        </w:rPr>
        <w:t>ayant des limitations fonctionnelles</w:t>
      </w:r>
      <w:r w:rsidR="007A6B09">
        <w:rPr>
          <w:sz w:val="24"/>
          <w:szCs w:val="24"/>
          <w:highlight w:val="white"/>
        </w:rPr>
        <w:t>, la Loi devra avoir une portée large et assujettir le plus grand nombre d’acteurs possibles</w:t>
      </w:r>
      <w:r w:rsidRPr="002C6302">
        <w:rPr>
          <w:sz w:val="24"/>
          <w:szCs w:val="24"/>
          <w:highlight w:val="white"/>
        </w:rPr>
        <w:t xml:space="preserve">. </w:t>
      </w:r>
    </w:p>
    <w:p w:rsidR="007A6B09" w:rsidRDefault="007A6B09" w:rsidP="007A6B09">
      <w:pPr>
        <w:pStyle w:val="Sansinterligne"/>
        <w:spacing w:line="276" w:lineRule="auto"/>
        <w:rPr>
          <w:sz w:val="24"/>
          <w:szCs w:val="24"/>
          <w:highlight w:val="white"/>
        </w:rPr>
      </w:pPr>
    </w:p>
    <w:p w:rsidR="007A6B09" w:rsidRDefault="007A6B09" w:rsidP="007A6B09">
      <w:pPr>
        <w:pStyle w:val="Sansinterligne"/>
        <w:spacing w:line="276" w:lineRule="auto"/>
        <w:rPr>
          <w:sz w:val="24"/>
          <w:szCs w:val="24"/>
          <w:highlight w:val="white"/>
        </w:rPr>
      </w:pPr>
      <w:r>
        <w:rPr>
          <w:sz w:val="24"/>
          <w:szCs w:val="24"/>
          <w:highlight w:val="white"/>
        </w:rPr>
        <w:t>Finalement, nous rappelons que la Loi</w:t>
      </w:r>
      <w:r w:rsidR="007656B0">
        <w:rPr>
          <w:sz w:val="24"/>
          <w:szCs w:val="24"/>
          <w:highlight w:val="white"/>
        </w:rPr>
        <w:t xml:space="preserve"> à elle seule ne suffira pas. Afin d’avoir l’impact social attendu, son adoption devra être accompagnée d’une large campagne de sensibilisation auprès de tous les citoyens et citoyennes du Canada. </w:t>
      </w:r>
    </w:p>
    <w:p w:rsidR="007656B0" w:rsidRDefault="007656B0" w:rsidP="007A6B09">
      <w:pPr>
        <w:pStyle w:val="Sansinterligne"/>
        <w:spacing w:line="276" w:lineRule="auto"/>
        <w:rPr>
          <w:sz w:val="24"/>
          <w:szCs w:val="24"/>
          <w:highlight w:val="white"/>
        </w:rPr>
      </w:pPr>
    </w:p>
    <w:p w:rsidR="007656B0" w:rsidRDefault="007656B0" w:rsidP="007656B0">
      <w:pPr>
        <w:pStyle w:val="Sansinterligne"/>
        <w:spacing w:line="276" w:lineRule="auto"/>
        <w:rPr>
          <w:sz w:val="24"/>
          <w:szCs w:val="24"/>
          <w:highlight w:val="white"/>
        </w:rPr>
      </w:pPr>
      <w:r w:rsidRPr="002C6302">
        <w:rPr>
          <w:sz w:val="24"/>
          <w:szCs w:val="24"/>
          <w:highlight w:val="white"/>
        </w:rPr>
        <w:t xml:space="preserve">Nous espérons que vous </w:t>
      </w:r>
      <w:r>
        <w:rPr>
          <w:sz w:val="24"/>
          <w:szCs w:val="24"/>
          <w:highlight w:val="white"/>
        </w:rPr>
        <w:t>saurez reconnaitre</w:t>
      </w:r>
      <w:r w:rsidRPr="002C6302">
        <w:rPr>
          <w:sz w:val="24"/>
          <w:szCs w:val="24"/>
          <w:highlight w:val="white"/>
        </w:rPr>
        <w:t xml:space="preserve"> la valeur et l’expertise de la COPHAN et de ses membres.  Nous vous rappelons également que la COPHAN est prête à offrir tout son support à toutes les étapes de ce processus législatif, notamment afin de participer à la révision du projet de loi et d’évaluer l’impact qu’il peut avoir dans le quotidien des personnes ayant des limitations fonctionnelles.</w:t>
      </w:r>
    </w:p>
    <w:p w:rsidR="007656B0" w:rsidRDefault="007656B0" w:rsidP="007A6B09">
      <w:pPr>
        <w:pStyle w:val="Sansinterligne"/>
        <w:spacing w:line="276" w:lineRule="auto"/>
        <w:rPr>
          <w:sz w:val="24"/>
          <w:szCs w:val="24"/>
          <w:highlight w:val="white"/>
        </w:rPr>
      </w:pPr>
    </w:p>
    <w:p w:rsidR="003F7097" w:rsidRPr="00626A3F" w:rsidRDefault="003F7097" w:rsidP="007A6B09">
      <w:pPr>
        <w:pStyle w:val="Sansinterligne"/>
        <w:spacing w:line="276" w:lineRule="auto"/>
        <w:rPr>
          <w:sz w:val="24"/>
          <w:szCs w:val="24"/>
          <w:highlight w:val="white"/>
        </w:rPr>
      </w:pPr>
    </w:p>
    <w:sectPr w:rsidR="003F7097" w:rsidRPr="00626A3F" w:rsidSect="002C6302">
      <w:footerReference w:type="default" r:id="rId11"/>
      <w:type w:val="continuous"/>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5FA" w:rsidRDefault="001975FA">
      <w:pPr>
        <w:spacing w:line="240" w:lineRule="auto"/>
      </w:pPr>
      <w:r>
        <w:separator/>
      </w:r>
    </w:p>
  </w:endnote>
  <w:endnote w:type="continuationSeparator" w:id="0">
    <w:p w:rsidR="001975FA" w:rsidRDefault="001975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B25" w:rsidRDefault="00FA5B25">
    <w:pPr>
      <w:pStyle w:val="Pieddepage"/>
      <w:jc w:val="right"/>
    </w:pPr>
  </w:p>
  <w:p w:rsidR="00FA5B25" w:rsidRDefault="00FA5B2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269930"/>
      <w:docPartObj>
        <w:docPartGallery w:val="Page Numbers (Bottom of Page)"/>
        <w:docPartUnique/>
      </w:docPartObj>
    </w:sdtPr>
    <w:sdtContent>
      <w:p w:rsidR="00FA5B25" w:rsidRDefault="005D1B38">
        <w:pPr>
          <w:pStyle w:val="Pieddepage"/>
          <w:jc w:val="right"/>
        </w:pPr>
        <w:fldSimple w:instr=" PAGE   \* MERGEFORMAT ">
          <w:r w:rsidR="00495921">
            <w:rPr>
              <w:noProof/>
            </w:rPr>
            <w:t>3</w:t>
          </w:r>
        </w:fldSimple>
      </w:p>
    </w:sdtContent>
  </w:sdt>
  <w:p w:rsidR="00FA5B25" w:rsidRDefault="00FA5B2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5FA" w:rsidRDefault="001975FA">
      <w:pPr>
        <w:spacing w:line="240" w:lineRule="auto"/>
      </w:pPr>
      <w:r>
        <w:separator/>
      </w:r>
    </w:p>
  </w:footnote>
  <w:footnote w:type="continuationSeparator" w:id="0">
    <w:p w:rsidR="001975FA" w:rsidRDefault="001975FA">
      <w:pPr>
        <w:spacing w:line="240" w:lineRule="auto"/>
      </w:pPr>
      <w:r>
        <w:continuationSeparator/>
      </w:r>
    </w:p>
  </w:footnote>
  <w:footnote w:id="1">
    <w:p w:rsidR="00FA5B25" w:rsidRPr="006D7CE0" w:rsidRDefault="00FA5B25" w:rsidP="00A34D61">
      <w:pPr>
        <w:pStyle w:val="Notedebasdepage"/>
        <w:rPr>
          <w:color w:val="auto"/>
        </w:rPr>
      </w:pPr>
      <w:r w:rsidRPr="006D7CE0">
        <w:rPr>
          <w:rStyle w:val="Appelnotedebasdep"/>
          <w:color w:val="auto"/>
        </w:rPr>
        <w:footnoteRef/>
      </w:r>
      <w:r w:rsidRPr="006D7CE0">
        <w:rPr>
          <w:color w:val="auto"/>
        </w:rPr>
        <w:t xml:space="preserve"> </w:t>
      </w:r>
      <w:r>
        <w:t xml:space="preserve">Article 4, </w:t>
      </w:r>
      <w:r w:rsidRPr="00747752">
        <w:rPr>
          <w:i/>
        </w:rPr>
        <w:t>Convention relative aux droits des personnes handicapées</w:t>
      </w:r>
      <w:r>
        <w:t>, 13 décembre 2006 (entrée en vigueur au Canada le 11 mars 2010).</w:t>
      </w:r>
    </w:p>
  </w:footnote>
  <w:footnote w:id="2">
    <w:p w:rsidR="00FA5B25" w:rsidRPr="006D7CE0" w:rsidRDefault="00FA5B25">
      <w:pPr>
        <w:pStyle w:val="Notedebasdepage"/>
        <w:rPr>
          <w:color w:val="auto"/>
          <w:lang w:val="en-CA"/>
        </w:rPr>
      </w:pPr>
      <w:r w:rsidRPr="006D7CE0">
        <w:rPr>
          <w:rStyle w:val="Appelnotedebasdep"/>
          <w:color w:val="auto"/>
        </w:rPr>
        <w:footnoteRef/>
      </w:r>
      <w:r w:rsidRPr="006D7CE0">
        <w:rPr>
          <w:color w:val="auto"/>
          <w:lang w:val="en-CA"/>
        </w:rPr>
        <w:t xml:space="preserve"> RLRQ, c. E-20.1</w:t>
      </w:r>
    </w:p>
  </w:footnote>
  <w:footnote w:id="3">
    <w:p w:rsidR="00FA5B25" w:rsidRPr="006D7CE0" w:rsidRDefault="00FA5B25">
      <w:pPr>
        <w:pStyle w:val="Notedebasdepage"/>
        <w:rPr>
          <w:lang w:val="en-CA"/>
        </w:rPr>
      </w:pPr>
      <w:r w:rsidRPr="006D7CE0">
        <w:rPr>
          <w:rStyle w:val="Appelnotedebasdep"/>
        </w:rPr>
        <w:footnoteRef/>
      </w:r>
      <w:r w:rsidRPr="006D7CE0">
        <w:rPr>
          <w:lang w:val="en-CA"/>
        </w:rPr>
        <w:t xml:space="preserve"> </w:t>
      </w:r>
      <w:r w:rsidRPr="006D7CE0">
        <w:rPr>
          <w:rStyle w:val="solext0"/>
          <w:i/>
          <w:iCs/>
          <w:shd w:val="clear" w:color="auto" w:fill="FFFFFF"/>
          <w:lang w:val="en-CA"/>
        </w:rPr>
        <w:t>Americans</w:t>
      </w:r>
      <w:r w:rsidRPr="006D7CE0">
        <w:rPr>
          <w:i/>
          <w:iCs/>
          <w:shd w:val="clear" w:color="auto" w:fill="FFFFFF"/>
          <w:lang w:val="en-CA"/>
        </w:rPr>
        <w:t> </w:t>
      </w:r>
      <w:r w:rsidRPr="006D7CE0">
        <w:rPr>
          <w:rStyle w:val="solext1"/>
          <w:i/>
          <w:iCs/>
          <w:shd w:val="clear" w:color="auto" w:fill="FFFFFF"/>
          <w:lang w:val="en-CA"/>
        </w:rPr>
        <w:t>with</w:t>
      </w:r>
      <w:r w:rsidRPr="006D7CE0">
        <w:rPr>
          <w:i/>
          <w:iCs/>
          <w:shd w:val="clear" w:color="auto" w:fill="FFFFFF"/>
          <w:lang w:val="en-CA"/>
        </w:rPr>
        <w:t> </w:t>
      </w:r>
      <w:r w:rsidRPr="006D7CE0">
        <w:rPr>
          <w:rStyle w:val="solext2"/>
          <w:i/>
          <w:iCs/>
          <w:shd w:val="clear" w:color="auto" w:fill="FFFFFF"/>
          <w:lang w:val="en-CA"/>
        </w:rPr>
        <w:t>Disabilities</w:t>
      </w:r>
      <w:r w:rsidRPr="006D7CE0">
        <w:rPr>
          <w:i/>
          <w:iCs/>
          <w:shd w:val="clear" w:color="auto" w:fill="FFFFFF"/>
          <w:lang w:val="en-CA"/>
        </w:rPr>
        <w:t> </w:t>
      </w:r>
      <w:r w:rsidRPr="006D7CE0">
        <w:rPr>
          <w:rStyle w:val="solext3"/>
          <w:i/>
          <w:iCs/>
          <w:shd w:val="clear" w:color="auto" w:fill="FFFFFF"/>
          <w:lang w:val="en-CA"/>
        </w:rPr>
        <w:t>Act</w:t>
      </w:r>
      <w:r w:rsidRPr="006D7CE0">
        <w:rPr>
          <w:i/>
          <w:iCs/>
          <w:shd w:val="clear" w:color="auto" w:fill="FFFFFF"/>
          <w:lang w:val="en-CA"/>
        </w:rPr>
        <w:t> of 1990</w:t>
      </w:r>
      <w:r w:rsidRPr="006D7CE0">
        <w:rPr>
          <w:shd w:val="clear" w:color="auto" w:fill="FFFFFF"/>
          <w:lang w:val="en-CA"/>
        </w:rPr>
        <w:t>, 42 U.S.C.</w:t>
      </w:r>
    </w:p>
  </w:footnote>
  <w:footnote w:id="4">
    <w:p w:rsidR="00FA5B25" w:rsidRDefault="00FA5B25" w:rsidP="006D7CE0">
      <w:pPr>
        <w:pStyle w:val="Notedebasdepage"/>
        <w:shd w:val="clear" w:color="auto" w:fill="FFFFFF"/>
        <w:ind w:left="360" w:hanging="360"/>
        <w:jc w:val="both"/>
      </w:pPr>
      <w:r>
        <w:rPr>
          <w:rStyle w:val="Appelnotedebasdep"/>
        </w:rPr>
        <w:footnoteRef/>
      </w:r>
      <w:r>
        <w:t xml:space="preserve"> Partie 1 de la </w:t>
      </w:r>
      <w:r w:rsidRPr="006D7CE0">
        <w:t>Loi constitutionnelle de 1982</w:t>
      </w:r>
      <w:r>
        <w:t>, constituant l’annexe B de la Loi de 1982 sur le Canada</w:t>
      </w:r>
    </w:p>
    <w:p w:rsidR="00FA5B25" w:rsidRDefault="00FA5B25" w:rsidP="006D7CE0">
      <w:pPr>
        <w:pStyle w:val="Notedebasdepage"/>
        <w:shd w:val="clear" w:color="auto" w:fill="FFFFFF"/>
        <w:ind w:left="360" w:hanging="360"/>
        <w:jc w:val="both"/>
      </w:pPr>
      <w:r>
        <w:t>  (R.-U.), 1982, art. 15(1).</w:t>
      </w:r>
    </w:p>
  </w:footnote>
  <w:footnote w:id="5">
    <w:p w:rsidR="00FA5B25" w:rsidRDefault="00FA5B25" w:rsidP="00F1031F">
      <w:pPr>
        <w:pStyle w:val="Notedebasdepage"/>
        <w:shd w:val="clear" w:color="auto" w:fill="FFFFFF"/>
        <w:ind w:left="360" w:hanging="360"/>
        <w:jc w:val="both"/>
      </w:pPr>
      <w:r>
        <w:rPr>
          <w:rStyle w:val="Appelnotedebasdep"/>
        </w:rPr>
        <w:footnoteRef/>
      </w:r>
      <w:r>
        <w:t xml:space="preserve"> Partie 1 de la </w:t>
      </w:r>
      <w:r w:rsidRPr="00FA5B25">
        <w:t>Loi constitutionnelle de 1982</w:t>
      </w:r>
      <w:r>
        <w:t>, constituant l’annexe B de la Loi de 1982 sur le Canada</w:t>
      </w:r>
    </w:p>
    <w:p w:rsidR="00FA5B25" w:rsidRDefault="00FA5B25" w:rsidP="00F1031F">
      <w:pPr>
        <w:pStyle w:val="Notedebasdepage"/>
        <w:shd w:val="clear" w:color="auto" w:fill="FFFFFF"/>
        <w:ind w:left="360" w:hanging="360"/>
        <w:jc w:val="both"/>
      </w:pPr>
      <w:r>
        <w:t>  (R.-U.), 1982, art. 24(1).</w:t>
      </w:r>
    </w:p>
  </w:footnote>
  <w:footnote w:id="6">
    <w:p w:rsidR="00FA5B25" w:rsidRPr="00FA5B25" w:rsidRDefault="00FA5B25" w:rsidP="00FA5B25">
      <w:pPr>
        <w:pStyle w:val="Notedebasdepage"/>
      </w:pPr>
      <w:r>
        <w:rPr>
          <w:rStyle w:val="Appelnotedebasdep"/>
        </w:rPr>
        <w:footnoteRef/>
      </w:r>
      <w:r>
        <w:t xml:space="preserve"> Voir entre autres :</w:t>
      </w:r>
      <w:r w:rsidRPr="00FA5B25">
        <w:t xml:space="preserve"> Statistique </w:t>
      </w:r>
      <w:r>
        <w:t xml:space="preserve">Canada, </w:t>
      </w:r>
      <w:r w:rsidRPr="00FA5B25">
        <w:rPr>
          <w:i/>
        </w:rPr>
        <w:t>L’Enquête canadienne sur l’incapacité</w:t>
      </w:r>
      <w:r w:rsidR="004F4FBD">
        <w:t xml:space="preserve">, décembre </w:t>
      </w:r>
      <w:r>
        <w:t xml:space="preserve">2013. En ligne : </w:t>
      </w:r>
      <w:hyperlink r:id="rId1" w:history="1">
        <w:r w:rsidRPr="00FA5B25">
          <w:rPr>
            <w:rStyle w:val="Lienhypertexte"/>
          </w:rPr>
          <w:t>http://www.statcan.gc.ca/pub/89-654-x/89-654-x2013001-fra.pdf</w:t>
        </w:r>
      </w:hyperlink>
      <w:r>
        <w:t xml:space="preserve">; </w:t>
      </w:r>
      <w:r w:rsidRPr="00FA5B25">
        <w:t>Québec, Ins</w:t>
      </w:r>
      <w:r>
        <w:t xml:space="preserve">titut de la statistique du Québec, </w:t>
      </w:r>
      <w:r w:rsidRPr="00FA5B25">
        <w:rPr>
          <w:i/>
        </w:rPr>
        <w:t>Vivre avec une incapacité au Québec</w:t>
      </w:r>
      <w:r w:rsidR="004F4FBD">
        <w:t xml:space="preserve">, novembre </w:t>
      </w:r>
      <w:r>
        <w:t xml:space="preserve">2010. En ligne : </w:t>
      </w:r>
      <w:hyperlink r:id="rId2" w:history="1">
        <w:r w:rsidRPr="00FA5B25">
          <w:rPr>
            <w:rStyle w:val="Lienhypertexte"/>
          </w:rPr>
          <w:t>http://www.stat.gouv.qc.ca/statistiques/sante/etat-sante/incapacite/incapacite-quebec.pdf</w:t>
        </w:r>
      </w:hyperlink>
      <w:r w:rsidRPr="00FA5B25">
        <w:t xml:space="preserve"> </w:t>
      </w:r>
    </w:p>
    <w:p w:rsidR="00FA5B25" w:rsidRPr="00076ED9" w:rsidRDefault="00FA5B25">
      <w:pPr>
        <w:pStyle w:val="Notedebasdepage"/>
      </w:pPr>
    </w:p>
  </w:footnote>
  <w:footnote w:id="7">
    <w:p w:rsidR="00FA5B25" w:rsidRDefault="00FA5B25">
      <w:pPr>
        <w:pStyle w:val="Notedebasdepage"/>
      </w:pPr>
      <w:r>
        <w:rPr>
          <w:rStyle w:val="Appelnotedebasdep"/>
        </w:rPr>
        <w:footnoteRef/>
      </w:r>
      <w:r>
        <w:t xml:space="preserve"> Québec, Ministère du développement durable, Environnement et Lutte contre les changements climatiques, </w:t>
      </w:r>
      <w:r w:rsidRPr="00FA5B25">
        <w:rPr>
          <w:i/>
        </w:rPr>
        <w:t>Écoconditionnalité</w:t>
      </w:r>
      <w:r>
        <w:t xml:space="preserve">. En ligne : </w:t>
      </w:r>
      <w:hyperlink r:id="rId3" w:history="1">
        <w:r w:rsidRPr="00A72F96">
          <w:rPr>
            <w:rStyle w:val="Lienhypertexte"/>
          </w:rPr>
          <w:t>http://www.mddelcc.gouv.qc.ca/milieu_agri/ecoconditionnalite/index.htm</w:t>
        </w:r>
      </w:hyperlink>
      <w:r>
        <w:t xml:space="preserve"> </w:t>
      </w:r>
    </w:p>
  </w:footnote>
  <w:footnote w:id="8">
    <w:p w:rsidR="00FA5B25" w:rsidRPr="00FA5B25" w:rsidRDefault="00FA5B25">
      <w:pPr>
        <w:pStyle w:val="Notedebasdepage"/>
      </w:pPr>
      <w:r>
        <w:rPr>
          <w:rStyle w:val="Appelnotedebasdep"/>
        </w:rPr>
        <w:footnoteRef/>
      </w:r>
      <w:r w:rsidRPr="00FA5B25">
        <w:t xml:space="preserve"> Commission canadienne des d</w:t>
      </w:r>
      <w:r>
        <w:t xml:space="preserve">roits de la personne, </w:t>
      </w:r>
      <w:r w:rsidRPr="00FA5B25">
        <w:rPr>
          <w:i/>
        </w:rPr>
        <w:t>Statistiques</w:t>
      </w:r>
      <w:r>
        <w:t xml:space="preserve">. En ligne : </w:t>
      </w:r>
      <w:hyperlink r:id="rId4" w:history="1">
        <w:r w:rsidRPr="00347EDF">
          <w:rPr>
            <w:rStyle w:val="Lienhypertexte"/>
          </w:rPr>
          <w:t>http://rapportccdp.ca/fr_en-chiffres.php</w:t>
        </w:r>
      </w:hyperlink>
      <w:r w:rsidRPr="00FA5B25">
        <w:t xml:space="preserve"> </w:t>
      </w:r>
    </w:p>
  </w:footnote>
  <w:footnote w:id="9">
    <w:p w:rsidR="00FA5B25" w:rsidRPr="00FA5B25" w:rsidRDefault="00FA5B25">
      <w:pPr>
        <w:pStyle w:val="Notedebasdepage"/>
      </w:pPr>
      <w:r>
        <w:rPr>
          <w:rStyle w:val="Appelnotedebasdep"/>
        </w:rPr>
        <w:footnoteRef/>
      </w:r>
      <w:r w:rsidRPr="00FA5B25">
        <w:t xml:space="preserve"> Statistique </w:t>
      </w:r>
      <w:r>
        <w:t xml:space="preserve">Canada, </w:t>
      </w:r>
      <w:r w:rsidRPr="00FA5B25">
        <w:rPr>
          <w:i/>
        </w:rPr>
        <w:t>Les troubles auditifs chez les Canadiens âgés de 15 ans et plus</w:t>
      </w:r>
      <w:r w:rsidR="004F4FBD">
        <w:t>, 2012.</w:t>
      </w:r>
      <w:r>
        <w:t xml:space="preserve"> En ligne : </w:t>
      </w:r>
      <w:hyperlink r:id="rId5" w:history="1">
        <w:r w:rsidRPr="00FA5B25">
          <w:rPr>
            <w:rStyle w:val="Lienhypertexte"/>
          </w:rPr>
          <w:t>http://www.statcan.gc.ca/pub/89-654-x/89-654-x2016002-fra.htm</w:t>
        </w:r>
      </w:hyperlink>
      <w:r w:rsidRPr="00FA5B25">
        <w:t xml:space="preserve"> </w:t>
      </w:r>
    </w:p>
  </w:footnote>
  <w:footnote w:id="10">
    <w:p w:rsidR="00FA5B25" w:rsidRDefault="00FA5B25">
      <w:pPr>
        <w:pStyle w:val="Notedebasdepage"/>
      </w:pPr>
      <w:r>
        <w:rPr>
          <w:rStyle w:val="Appelnotedebasdep"/>
        </w:rPr>
        <w:footnoteRef/>
      </w:r>
      <w:r>
        <w:t xml:space="preserve"> </w:t>
      </w:r>
      <w:r w:rsidRPr="00FA5B25">
        <w:rPr>
          <w:i/>
        </w:rPr>
        <w:t>Idem</w:t>
      </w:r>
    </w:p>
  </w:footnote>
  <w:footnote w:id="11">
    <w:p w:rsidR="00FA5B25" w:rsidRPr="00FA5B25" w:rsidRDefault="00FA5B25">
      <w:pPr>
        <w:pStyle w:val="Notedebasdepage"/>
      </w:pPr>
      <w:r>
        <w:rPr>
          <w:rStyle w:val="Appelnotedebasdep"/>
        </w:rPr>
        <w:footnoteRef/>
      </w:r>
      <w:r w:rsidRPr="00FA5B25">
        <w:t xml:space="preserve"> Ins</w:t>
      </w:r>
      <w:r>
        <w:t xml:space="preserve">titut de la statistique du Québec, </w:t>
      </w:r>
      <w:r w:rsidRPr="00FA5B25">
        <w:rPr>
          <w:i/>
        </w:rPr>
        <w:t>Vivre avec une incapacité au Québec</w:t>
      </w:r>
      <w:r w:rsidR="004F4FBD">
        <w:t>,</w:t>
      </w:r>
      <w:r>
        <w:t xml:space="preserve"> </w:t>
      </w:r>
      <w:r w:rsidR="004F4FBD">
        <w:t xml:space="preserve">novembre </w:t>
      </w:r>
      <w:r>
        <w:t xml:space="preserve">2010. En ligne : </w:t>
      </w:r>
      <w:hyperlink r:id="rId6" w:history="1">
        <w:r w:rsidRPr="00FA5B25">
          <w:rPr>
            <w:rStyle w:val="Lienhypertexte"/>
          </w:rPr>
          <w:t>http://www.stat.gouv.qc.ca/statistiques/sante/etat-sante/incapacite/incapacite-quebec.pdf</w:t>
        </w:r>
      </w:hyperlink>
      <w:r w:rsidRPr="00FA5B25">
        <w:t xml:space="preserve"> </w:t>
      </w:r>
    </w:p>
  </w:footnote>
  <w:footnote w:id="12">
    <w:p w:rsidR="00FA5B25" w:rsidRPr="00FA5B25" w:rsidRDefault="00FA5B25">
      <w:pPr>
        <w:pStyle w:val="Notedebasdepage"/>
      </w:pPr>
      <w:r>
        <w:rPr>
          <w:rStyle w:val="Appelnotedebasdep"/>
        </w:rPr>
        <w:footnoteRef/>
      </w:r>
      <w:r w:rsidRPr="00FA5B25">
        <w:t xml:space="preserve"> Statistique </w:t>
      </w:r>
      <w:r>
        <w:t xml:space="preserve">Canada, </w:t>
      </w:r>
      <w:r w:rsidRPr="00FA5B25">
        <w:rPr>
          <w:i/>
        </w:rPr>
        <w:t>L’Enquête canadienne sur l’incapacité</w:t>
      </w:r>
      <w:r w:rsidR="004F4FBD">
        <w:t xml:space="preserve">, décembre </w:t>
      </w:r>
      <w:r>
        <w:t xml:space="preserve">2013. En ligne : </w:t>
      </w:r>
      <w:hyperlink r:id="rId7" w:history="1">
        <w:r w:rsidRPr="00FA5B25">
          <w:rPr>
            <w:rStyle w:val="Lienhypertexte"/>
          </w:rPr>
          <w:t>http://www.statcan.gc.ca/pub/89-654-x/89-654-x2013001-fra.pdf</w:t>
        </w:r>
      </w:hyperlink>
      <w:r w:rsidRPr="00FA5B25">
        <w:t xml:space="preserve"> </w:t>
      </w:r>
    </w:p>
  </w:footnote>
  <w:footnote w:id="13">
    <w:p w:rsidR="00FA5B25" w:rsidRDefault="00FA5B25" w:rsidP="00022DE5">
      <w:pPr>
        <w:pStyle w:val="Notedebasdepage"/>
      </w:pPr>
      <w:r>
        <w:rPr>
          <w:rStyle w:val="Appelnotedebasdep"/>
        </w:rPr>
        <w:footnoteRef/>
      </w:r>
      <w:r>
        <w:t xml:space="preserve"> COPHAN, </w:t>
      </w:r>
      <w:r w:rsidRPr="005A083F">
        <w:rPr>
          <w:i/>
        </w:rPr>
        <w:t>Avis sur l’initiative de modernisation de la réglementation de l’Office des transports du Canada – Transports accessibles</w:t>
      </w:r>
      <w:r>
        <w:t xml:space="preserve">, septembre 2016. En ligne : </w:t>
      </w:r>
      <w:hyperlink r:id="rId8" w:history="1">
        <w:r w:rsidRPr="00883110">
          <w:rPr>
            <w:rStyle w:val="Lienhypertexte"/>
          </w:rPr>
          <w:t>http://cophan.org/wp-content/uploads/2016/10/2016_09_14_Avis_COPHAN_OTC_modernisation_r--glementation.pdf</w:t>
        </w:r>
      </w:hyperlink>
      <w:r>
        <w:t xml:space="preserve"> </w:t>
      </w:r>
    </w:p>
  </w:footnote>
  <w:footnote w:id="14">
    <w:p w:rsidR="00FA5B25" w:rsidRDefault="00FA5B25">
      <w:pPr>
        <w:pStyle w:val="Notedebasdepage"/>
      </w:pPr>
      <w:r>
        <w:rPr>
          <w:rStyle w:val="Appelnotedebasdep"/>
        </w:rPr>
        <w:footnoteRef/>
      </w:r>
      <w:r>
        <w:t xml:space="preserve"> Pour consulter nos mémoires, visiter le </w:t>
      </w:r>
      <w:hyperlink r:id="rId9" w:history="1">
        <w:r w:rsidRPr="00F0266C">
          <w:rPr>
            <w:rStyle w:val="Lienhypertexte"/>
          </w:rPr>
          <w:t>www.cophan.org/avis-et-memoires</w:t>
        </w:r>
      </w:hyperlink>
      <w:r>
        <w:t xml:space="preserve">.  </w:t>
      </w:r>
    </w:p>
  </w:footnote>
  <w:footnote w:id="15">
    <w:p w:rsidR="00FA5B25" w:rsidRDefault="00FA5B25">
      <w:pPr>
        <w:pStyle w:val="Notedebasdepage"/>
      </w:pPr>
      <w:r>
        <w:rPr>
          <w:rStyle w:val="Appelnotedebasdep"/>
        </w:rPr>
        <w:footnoteRef/>
      </w:r>
      <w:r>
        <w:t xml:space="preserve"> Kéroul, Oui à un Canada accessible à tous!, </w:t>
      </w:r>
      <w:r w:rsidR="004F4FBD">
        <w:t xml:space="preserve">février 2017. En ligne : </w:t>
      </w:r>
      <w:hyperlink r:id="rId10" w:history="1">
        <w:r w:rsidR="004F4FBD" w:rsidRPr="00347EDF">
          <w:rPr>
            <w:rStyle w:val="Lienhypertexte"/>
          </w:rPr>
          <w:t>http://www.keroul.qc.ca/DATA/TEXTEDOC/KER-MemoireCanada-Final.pdf</w:t>
        </w:r>
      </w:hyperlink>
      <w:r w:rsidR="004F4FBD">
        <w:t xml:space="preserve"> </w:t>
      </w:r>
    </w:p>
  </w:footnote>
  <w:footnote w:id="16">
    <w:p w:rsidR="00FA5B25" w:rsidRPr="004F4FBD" w:rsidRDefault="00FA5B25" w:rsidP="003A6164">
      <w:pPr>
        <w:pStyle w:val="Notedebasdepage"/>
      </w:pPr>
      <w:r>
        <w:rPr>
          <w:rStyle w:val="Appelnotedebasdep"/>
        </w:rPr>
        <w:footnoteRef/>
      </w:r>
      <w:r w:rsidR="004F4FBD" w:rsidRPr="004F4FBD">
        <w:t xml:space="preserve"> COPHAN, </w:t>
      </w:r>
      <w:r w:rsidR="004F4FBD" w:rsidRPr="004F4FBD">
        <w:rPr>
          <w:i/>
        </w:rPr>
        <w:t>Accessibilité du Web : De la standardisation à l’utilisabilité</w:t>
      </w:r>
      <w:r w:rsidR="004F4FBD">
        <w:t xml:space="preserve">, mars 2017. En ligne : </w:t>
      </w:r>
      <w:hyperlink r:id="rId11" w:history="1">
        <w:r w:rsidRPr="004F4FBD">
          <w:rPr>
            <w:rStyle w:val="Lienhypertexte"/>
          </w:rPr>
          <w:t>http://cophan.org/publication/accessibilite-du-web-de-la-standardisation-a-lutilisabilite/</w:t>
        </w:r>
      </w:hyperlink>
      <w:r w:rsidRPr="004F4FBD">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B22"/>
    <w:multiLevelType w:val="hybridMultilevel"/>
    <w:tmpl w:val="4518019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nsid w:val="1A7B1F8C"/>
    <w:multiLevelType w:val="hybridMultilevel"/>
    <w:tmpl w:val="E0F6F4B2"/>
    <w:lvl w:ilvl="0" w:tplc="6D20D3B8">
      <w:start w:val="400"/>
      <w:numFmt w:val="bullet"/>
      <w:lvlText w:val=""/>
      <w:lvlJc w:val="left"/>
      <w:pPr>
        <w:ind w:left="1440" w:hanging="360"/>
      </w:pPr>
      <w:rPr>
        <w:rFonts w:ascii="Symbol" w:eastAsia="Courier New" w:hAnsi="Symbol"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nsid w:val="29C9500C"/>
    <w:multiLevelType w:val="hybridMultilevel"/>
    <w:tmpl w:val="250C95F8"/>
    <w:lvl w:ilvl="0" w:tplc="61B49F56">
      <w:numFmt w:val="bullet"/>
      <w:lvlText w:val="-"/>
      <w:lvlJc w:val="left"/>
      <w:pPr>
        <w:ind w:left="1080" w:hanging="360"/>
      </w:pPr>
      <w:rPr>
        <w:rFonts w:ascii="Arial" w:eastAsia="Arial"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nsid w:val="405C54D9"/>
    <w:multiLevelType w:val="hybridMultilevel"/>
    <w:tmpl w:val="E70A2CA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nsid w:val="422F40C3"/>
    <w:multiLevelType w:val="hybridMultilevel"/>
    <w:tmpl w:val="C512009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nsid w:val="5137757F"/>
    <w:multiLevelType w:val="hybridMultilevel"/>
    <w:tmpl w:val="FC3AE568"/>
    <w:lvl w:ilvl="0" w:tplc="3FFCF686">
      <w:start w:val="400"/>
      <w:numFmt w:val="bullet"/>
      <w:lvlText w:val="-"/>
      <w:lvlJc w:val="left"/>
      <w:pPr>
        <w:ind w:left="0" w:hanging="360"/>
      </w:pPr>
      <w:rPr>
        <w:rFonts w:ascii="Arial" w:eastAsia="Arial" w:hAnsi="Arial" w:cs="Arial" w:hint="default"/>
      </w:rPr>
    </w:lvl>
    <w:lvl w:ilvl="1" w:tplc="0C0C0003" w:tentative="1">
      <w:start w:val="1"/>
      <w:numFmt w:val="bullet"/>
      <w:lvlText w:val="o"/>
      <w:lvlJc w:val="left"/>
      <w:pPr>
        <w:ind w:left="720" w:hanging="360"/>
      </w:pPr>
      <w:rPr>
        <w:rFonts w:ascii="Courier New" w:hAnsi="Courier New" w:cs="Courier New" w:hint="default"/>
      </w:rPr>
    </w:lvl>
    <w:lvl w:ilvl="2" w:tplc="0C0C0005" w:tentative="1">
      <w:start w:val="1"/>
      <w:numFmt w:val="bullet"/>
      <w:lvlText w:val=""/>
      <w:lvlJc w:val="left"/>
      <w:pPr>
        <w:ind w:left="1440" w:hanging="360"/>
      </w:pPr>
      <w:rPr>
        <w:rFonts w:ascii="Wingdings" w:hAnsi="Wingdings" w:hint="default"/>
      </w:rPr>
    </w:lvl>
    <w:lvl w:ilvl="3" w:tplc="0C0C0001" w:tentative="1">
      <w:start w:val="1"/>
      <w:numFmt w:val="bullet"/>
      <w:lvlText w:val=""/>
      <w:lvlJc w:val="left"/>
      <w:pPr>
        <w:ind w:left="2160" w:hanging="360"/>
      </w:pPr>
      <w:rPr>
        <w:rFonts w:ascii="Symbol" w:hAnsi="Symbol" w:hint="default"/>
      </w:rPr>
    </w:lvl>
    <w:lvl w:ilvl="4" w:tplc="0C0C0003" w:tentative="1">
      <w:start w:val="1"/>
      <w:numFmt w:val="bullet"/>
      <w:lvlText w:val="o"/>
      <w:lvlJc w:val="left"/>
      <w:pPr>
        <w:ind w:left="2880" w:hanging="360"/>
      </w:pPr>
      <w:rPr>
        <w:rFonts w:ascii="Courier New" w:hAnsi="Courier New" w:cs="Courier New" w:hint="default"/>
      </w:rPr>
    </w:lvl>
    <w:lvl w:ilvl="5" w:tplc="0C0C0005" w:tentative="1">
      <w:start w:val="1"/>
      <w:numFmt w:val="bullet"/>
      <w:lvlText w:val=""/>
      <w:lvlJc w:val="left"/>
      <w:pPr>
        <w:ind w:left="3600" w:hanging="360"/>
      </w:pPr>
      <w:rPr>
        <w:rFonts w:ascii="Wingdings" w:hAnsi="Wingdings" w:hint="default"/>
      </w:rPr>
    </w:lvl>
    <w:lvl w:ilvl="6" w:tplc="0C0C0001" w:tentative="1">
      <w:start w:val="1"/>
      <w:numFmt w:val="bullet"/>
      <w:lvlText w:val=""/>
      <w:lvlJc w:val="left"/>
      <w:pPr>
        <w:ind w:left="4320" w:hanging="360"/>
      </w:pPr>
      <w:rPr>
        <w:rFonts w:ascii="Symbol" w:hAnsi="Symbol" w:hint="default"/>
      </w:rPr>
    </w:lvl>
    <w:lvl w:ilvl="7" w:tplc="0C0C0003" w:tentative="1">
      <w:start w:val="1"/>
      <w:numFmt w:val="bullet"/>
      <w:lvlText w:val="o"/>
      <w:lvlJc w:val="left"/>
      <w:pPr>
        <w:ind w:left="5040" w:hanging="360"/>
      </w:pPr>
      <w:rPr>
        <w:rFonts w:ascii="Courier New" w:hAnsi="Courier New" w:cs="Courier New" w:hint="default"/>
      </w:rPr>
    </w:lvl>
    <w:lvl w:ilvl="8" w:tplc="0C0C0005" w:tentative="1">
      <w:start w:val="1"/>
      <w:numFmt w:val="bullet"/>
      <w:lvlText w:val=""/>
      <w:lvlJc w:val="left"/>
      <w:pPr>
        <w:ind w:left="5760" w:hanging="360"/>
      </w:pPr>
      <w:rPr>
        <w:rFonts w:ascii="Wingdings" w:hAnsi="Wingdings" w:hint="default"/>
      </w:rPr>
    </w:lvl>
  </w:abstractNum>
  <w:abstractNum w:abstractNumId="6">
    <w:nsid w:val="51450B79"/>
    <w:multiLevelType w:val="hybridMultilevel"/>
    <w:tmpl w:val="D416D44A"/>
    <w:lvl w:ilvl="0" w:tplc="8F482BC6">
      <w:start w:val="2"/>
      <w:numFmt w:val="bullet"/>
      <w:lvlText w:val="-"/>
      <w:lvlJc w:val="left"/>
      <w:pPr>
        <w:ind w:left="1080" w:hanging="360"/>
      </w:pPr>
      <w:rPr>
        <w:rFonts w:ascii="Arial" w:eastAsia="Arial"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nsid w:val="56FD650B"/>
    <w:multiLevelType w:val="multilevel"/>
    <w:tmpl w:val="1818B2C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
    <w:nsid w:val="5D38707F"/>
    <w:multiLevelType w:val="hybridMultilevel"/>
    <w:tmpl w:val="26C4A8D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8"/>
  </w:num>
  <w:num w:numId="6">
    <w:abstractNumId w:val="4"/>
  </w:num>
  <w:num w:numId="7">
    <w:abstractNumId w:val="6"/>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hdrShapeDefaults>
    <o:shapedefaults v:ext="edit" spidmax="20482"/>
  </w:hdrShapeDefaults>
  <w:footnotePr>
    <w:footnote w:id="-1"/>
    <w:footnote w:id="0"/>
  </w:footnotePr>
  <w:endnotePr>
    <w:endnote w:id="-1"/>
    <w:endnote w:id="0"/>
  </w:endnotePr>
  <w:compat/>
  <w:rsids>
    <w:rsidRoot w:val="004A0F77"/>
    <w:rsid w:val="000021F8"/>
    <w:rsid w:val="00012293"/>
    <w:rsid w:val="000210D8"/>
    <w:rsid w:val="00022DE5"/>
    <w:rsid w:val="00027333"/>
    <w:rsid w:val="00033FCB"/>
    <w:rsid w:val="00034018"/>
    <w:rsid w:val="0003566C"/>
    <w:rsid w:val="00041B82"/>
    <w:rsid w:val="00052357"/>
    <w:rsid w:val="00052BB4"/>
    <w:rsid w:val="0006660D"/>
    <w:rsid w:val="000671B5"/>
    <w:rsid w:val="00076ED9"/>
    <w:rsid w:val="00081EEC"/>
    <w:rsid w:val="000A0858"/>
    <w:rsid w:val="000A6A30"/>
    <w:rsid w:val="000B08E8"/>
    <w:rsid w:val="000B439E"/>
    <w:rsid w:val="000B55FC"/>
    <w:rsid w:val="000B6A4B"/>
    <w:rsid w:val="000C0480"/>
    <w:rsid w:val="000C4CEF"/>
    <w:rsid w:val="000E233A"/>
    <w:rsid w:val="000F2043"/>
    <w:rsid w:val="000F2F4D"/>
    <w:rsid w:val="000F3A43"/>
    <w:rsid w:val="000F4FDD"/>
    <w:rsid w:val="00100003"/>
    <w:rsid w:val="00113AC1"/>
    <w:rsid w:val="001305B1"/>
    <w:rsid w:val="00143640"/>
    <w:rsid w:val="00145D93"/>
    <w:rsid w:val="00160015"/>
    <w:rsid w:val="00161149"/>
    <w:rsid w:val="00180195"/>
    <w:rsid w:val="00192737"/>
    <w:rsid w:val="001975FA"/>
    <w:rsid w:val="001A6F5E"/>
    <w:rsid w:val="001B3897"/>
    <w:rsid w:val="001B4AAE"/>
    <w:rsid w:val="001C1353"/>
    <w:rsid w:val="001C5032"/>
    <w:rsid w:val="001D5464"/>
    <w:rsid w:val="001D7251"/>
    <w:rsid w:val="001F49DE"/>
    <w:rsid w:val="00223E22"/>
    <w:rsid w:val="002365E0"/>
    <w:rsid w:val="00246C49"/>
    <w:rsid w:val="00250187"/>
    <w:rsid w:val="002567CC"/>
    <w:rsid w:val="00271DCB"/>
    <w:rsid w:val="0027279E"/>
    <w:rsid w:val="00274E95"/>
    <w:rsid w:val="00283258"/>
    <w:rsid w:val="002904D8"/>
    <w:rsid w:val="002908C5"/>
    <w:rsid w:val="00292549"/>
    <w:rsid w:val="002A2B1B"/>
    <w:rsid w:val="002B097E"/>
    <w:rsid w:val="002C6302"/>
    <w:rsid w:val="002C6360"/>
    <w:rsid w:val="002D1EEF"/>
    <w:rsid w:val="002D7414"/>
    <w:rsid w:val="0030591D"/>
    <w:rsid w:val="003123B9"/>
    <w:rsid w:val="00312402"/>
    <w:rsid w:val="00314866"/>
    <w:rsid w:val="00316E92"/>
    <w:rsid w:val="00317134"/>
    <w:rsid w:val="00321651"/>
    <w:rsid w:val="00321808"/>
    <w:rsid w:val="00322A42"/>
    <w:rsid w:val="00327E59"/>
    <w:rsid w:val="00346925"/>
    <w:rsid w:val="00350D11"/>
    <w:rsid w:val="003524BD"/>
    <w:rsid w:val="00376840"/>
    <w:rsid w:val="00386208"/>
    <w:rsid w:val="00393955"/>
    <w:rsid w:val="00395172"/>
    <w:rsid w:val="003A0BE4"/>
    <w:rsid w:val="003A6164"/>
    <w:rsid w:val="003A6213"/>
    <w:rsid w:val="003D3F87"/>
    <w:rsid w:val="003D74E2"/>
    <w:rsid w:val="003E27BE"/>
    <w:rsid w:val="003E2D91"/>
    <w:rsid w:val="003F2BBA"/>
    <w:rsid w:val="003F7097"/>
    <w:rsid w:val="00400A7E"/>
    <w:rsid w:val="00403E8F"/>
    <w:rsid w:val="00410E1B"/>
    <w:rsid w:val="004154D3"/>
    <w:rsid w:val="00417C7F"/>
    <w:rsid w:val="0042135D"/>
    <w:rsid w:val="00422B0B"/>
    <w:rsid w:val="0043720D"/>
    <w:rsid w:val="004427F9"/>
    <w:rsid w:val="00446B96"/>
    <w:rsid w:val="0045083B"/>
    <w:rsid w:val="00452595"/>
    <w:rsid w:val="00453F1B"/>
    <w:rsid w:val="00456093"/>
    <w:rsid w:val="00463748"/>
    <w:rsid w:val="004652A6"/>
    <w:rsid w:val="0046710F"/>
    <w:rsid w:val="004774A1"/>
    <w:rsid w:val="00481792"/>
    <w:rsid w:val="0048626A"/>
    <w:rsid w:val="00490EC5"/>
    <w:rsid w:val="00494EB7"/>
    <w:rsid w:val="00495921"/>
    <w:rsid w:val="004A0F77"/>
    <w:rsid w:val="004A63C7"/>
    <w:rsid w:val="004A7F18"/>
    <w:rsid w:val="004B26B9"/>
    <w:rsid w:val="004B30AC"/>
    <w:rsid w:val="004C3C36"/>
    <w:rsid w:val="004C554D"/>
    <w:rsid w:val="004E1A77"/>
    <w:rsid w:val="004F008D"/>
    <w:rsid w:val="004F4FBD"/>
    <w:rsid w:val="00507EE7"/>
    <w:rsid w:val="00507FAE"/>
    <w:rsid w:val="0051474E"/>
    <w:rsid w:val="005262C0"/>
    <w:rsid w:val="00532EA6"/>
    <w:rsid w:val="005361F2"/>
    <w:rsid w:val="005376F6"/>
    <w:rsid w:val="005448F1"/>
    <w:rsid w:val="0054742B"/>
    <w:rsid w:val="00550E8C"/>
    <w:rsid w:val="00552A1E"/>
    <w:rsid w:val="00584AEB"/>
    <w:rsid w:val="005A02F5"/>
    <w:rsid w:val="005A083F"/>
    <w:rsid w:val="005A302E"/>
    <w:rsid w:val="005C2B4D"/>
    <w:rsid w:val="005C411F"/>
    <w:rsid w:val="005C4820"/>
    <w:rsid w:val="005D1B38"/>
    <w:rsid w:val="005D2E01"/>
    <w:rsid w:val="005D3650"/>
    <w:rsid w:val="005D37D9"/>
    <w:rsid w:val="005E5D36"/>
    <w:rsid w:val="005F0AFE"/>
    <w:rsid w:val="005F4FFE"/>
    <w:rsid w:val="005F54F7"/>
    <w:rsid w:val="0060407C"/>
    <w:rsid w:val="00616E9A"/>
    <w:rsid w:val="00620EB4"/>
    <w:rsid w:val="0062103A"/>
    <w:rsid w:val="00626A3F"/>
    <w:rsid w:val="0063612B"/>
    <w:rsid w:val="00646CF3"/>
    <w:rsid w:val="006519FF"/>
    <w:rsid w:val="006541CB"/>
    <w:rsid w:val="00677D6E"/>
    <w:rsid w:val="0068325A"/>
    <w:rsid w:val="00687DFD"/>
    <w:rsid w:val="006A4567"/>
    <w:rsid w:val="006B2B1E"/>
    <w:rsid w:val="006C010F"/>
    <w:rsid w:val="006C1FB0"/>
    <w:rsid w:val="006D7CE0"/>
    <w:rsid w:val="006E01A7"/>
    <w:rsid w:val="006E64C9"/>
    <w:rsid w:val="006E6987"/>
    <w:rsid w:val="006F3E23"/>
    <w:rsid w:val="006F4876"/>
    <w:rsid w:val="006F645F"/>
    <w:rsid w:val="006F6FF8"/>
    <w:rsid w:val="007004D8"/>
    <w:rsid w:val="0071202D"/>
    <w:rsid w:val="00715554"/>
    <w:rsid w:val="007173EE"/>
    <w:rsid w:val="00720CB7"/>
    <w:rsid w:val="007260C8"/>
    <w:rsid w:val="00726CB3"/>
    <w:rsid w:val="00740757"/>
    <w:rsid w:val="00747136"/>
    <w:rsid w:val="00754A04"/>
    <w:rsid w:val="00755312"/>
    <w:rsid w:val="00760186"/>
    <w:rsid w:val="00764C87"/>
    <w:rsid w:val="007656B0"/>
    <w:rsid w:val="007761FF"/>
    <w:rsid w:val="00780795"/>
    <w:rsid w:val="00785647"/>
    <w:rsid w:val="00791590"/>
    <w:rsid w:val="00791BA2"/>
    <w:rsid w:val="007A385A"/>
    <w:rsid w:val="007A4200"/>
    <w:rsid w:val="007A62A5"/>
    <w:rsid w:val="007A6B09"/>
    <w:rsid w:val="007B4BC9"/>
    <w:rsid w:val="007C4924"/>
    <w:rsid w:val="007D666D"/>
    <w:rsid w:val="008024FF"/>
    <w:rsid w:val="00806359"/>
    <w:rsid w:val="00813815"/>
    <w:rsid w:val="00814953"/>
    <w:rsid w:val="008356F8"/>
    <w:rsid w:val="00840E28"/>
    <w:rsid w:val="00845AF7"/>
    <w:rsid w:val="00851A67"/>
    <w:rsid w:val="00870C68"/>
    <w:rsid w:val="00872DE5"/>
    <w:rsid w:val="00874A17"/>
    <w:rsid w:val="00882859"/>
    <w:rsid w:val="00890060"/>
    <w:rsid w:val="00893D4D"/>
    <w:rsid w:val="008B5B0B"/>
    <w:rsid w:val="008C30D1"/>
    <w:rsid w:val="008D2F59"/>
    <w:rsid w:val="008E463D"/>
    <w:rsid w:val="008F63C6"/>
    <w:rsid w:val="009011C9"/>
    <w:rsid w:val="00925ABF"/>
    <w:rsid w:val="009453DA"/>
    <w:rsid w:val="009474E2"/>
    <w:rsid w:val="00961BA6"/>
    <w:rsid w:val="00972527"/>
    <w:rsid w:val="00973BAC"/>
    <w:rsid w:val="00975BDB"/>
    <w:rsid w:val="00976BFA"/>
    <w:rsid w:val="00982D00"/>
    <w:rsid w:val="009869C1"/>
    <w:rsid w:val="009927FF"/>
    <w:rsid w:val="009A5D34"/>
    <w:rsid w:val="009B0F22"/>
    <w:rsid w:val="009B1CE9"/>
    <w:rsid w:val="009C1FF1"/>
    <w:rsid w:val="009D280F"/>
    <w:rsid w:val="009E1A6A"/>
    <w:rsid w:val="009E1E42"/>
    <w:rsid w:val="009E32A2"/>
    <w:rsid w:val="009E77AB"/>
    <w:rsid w:val="009F1561"/>
    <w:rsid w:val="009F7F4F"/>
    <w:rsid w:val="00A05415"/>
    <w:rsid w:val="00A05658"/>
    <w:rsid w:val="00A11A58"/>
    <w:rsid w:val="00A13F5F"/>
    <w:rsid w:val="00A25076"/>
    <w:rsid w:val="00A305F7"/>
    <w:rsid w:val="00A34D61"/>
    <w:rsid w:val="00A42958"/>
    <w:rsid w:val="00A471D9"/>
    <w:rsid w:val="00A475FB"/>
    <w:rsid w:val="00A47801"/>
    <w:rsid w:val="00A545DF"/>
    <w:rsid w:val="00A62B23"/>
    <w:rsid w:val="00A62BB4"/>
    <w:rsid w:val="00A67533"/>
    <w:rsid w:val="00A71261"/>
    <w:rsid w:val="00A77D3C"/>
    <w:rsid w:val="00A80D79"/>
    <w:rsid w:val="00A814D2"/>
    <w:rsid w:val="00A84150"/>
    <w:rsid w:val="00A91B95"/>
    <w:rsid w:val="00AA22EC"/>
    <w:rsid w:val="00AB5A56"/>
    <w:rsid w:val="00AB6257"/>
    <w:rsid w:val="00AB72E6"/>
    <w:rsid w:val="00AC0040"/>
    <w:rsid w:val="00AC1F12"/>
    <w:rsid w:val="00AC6D20"/>
    <w:rsid w:val="00AD5A72"/>
    <w:rsid w:val="00AD7F5C"/>
    <w:rsid w:val="00AF2D5C"/>
    <w:rsid w:val="00B01DDD"/>
    <w:rsid w:val="00B14483"/>
    <w:rsid w:val="00B20FFB"/>
    <w:rsid w:val="00B3497B"/>
    <w:rsid w:val="00B361FD"/>
    <w:rsid w:val="00B5123E"/>
    <w:rsid w:val="00B53E3B"/>
    <w:rsid w:val="00B6286C"/>
    <w:rsid w:val="00B63085"/>
    <w:rsid w:val="00B7371C"/>
    <w:rsid w:val="00B7534F"/>
    <w:rsid w:val="00B83426"/>
    <w:rsid w:val="00B90396"/>
    <w:rsid w:val="00B97E6F"/>
    <w:rsid w:val="00B97EDF"/>
    <w:rsid w:val="00BA6D8C"/>
    <w:rsid w:val="00BB0EAB"/>
    <w:rsid w:val="00BB2E62"/>
    <w:rsid w:val="00BB50D0"/>
    <w:rsid w:val="00BB57E6"/>
    <w:rsid w:val="00BC1727"/>
    <w:rsid w:val="00BE20B2"/>
    <w:rsid w:val="00C05799"/>
    <w:rsid w:val="00C159C2"/>
    <w:rsid w:val="00C17E5C"/>
    <w:rsid w:val="00C2598E"/>
    <w:rsid w:val="00C25B05"/>
    <w:rsid w:val="00C27C72"/>
    <w:rsid w:val="00C426BF"/>
    <w:rsid w:val="00C53362"/>
    <w:rsid w:val="00C53EA1"/>
    <w:rsid w:val="00C541C3"/>
    <w:rsid w:val="00C6481E"/>
    <w:rsid w:val="00C72AA2"/>
    <w:rsid w:val="00C81A57"/>
    <w:rsid w:val="00C93F6E"/>
    <w:rsid w:val="00CA79FA"/>
    <w:rsid w:val="00CB5D0F"/>
    <w:rsid w:val="00CD1E37"/>
    <w:rsid w:val="00CD3318"/>
    <w:rsid w:val="00CD4173"/>
    <w:rsid w:val="00CE3950"/>
    <w:rsid w:val="00CF3D33"/>
    <w:rsid w:val="00D00351"/>
    <w:rsid w:val="00D20830"/>
    <w:rsid w:val="00D262BC"/>
    <w:rsid w:val="00D272A8"/>
    <w:rsid w:val="00D34852"/>
    <w:rsid w:val="00D34971"/>
    <w:rsid w:val="00D36244"/>
    <w:rsid w:val="00D46455"/>
    <w:rsid w:val="00D74E5B"/>
    <w:rsid w:val="00D81317"/>
    <w:rsid w:val="00D8281C"/>
    <w:rsid w:val="00D86058"/>
    <w:rsid w:val="00D87A7B"/>
    <w:rsid w:val="00D90276"/>
    <w:rsid w:val="00D91F19"/>
    <w:rsid w:val="00DB1F74"/>
    <w:rsid w:val="00DB254F"/>
    <w:rsid w:val="00DC1FA2"/>
    <w:rsid w:val="00DD467F"/>
    <w:rsid w:val="00DD773B"/>
    <w:rsid w:val="00DF2242"/>
    <w:rsid w:val="00DF3F30"/>
    <w:rsid w:val="00DF6DC8"/>
    <w:rsid w:val="00E01182"/>
    <w:rsid w:val="00E10FF0"/>
    <w:rsid w:val="00E11800"/>
    <w:rsid w:val="00E13632"/>
    <w:rsid w:val="00E2092E"/>
    <w:rsid w:val="00E23066"/>
    <w:rsid w:val="00E30F1F"/>
    <w:rsid w:val="00E4648A"/>
    <w:rsid w:val="00E516DA"/>
    <w:rsid w:val="00E5533D"/>
    <w:rsid w:val="00E56F40"/>
    <w:rsid w:val="00E65056"/>
    <w:rsid w:val="00E72538"/>
    <w:rsid w:val="00E7753C"/>
    <w:rsid w:val="00E900C7"/>
    <w:rsid w:val="00EC0AD5"/>
    <w:rsid w:val="00EC0FF8"/>
    <w:rsid w:val="00ED1BF8"/>
    <w:rsid w:val="00EE7906"/>
    <w:rsid w:val="00F0109E"/>
    <w:rsid w:val="00F1031F"/>
    <w:rsid w:val="00F11CA6"/>
    <w:rsid w:val="00F14CBC"/>
    <w:rsid w:val="00F14EDC"/>
    <w:rsid w:val="00F15932"/>
    <w:rsid w:val="00F21BFB"/>
    <w:rsid w:val="00F23C04"/>
    <w:rsid w:val="00F25EE5"/>
    <w:rsid w:val="00F332E3"/>
    <w:rsid w:val="00F337E5"/>
    <w:rsid w:val="00F531D1"/>
    <w:rsid w:val="00F628EA"/>
    <w:rsid w:val="00F71831"/>
    <w:rsid w:val="00F82D96"/>
    <w:rsid w:val="00F87719"/>
    <w:rsid w:val="00F96120"/>
    <w:rsid w:val="00F97DFC"/>
    <w:rsid w:val="00FA5B25"/>
    <w:rsid w:val="00FA6079"/>
    <w:rsid w:val="00FA6CE0"/>
    <w:rsid w:val="00FC08D1"/>
    <w:rsid w:val="00FC3323"/>
    <w:rsid w:val="00FC4330"/>
    <w:rsid w:val="00FC54B3"/>
    <w:rsid w:val="00FC6080"/>
    <w:rsid w:val="00FF26D8"/>
    <w:rsid w:val="00FF2EA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fr-CA" w:eastAsia="fr-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1A67"/>
  </w:style>
  <w:style w:type="paragraph" w:styleId="Titre1">
    <w:name w:val="heading 1"/>
    <w:basedOn w:val="Normal"/>
    <w:next w:val="Normal"/>
    <w:rsid w:val="00851A67"/>
    <w:pPr>
      <w:keepNext/>
      <w:keepLines/>
      <w:spacing w:before="400" w:after="120"/>
      <w:contextualSpacing/>
      <w:outlineLvl w:val="0"/>
    </w:pPr>
    <w:rPr>
      <w:sz w:val="40"/>
      <w:szCs w:val="40"/>
    </w:rPr>
  </w:style>
  <w:style w:type="paragraph" w:styleId="Titre2">
    <w:name w:val="heading 2"/>
    <w:basedOn w:val="Normal"/>
    <w:next w:val="Normal"/>
    <w:rsid w:val="00E10FF0"/>
    <w:pPr>
      <w:keepNext/>
      <w:keepLines/>
      <w:spacing w:before="360" w:after="120"/>
      <w:ind w:firstLine="720"/>
      <w:contextualSpacing/>
      <w:outlineLvl w:val="1"/>
    </w:pPr>
    <w:rPr>
      <w:b/>
      <w:sz w:val="28"/>
      <w:szCs w:val="28"/>
    </w:rPr>
  </w:style>
  <w:style w:type="paragraph" w:styleId="Titre3">
    <w:name w:val="heading 3"/>
    <w:basedOn w:val="Normal"/>
    <w:next w:val="Normal"/>
    <w:rsid w:val="00022DE5"/>
    <w:pPr>
      <w:keepNext/>
      <w:keepLines/>
      <w:spacing w:before="320" w:after="80"/>
      <w:ind w:firstLine="720"/>
      <w:contextualSpacing/>
      <w:outlineLvl w:val="2"/>
    </w:pPr>
    <w:rPr>
      <w:color w:val="434343"/>
      <w:sz w:val="28"/>
      <w:szCs w:val="28"/>
    </w:rPr>
  </w:style>
  <w:style w:type="paragraph" w:styleId="Titre4">
    <w:name w:val="heading 4"/>
    <w:basedOn w:val="Normal"/>
    <w:next w:val="Normal"/>
    <w:rsid w:val="00851A67"/>
    <w:pPr>
      <w:keepNext/>
      <w:keepLines/>
      <w:spacing w:before="280" w:after="80"/>
      <w:contextualSpacing/>
      <w:outlineLvl w:val="3"/>
    </w:pPr>
    <w:rPr>
      <w:color w:val="666666"/>
      <w:sz w:val="24"/>
      <w:szCs w:val="24"/>
    </w:rPr>
  </w:style>
  <w:style w:type="paragraph" w:styleId="Titre5">
    <w:name w:val="heading 5"/>
    <w:basedOn w:val="Normal"/>
    <w:next w:val="Normal"/>
    <w:rsid w:val="00851A67"/>
    <w:pPr>
      <w:keepNext/>
      <w:keepLines/>
      <w:spacing w:before="240" w:after="80"/>
      <w:contextualSpacing/>
      <w:outlineLvl w:val="4"/>
    </w:pPr>
    <w:rPr>
      <w:color w:val="666666"/>
    </w:rPr>
  </w:style>
  <w:style w:type="paragraph" w:styleId="Titre6">
    <w:name w:val="heading 6"/>
    <w:basedOn w:val="Normal"/>
    <w:next w:val="Normal"/>
    <w:rsid w:val="00851A67"/>
    <w:pPr>
      <w:keepNext/>
      <w:keepLines/>
      <w:spacing w:before="240" w:after="80"/>
      <w:contextualSpacing/>
      <w:outlineLvl w:val="5"/>
    </w:pPr>
    <w:rPr>
      <w:i/>
      <w:color w:val="666666"/>
    </w:rPr>
  </w:style>
  <w:style w:type="paragraph" w:styleId="Titre7">
    <w:name w:val="heading 7"/>
    <w:basedOn w:val="Normal"/>
    <w:next w:val="Normal"/>
    <w:link w:val="Titre7Car"/>
    <w:uiPriority w:val="9"/>
    <w:semiHidden/>
    <w:unhideWhenUsed/>
    <w:qFormat/>
    <w:rsid w:val="00022DE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rsid w:val="00851A67"/>
    <w:pPr>
      <w:keepNext/>
      <w:keepLines/>
      <w:spacing w:after="60"/>
      <w:contextualSpacing/>
    </w:pPr>
    <w:rPr>
      <w:sz w:val="52"/>
      <w:szCs w:val="52"/>
    </w:rPr>
  </w:style>
  <w:style w:type="paragraph" w:styleId="Sous-titre">
    <w:name w:val="Subtitle"/>
    <w:basedOn w:val="Normal"/>
    <w:next w:val="Normal"/>
    <w:rsid w:val="00851A67"/>
    <w:pPr>
      <w:keepNext/>
      <w:keepLines/>
      <w:spacing w:after="320"/>
      <w:contextualSpacing/>
    </w:pPr>
    <w:rPr>
      <w:color w:val="666666"/>
      <w:sz w:val="30"/>
      <w:szCs w:val="30"/>
    </w:rPr>
  </w:style>
  <w:style w:type="paragraph" w:styleId="Textedebulles">
    <w:name w:val="Balloon Text"/>
    <w:basedOn w:val="Normal"/>
    <w:link w:val="TextedebullesCar"/>
    <w:uiPriority w:val="99"/>
    <w:semiHidden/>
    <w:unhideWhenUsed/>
    <w:rsid w:val="0078079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0795"/>
    <w:rPr>
      <w:rFonts w:ascii="Tahoma" w:hAnsi="Tahoma" w:cs="Tahoma"/>
      <w:sz w:val="16"/>
      <w:szCs w:val="16"/>
    </w:rPr>
  </w:style>
  <w:style w:type="paragraph" w:styleId="Notedebasdepage">
    <w:name w:val="footnote text"/>
    <w:basedOn w:val="Normal"/>
    <w:link w:val="NotedebasdepageCar"/>
    <w:uiPriority w:val="99"/>
    <w:semiHidden/>
    <w:unhideWhenUsed/>
    <w:rsid w:val="006E64C9"/>
    <w:pPr>
      <w:spacing w:line="240" w:lineRule="auto"/>
    </w:pPr>
    <w:rPr>
      <w:sz w:val="20"/>
      <w:szCs w:val="20"/>
    </w:rPr>
  </w:style>
  <w:style w:type="character" w:customStyle="1" w:styleId="NotedebasdepageCar">
    <w:name w:val="Note de bas de page Car"/>
    <w:basedOn w:val="Policepardfaut"/>
    <w:link w:val="Notedebasdepage"/>
    <w:uiPriority w:val="99"/>
    <w:semiHidden/>
    <w:rsid w:val="006E64C9"/>
    <w:rPr>
      <w:sz w:val="20"/>
      <w:szCs w:val="20"/>
    </w:rPr>
  </w:style>
  <w:style w:type="character" w:styleId="Appelnotedebasdep">
    <w:name w:val="footnote reference"/>
    <w:basedOn w:val="Policepardfaut"/>
    <w:uiPriority w:val="99"/>
    <w:semiHidden/>
    <w:unhideWhenUsed/>
    <w:rsid w:val="006E64C9"/>
    <w:rPr>
      <w:vertAlign w:val="superscript"/>
    </w:rPr>
  </w:style>
  <w:style w:type="paragraph" w:styleId="Paragraphedeliste">
    <w:name w:val="List Paragraph"/>
    <w:basedOn w:val="Normal"/>
    <w:uiPriority w:val="34"/>
    <w:qFormat/>
    <w:rsid w:val="009F1561"/>
    <w:pPr>
      <w:ind w:left="720"/>
      <w:contextualSpacing/>
    </w:pPr>
  </w:style>
  <w:style w:type="character" w:styleId="Lienhypertexte">
    <w:name w:val="Hyperlink"/>
    <w:basedOn w:val="Policepardfaut"/>
    <w:uiPriority w:val="99"/>
    <w:unhideWhenUsed/>
    <w:rsid w:val="000F2043"/>
    <w:rPr>
      <w:color w:val="0000FF" w:themeColor="hyperlink"/>
      <w:u w:val="single"/>
    </w:rPr>
  </w:style>
  <w:style w:type="paragraph" w:styleId="En-tte">
    <w:name w:val="header"/>
    <w:basedOn w:val="Normal"/>
    <w:link w:val="En-tteCar"/>
    <w:uiPriority w:val="99"/>
    <w:unhideWhenUsed/>
    <w:rsid w:val="00CF3D33"/>
    <w:pPr>
      <w:tabs>
        <w:tab w:val="center" w:pos="4320"/>
        <w:tab w:val="right" w:pos="8640"/>
      </w:tabs>
      <w:spacing w:line="240" w:lineRule="auto"/>
    </w:pPr>
  </w:style>
  <w:style w:type="character" w:customStyle="1" w:styleId="En-tteCar">
    <w:name w:val="En-tête Car"/>
    <w:basedOn w:val="Policepardfaut"/>
    <w:link w:val="En-tte"/>
    <w:uiPriority w:val="99"/>
    <w:rsid w:val="00CF3D33"/>
  </w:style>
  <w:style w:type="paragraph" w:styleId="Pieddepage">
    <w:name w:val="footer"/>
    <w:basedOn w:val="Normal"/>
    <w:link w:val="PieddepageCar"/>
    <w:uiPriority w:val="99"/>
    <w:unhideWhenUsed/>
    <w:rsid w:val="00CF3D33"/>
    <w:pPr>
      <w:tabs>
        <w:tab w:val="center" w:pos="4320"/>
        <w:tab w:val="right" w:pos="8640"/>
      </w:tabs>
      <w:spacing w:line="240" w:lineRule="auto"/>
    </w:pPr>
  </w:style>
  <w:style w:type="character" w:customStyle="1" w:styleId="PieddepageCar">
    <w:name w:val="Pied de page Car"/>
    <w:basedOn w:val="Policepardfaut"/>
    <w:link w:val="Pieddepage"/>
    <w:uiPriority w:val="99"/>
    <w:rsid w:val="00CF3D33"/>
  </w:style>
  <w:style w:type="character" w:styleId="Marquedecommentaire">
    <w:name w:val="annotation reference"/>
    <w:basedOn w:val="Policepardfaut"/>
    <w:uiPriority w:val="99"/>
    <w:semiHidden/>
    <w:unhideWhenUsed/>
    <w:rsid w:val="003123B9"/>
    <w:rPr>
      <w:sz w:val="16"/>
      <w:szCs w:val="16"/>
    </w:rPr>
  </w:style>
  <w:style w:type="paragraph" w:styleId="Commentaire">
    <w:name w:val="annotation text"/>
    <w:basedOn w:val="Normal"/>
    <w:link w:val="CommentaireCar"/>
    <w:uiPriority w:val="99"/>
    <w:semiHidden/>
    <w:unhideWhenUsed/>
    <w:rsid w:val="003123B9"/>
    <w:pPr>
      <w:spacing w:line="240" w:lineRule="auto"/>
    </w:pPr>
    <w:rPr>
      <w:sz w:val="20"/>
      <w:szCs w:val="20"/>
    </w:rPr>
  </w:style>
  <w:style w:type="character" w:customStyle="1" w:styleId="CommentaireCar">
    <w:name w:val="Commentaire Car"/>
    <w:basedOn w:val="Policepardfaut"/>
    <w:link w:val="Commentaire"/>
    <w:uiPriority w:val="99"/>
    <w:semiHidden/>
    <w:rsid w:val="003123B9"/>
    <w:rPr>
      <w:sz w:val="20"/>
      <w:szCs w:val="20"/>
    </w:rPr>
  </w:style>
  <w:style w:type="paragraph" w:styleId="Objetducommentaire">
    <w:name w:val="annotation subject"/>
    <w:basedOn w:val="Commentaire"/>
    <w:next w:val="Commentaire"/>
    <w:link w:val="ObjetducommentaireCar"/>
    <w:uiPriority w:val="99"/>
    <w:semiHidden/>
    <w:unhideWhenUsed/>
    <w:rsid w:val="003123B9"/>
    <w:rPr>
      <w:b/>
      <w:bCs/>
    </w:rPr>
  </w:style>
  <w:style w:type="character" w:customStyle="1" w:styleId="ObjetducommentaireCar">
    <w:name w:val="Objet du commentaire Car"/>
    <w:basedOn w:val="CommentaireCar"/>
    <w:link w:val="Objetducommentaire"/>
    <w:uiPriority w:val="99"/>
    <w:semiHidden/>
    <w:rsid w:val="003123B9"/>
    <w:rPr>
      <w:b/>
      <w:bCs/>
    </w:rPr>
  </w:style>
  <w:style w:type="paragraph" w:styleId="En-ttedetabledesmatires">
    <w:name w:val="TOC Heading"/>
    <w:basedOn w:val="Titre1"/>
    <w:next w:val="Normal"/>
    <w:uiPriority w:val="39"/>
    <w:semiHidden/>
    <w:unhideWhenUsed/>
    <w:qFormat/>
    <w:rsid w:val="00D86058"/>
    <w:pPr>
      <w:spacing w:before="480" w:after="0"/>
      <w:contextualSpacing w:val="0"/>
      <w:outlineLvl w:val="9"/>
    </w:pPr>
    <w:rPr>
      <w:rFonts w:asciiTheme="majorHAnsi" w:eastAsiaTheme="majorEastAsia" w:hAnsiTheme="majorHAnsi" w:cstheme="majorBidi"/>
      <w:b/>
      <w:bCs/>
      <w:color w:val="365F91" w:themeColor="accent1" w:themeShade="BF"/>
      <w:sz w:val="28"/>
      <w:szCs w:val="28"/>
      <w:lang w:val="fr-FR" w:eastAsia="en-US"/>
    </w:rPr>
  </w:style>
  <w:style w:type="paragraph" w:styleId="TM2">
    <w:name w:val="toc 2"/>
    <w:basedOn w:val="Normal"/>
    <w:next w:val="Normal"/>
    <w:autoRedefine/>
    <w:uiPriority w:val="39"/>
    <w:unhideWhenUsed/>
    <w:rsid w:val="00D86058"/>
    <w:pPr>
      <w:spacing w:after="100"/>
      <w:ind w:left="220"/>
    </w:pPr>
  </w:style>
  <w:style w:type="paragraph" w:styleId="TM3">
    <w:name w:val="toc 3"/>
    <w:basedOn w:val="Normal"/>
    <w:next w:val="Normal"/>
    <w:autoRedefine/>
    <w:uiPriority w:val="39"/>
    <w:unhideWhenUsed/>
    <w:rsid w:val="00D86058"/>
    <w:pPr>
      <w:spacing w:after="100"/>
      <w:ind w:left="440"/>
    </w:pPr>
  </w:style>
  <w:style w:type="character" w:customStyle="1" w:styleId="Titre7Car">
    <w:name w:val="Titre 7 Car"/>
    <w:basedOn w:val="Policepardfaut"/>
    <w:link w:val="Titre7"/>
    <w:uiPriority w:val="9"/>
    <w:semiHidden/>
    <w:rsid w:val="00022DE5"/>
    <w:rPr>
      <w:rFonts w:asciiTheme="majorHAnsi" w:eastAsiaTheme="majorEastAsia" w:hAnsiTheme="majorHAnsi" w:cstheme="majorBidi"/>
      <w:i/>
      <w:iCs/>
      <w:color w:val="404040" w:themeColor="text1" w:themeTint="BF"/>
    </w:rPr>
  </w:style>
  <w:style w:type="paragraph" w:styleId="TM1">
    <w:name w:val="toc 1"/>
    <w:basedOn w:val="Normal"/>
    <w:next w:val="Normal"/>
    <w:autoRedefine/>
    <w:uiPriority w:val="39"/>
    <w:unhideWhenUsed/>
    <w:rsid w:val="002C6302"/>
    <w:pPr>
      <w:spacing w:after="100"/>
    </w:pPr>
  </w:style>
  <w:style w:type="paragraph" w:styleId="Sansinterligne">
    <w:name w:val="No Spacing"/>
    <w:uiPriority w:val="1"/>
    <w:qFormat/>
    <w:rsid w:val="002C6302"/>
    <w:pPr>
      <w:spacing w:line="240" w:lineRule="auto"/>
    </w:pPr>
  </w:style>
  <w:style w:type="character" w:customStyle="1" w:styleId="solext0">
    <w:name w:val="solext0"/>
    <w:basedOn w:val="Policepardfaut"/>
    <w:rsid w:val="006D7CE0"/>
  </w:style>
  <w:style w:type="character" w:customStyle="1" w:styleId="solext1">
    <w:name w:val="solext1"/>
    <w:basedOn w:val="Policepardfaut"/>
    <w:rsid w:val="006D7CE0"/>
  </w:style>
  <w:style w:type="character" w:customStyle="1" w:styleId="solext2">
    <w:name w:val="solext2"/>
    <w:basedOn w:val="Policepardfaut"/>
    <w:rsid w:val="006D7CE0"/>
  </w:style>
  <w:style w:type="character" w:customStyle="1" w:styleId="solext3">
    <w:name w:val="solext3"/>
    <w:basedOn w:val="Policepardfaut"/>
    <w:rsid w:val="006D7CE0"/>
  </w:style>
  <w:style w:type="character" w:styleId="Lienhypertextesuivivisit">
    <w:name w:val="FollowedHyperlink"/>
    <w:basedOn w:val="Policepardfaut"/>
    <w:uiPriority w:val="99"/>
    <w:semiHidden/>
    <w:unhideWhenUsed/>
    <w:rsid w:val="00FA5B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CA" w:eastAsia="fr-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807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95"/>
    <w:rPr>
      <w:rFonts w:ascii="Tahoma" w:hAnsi="Tahoma" w:cs="Tahoma"/>
      <w:sz w:val="16"/>
      <w:szCs w:val="16"/>
    </w:rPr>
  </w:style>
  <w:style w:type="paragraph" w:styleId="FootnoteText">
    <w:name w:val="footnote text"/>
    <w:basedOn w:val="Normal"/>
    <w:link w:val="FootnoteTextChar"/>
    <w:uiPriority w:val="99"/>
    <w:semiHidden/>
    <w:unhideWhenUsed/>
    <w:rsid w:val="006E64C9"/>
    <w:pPr>
      <w:spacing w:line="240" w:lineRule="auto"/>
    </w:pPr>
    <w:rPr>
      <w:sz w:val="20"/>
      <w:szCs w:val="20"/>
    </w:rPr>
  </w:style>
  <w:style w:type="character" w:customStyle="1" w:styleId="FootnoteTextChar">
    <w:name w:val="Footnote Text Char"/>
    <w:basedOn w:val="DefaultParagraphFont"/>
    <w:link w:val="FootnoteText"/>
    <w:uiPriority w:val="99"/>
    <w:semiHidden/>
    <w:rsid w:val="006E64C9"/>
    <w:rPr>
      <w:sz w:val="20"/>
      <w:szCs w:val="20"/>
    </w:rPr>
  </w:style>
  <w:style w:type="character" w:styleId="FootnoteReference">
    <w:name w:val="footnote reference"/>
    <w:basedOn w:val="DefaultParagraphFont"/>
    <w:uiPriority w:val="99"/>
    <w:semiHidden/>
    <w:unhideWhenUsed/>
    <w:rsid w:val="006E64C9"/>
    <w:rPr>
      <w:vertAlign w:val="superscript"/>
    </w:rPr>
  </w:style>
  <w:style w:type="paragraph" w:styleId="ListParagraph">
    <w:name w:val="List Paragraph"/>
    <w:basedOn w:val="Normal"/>
    <w:uiPriority w:val="34"/>
    <w:qFormat/>
    <w:rsid w:val="009F1561"/>
    <w:pPr>
      <w:ind w:left="720"/>
      <w:contextualSpacing/>
    </w:pPr>
  </w:style>
  <w:style w:type="character" w:styleId="Hyperlink">
    <w:name w:val="Hyperlink"/>
    <w:basedOn w:val="DefaultParagraphFont"/>
    <w:uiPriority w:val="99"/>
    <w:unhideWhenUsed/>
    <w:rsid w:val="000F2043"/>
    <w:rPr>
      <w:color w:val="0000FF" w:themeColor="hyperlink"/>
      <w:u w:val="single"/>
    </w:rPr>
  </w:style>
  <w:style w:type="paragraph" w:styleId="Header">
    <w:name w:val="header"/>
    <w:basedOn w:val="Normal"/>
    <w:link w:val="HeaderChar"/>
    <w:uiPriority w:val="99"/>
    <w:unhideWhenUsed/>
    <w:rsid w:val="00CF3D33"/>
    <w:pPr>
      <w:tabs>
        <w:tab w:val="center" w:pos="4320"/>
        <w:tab w:val="right" w:pos="8640"/>
      </w:tabs>
      <w:spacing w:line="240" w:lineRule="auto"/>
    </w:pPr>
  </w:style>
  <w:style w:type="character" w:customStyle="1" w:styleId="HeaderChar">
    <w:name w:val="Header Char"/>
    <w:basedOn w:val="DefaultParagraphFont"/>
    <w:link w:val="Header"/>
    <w:uiPriority w:val="99"/>
    <w:rsid w:val="00CF3D33"/>
  </w:style>
  <w:style w:type="paragraph" w:styleId="Footer">
    <w:name w:val="footer"/>
    <w:basedOn w:val="Normal"/>
    <w:link w:val="FooterChar"/>
    <w:uiPriority w:val="99"/>
    <w:unhideWhenUsed/>
    <w:rsid w:val="00CF3D33"/>
    <w:pPr>
      <w:tabs>
        <w:tab w:val="center" w:pos="4320"/>
        <w:tab w:val="right" w:pos="8640"/>
      </w:tabs>
      <w:spacing w:line="240" w:lineRule="auto"/>
    </w:pPr>
  </w:style>
  <w:style w:type="character" w:customStyle="1" w:styleId="FooterChar">
    <w:name w:val="Footer Char"/>
    <w:basedOn w:val="DefaultParagraphFont"/>
    <w:link w:val="Footer"/>
    <w:uiPriority w:val="99"/>
    <w:rsid w:val="00CF3D33"/>
  </w:style>
</w:styles>
</file>

<file path=word/webSettings.xml><?xml version="1.0" encoding="utf-8"?>
<w:webSettings xmlns:r="http://schemas.openxmlformats.org/officeDocument/2006/relationships" xmlns:w="http://schemas.openxmlformats.org/wordprocessingml/2006/main">
  <w:divs>
    <w:div w:id="33771613">
      <w:bodyDiv w:val="1"/>
      <w:marLeft w:val="0"/>
      <w:marRight w:val="0"/>
      <w:marTop w:val="0"/>
      <w:marBottom w:val="0"/>
      <w:divBdr>
        <w:top w:val="none" w:sz="0" w:space="0" w:color="auto"/>
        <w:left w:val="none" w:sz="0" w:space="0" w:color="auto"/>
        <w:bottom w:val="none" w:sz="0" w:space="0" w:color="auto"/>
        <w:right w:val="none" w:sz="0" w:space="0" w:color="auto"/>
      </w:divBdr>
    </w:div>
    <w:div w:id="62066627">
      <w:bodyDiv w:val="1"/>
      <w:marLeft w:val="0"/>
      <w:marRight w:val="0"/>
      <w:marTop w:val="0"/>
      <w:marBottom w:val="0"/>
      <w:divBdr>
        <w:top w:val="none" w:sz="0" w:space="0" w:color="auto"/>
        <w:left w:val="none" w:sz="0" w:space="0" w:color="auto"/>
        <w:bottom w:val="none" w:sz="0" w:space="0" w:color="auto"/>
        <w:right w:val="none" w:sz="0" w:space="0" w:color="auto"/>
      </w:divBdr>
    </w:div>
    <w:div w:id="168568612">
      <w:bodyDiv w:val="1"/>
      <w:marLeft w:val="0"/>
      <w:marRight w:val="0"/>
      <w:marTop w:val="0"/>
      <w:marBottom w:val="0"/>
      <w:divBdr>
        <w:top w:val="none" w:sz="0" w:space="0" w:color="auto"/>
        <w:left w:val="none" w:sz="0" w:space="0" w:color="auto"/>
        <w:bottom w:val="none" w:sz="0" w:space="0" w:color="auto"/>
        <w:right w:val="none" w:sz="0" w:space="0" w:color="auto"/>
      </w:divBdr>
    </w:div>
    <w:div w:id="440419978">
      <w:bodyDiv w:val="1"/>
      <w:marLeft w:val="0"/>
      <w:marRight w:val="0"/>
      <w:marTop w:val="0"/>
      <w:marBottom w:val="0"/>
      <w:divBdr>
        <w:top w:val="none" w:sz="0" w:space="0" w:color="auto"/>
        <w:left w:val="none" w:sz="0" w:space="0" w:color="auto"/>
        <w:bottom w:val="none" w:sz="0" w:space="0" w:color="auto"/>
        <w:right w:val="none" w:sz="0" w:space="0" w:color="auto"/>
      </w:divBdr>
    </w:div>
    <w:div w:id="751971528">
      <w:bodyDiv w:val="1"/>
      <w:marLeft w:val="0"/>
      <w:marRight w:val="0"/>
      <w:marTop w:val="0"/>
      <w:marBottom w:val="0"/>
      <w:divBdr>
        <w:top w:val="none" w:sz="0" w:space="0" w:color="auto"/>
        <w:left w:val="none" w:sz="0" w:space="0" w:color="auto"/>
        <w:bottom w:val="none" w:sz="0" w:space="0" w:color="auto"/>
        <w:right w:val="none" w:sz="0" w:space="0" w:color="auto"/>
      </w:divBdr>
      <w:divsChild>
        <w:div w:id="2105805569">
          <w:marLeft w:val="0"/>
          <w:marRight w:val="0"/>
          <w:marTop w:val="120"/>
          <w:marBottom w:val="0"/>
          <w:divBdr>
            <w:top w:val="none" w:sz="0" w:space="0" w:color="auto"/>
            <w:left w:val="none" w:sz="0" w:space="0" w:color="auto"/>
            <w:bottom w:val="none" w:sz="0" w:space="0" w:color="auto"/>
            <w:right w:val="none" w:sz="0" w:space="0" w:color="auto"/>
          </w:divBdr>
        </w:div>
      </w:divsChild>
    </w:div>
    <w:div w:id="797725794">
      <w:bodyDiv w:val="1"/>
      <w:marLeft w:val="0"/>
      <w:marRight w:val="0"/>
      <w:marTop w:val="0"/>
      <w:marBottom w:val="0"/>
      <w:divBdr>
        <w:top w:val="none" w:sz="0" w:space="0" w:color="auto"/>
        <w:left w:val="none" w:sz="0" w:space="0" w:color="auto"/>
        <w:bottom w:val="none" w:sz="0" w:space="0" w:color="auto"/>
        <w:right w:val="none" w:sz="0" w:space="0" w:color="auto"/>
      </w:divBdr>
    </w:div>
    <w:div w:id="1185438419">
      <w:bodyDiv w:val="1"/>
      <w:marLeft w:val="0"/>
      <w:marRight w:val="0"/>
      <w:marTop w:val="0"/>
      <w:marBottom w:val="0"/>
      <w:divBdr>
        <w:top w:val="none" w:sz="0" w:space="0" w:color="auto"/>
        <w:left w:val="none" w:sz="0" w:space="0" w:color="auto"/>
        <w:bottom w:val="none" w:sz="0" w:space="0" w:color="auto"/>
        <w:right w:val="none" w:sz="0" w:space="0" w:color="auto"/>
      </w:divBdr>
    </w:div>
    <w:div w:id="1493522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ophan.org/avis-et-memoires"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cophan.org/wp-content/uploads/2016/10/2016_09_14_Avis_COPHAN_OTC_modernisation_r--glementation.pdf" TargetMode="External"/><Relationship Id="rId3" Type="http://schemas.openxmlformats.org/officeDocument/2006/relationships/hyperlink" Target="http://www.mddelcc.gouv.qc.ca/milieu_agri/ecoconditionnalite/index.htm" TargetMode="External"/><Relationship Id="rId7" Type="http://schemas.openxmlformats.org/officeDocument/2006/relationships/hyperlink" Target="http://www.statcan.gc.ca/pub/89-654-x/89-654-x2013001-fra.pdf" TargetMode="External"/><Relationship Id="rId2" Type="http://schemas.openxmlformats.org/officeDocument/2006/relationships/hyperlink" Target="http://www.stat.gouv.qc.ca/statistiques/sante/etat-sante/incapacite/incapacite-quebec.pdf" TargetMode="External"/><Relationship Id="rId1" Type="http://schemas.openxmlformats.org/officeDocument/2006/relationships/hyperlink" Target="http://www.statcan.gc.ca/pub/89-654-x/89-654-x2013001-fra.pdf" TargetMode="External"/><Relationship Id="rId6" Type="http://schemas.openxmlformats.org/officeDocument/2006/relationships/hyperlink" Target="http://www.stat.gouv.qc.ca/statistiques/sante/etat-sante/incapacite/incapacite-quebec.pdf" TargetMode="External"/><Relationship Id="rId11" Type="http://schemas.openxmlformats.org/officeDocument/2006/relationships/hyperlink" Target="http://cophan.org/publication/accessibilite-du-web-de-la-standardisation-a-lutilisabilite/" TargetMode="External"/><Relationship Id="rId5" Type="http://schemas.openxmlformats.org/officeDocument/2006/relationships/hyperlink" Target="http://www.statcan.gc.ca/pub/89-654-x/89-654-x2016002-fra.htm" TargetMode="External"/><Relationship Id="rId10" Type="http://schemas.openxmlformats.org/officeDocument/2006/relationships/hyperlink" Target="http://www.keroul.qc.ca/DATA/TEXTEDOC/KER-MemoireCanada-Final.pdf" TargetMode="External"/><Relationship Id="rId4" Type="http://schemas.openxmlformats.org/officeDocument/2006/relationships/hyperlink" Target="http://rapportccdp.ca/fr_en-chiffres.php" TargetMode="External"/><Relationship Id="rId9" Type="http://schemas.openxmlformats.org/officeDocument/2006/relationships/hyperlink" Target="http://www.cophan.org/avis-et-memoi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D3002-04F3-4199-9DE6-C88E340A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6282</Words>
  <Characters>34556</Characters>
  <Application>Microsoft Office Word</Application>
  <DocSecurity>0</DocSecurity>
  <Lines>287</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Universite du Quebec a Montreal</Company>
  <LinksUpToDate>false</LinksUpToDate>
  <CharactersWithSpaces>40757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Audrey-Anne</dc:creator>
  <cp:lastModifiedBy>Audrey-Anne</cp:lastModifiedBy>
  <cp:revision>3</cp:revision>
  <dcterms:created xsi:type="dcterms:W3CDTF">2017-07-11T16:22:00Z</dcterms:created>
  <dcterms:modified xsi:type="dcterms:W3CDTF">2017-07-11T16:33:00Z</dcterms:modified>
</cp:coreProperties>
</file>